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autoSpaceDN/>
        <w:spacing w:line="240" w:lineRule="auto"/>
        <w:jc w:val="center"/>
        <w:rPr>
          <w:rFonts w:hint="eastAsia" w:ascii="Times New Roman" w:hAnsi="Times New Roman" w:cs="Times New Roman"/>
          <w:b/>
          <w:bCs w:val="0"/>
          <w:color w:val="auto"/>
          <w:w w:val="99"/>
          <w:kern w:val="2"/>
          <w:sz w:val="44"/>
          <w:szCs w:val="44"/>
          <w:highlight w:val="none"/>
          <w:lang w:val="en-US" w:eastAsia="zh-CN" w:bidi="ar-SA"/>
        </w:rPr>
      </w:pPr>
      <w:r>
        <w:rPr>
          <w:rFonts w:hint="eastAsia" w:ascii="Times New Roman" w:hAnsi="Times New Roman" w:cs="Times New Roman"/>
          <w:b/>
          <w:bCs w:val="0"/>
          <w:color w:val="auto"/>
          <w:w w:val="99"/>
          <w:kern w:val="2"/>
          <w:sz w:val="44"/>
          <w:szCs w:val="44"/>
          <w:highlight w:val="none"/>
          <w:lang w:val="en-US" w:eastAsia="zh-CN" w:bidi="ar-SA"/>
        </w:rPr>
        <w:drawing>
          <wp:inline distT="0" distB="0" distL="114300" distR="114300">
            <wp:extent cx="5269230" cy="7439660"/>
            <wp:effectExtent l="0" t="0" r="7620" b="8890"/>
            <wp:docPr id="58" name="图片 58" descr="报告封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报告封皮"/>
                    <pic:cNvPicPr>
                      <a:picLocks noChangeAspect="1"/>
                    </pic:cNvPicPr>
                  </pic:nvPicPr>
                  <pic:blipFill>
                    <a:blip r:embed="rId7"/>
                    <a:stretch>
                      <a:fillRect/>
                    </a:stretch>
                  </pic:blipFill>
                  <pic:spPr>
                    <a:xfrm>
                      <a:off x="0" y="0"/>
                      <a:ext cx="5269230" cy="7439660"/>
                    </a:xfrm>
                    <a:prstGeom prst="rect">
                      <a:avLst/>
                    </a:prstGeom>
                  </pic:spPr>
                </pic:pic>
              </a:graphicData>
            </a:graphic>
          </wp:inline>
        </w:drawing>
      </w:r>
    </w:p>
    <w:p>
      <w:pPr>
        <w:autoSpaceDE/>
        <w:autoSpaceDN/>
        <w:spacing w:line="440" w:lineRule="exact"/>
        <w:jc w:val="center"/>
        <w:rPr>
          <w:rFonts w:hint="eastAsia" w:ascii="Times New Roman" w:hAnsi="Times New Roman" w:cs="Times New Roman"/>
          <w:b/>
          <w:bCs w:val="0"/>
          <w:color w:val="auto"/>
          <w:w w:val="99"/>
          <w:kern w:val="2"/>
          <w:sz w:val="44"/>
          <w:szCs w:val="44"/>
          <w:highlight w:val="none"/>
          <w:lang w:val="en-US" w:eastAsia="zh-CN" w:bidi="ar-SA"/>
        </w:rPr>
      </w:pPr>
    </w:p>
    <w:p>
      <w:pPr>
        <w:autoSpaceDE/>
        <w:autoSpaceDN/>
        <w:spacing w:line="440" w:lineRule="exact"/>
        <w:jc w:val="both"/>
        <w:rPr>
          <w:rFonts w:hint="eastAsia" w:ascii="Times New Roman" w:hAnsi="Times New Roman" w:cs="Times New Roman"/>
          <w:b/>
          <w:bCs w:val="0"/>
          <w:color w:val="auto"/>
          <w:w w:val="99"/>
          <w:kern w:val="2"/>
          <w:sz w:val="44"/>
          <w:szCs w:val="44"/>
          <w:highlight w:val="none"/>
          <w:lang w:val="en-US" w:eastAsia="zh-CN" w:bidi="ar-SA"/>
        </w:rPr>
      </w:pPr>
    </w:p>
    <w:p>
      <w:pPr>
        <w:autoSpaceDE/>
        <w:autoSpaceDN/>
        <w:spacing w:line="440" w:lineRule="exact"/>
        <w:jc w:val="center"/>
        <w:rPr>
          <w:rFonts w:hint="eastAsia" w:ascii="Times New Roman" w:hAnsi="Times New Roman" w:cs="Times New Roman"/>
          <w:b/>
          <w:bCs w:val="0"/>
          <w:color w:val="auto"/>
          <w:w w:val="99"/>
          <w:kern w:val="2"/>
          <w:sz w:val="44"/>
          <w:szCs w:val="44"/>
          <w:highlight w:val="none"/>
          <w:lang w:val="en-US" w:eastAsia="zh-CN" w:bidi="ar-SA"/>
        </w:rPr>
      </w:pPr>
    </w:p>
    <w:p>
      <w:pPr>
        <w:rPr>
          <w:rFonts w:hint="eastAsia" w:ascii="Times New Roman" w:hAnsi="Times New Roman" w:cs="Times New Roman"/>
          <w:b/>
          <w:bCs w:val="0"/>
          <w:color w:val="auto"/>
          <w:w w:val="99"/>
          <w:kern w:val="2"/>
          <w:sz w:val="44"/>
          <w:szCs w:val="44"/>
          <w:highlight w:val="none"/>
          <w:lang w:val="en-US" w:eastAsia="zh-CN" w:bidi="ar-SA"/>
        </w:rPr>
      </w:pPr>
      <w:r>
        <w:rPr>
          <w:rFonts w:hint="eastAsia" w:ascii="Times New Roman" w:hAnsi="Times New Roman" w:cs="Times New Roman"/>
          <w:b/>
          <w:bCs w:val="0"/>
          <w:color w:val="auto"/>
          <w:w w:val="99"/>
          <w:kern w:val="2"/>
          <w:sz w:val="44"/>
          <w:szCs w:val="44"/>
          <w:highlight w:val="none"/>
          <w:lang w:val="en-US" w:eastAsia="zh-CN" w:bidi="ar-SA"/>
        </w:rPr>
        <w:br w:type="page"/>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Times New Roman" w:hAnsi="Times New Roman" w:cs="Times New Roman"/>
          <w:b/>
          <w:bCs w:val="0"/>
          <w:color w:val="auto"/>
          <w:w w:val="99"/>
          <w:kern w:val="2"/>
          <w:sz w:val="44"/>
          <w:szCs w:val="44"/>
          <w:highlight w:val="none"/>
          <w:lang w:val="en-US" w:eastAsia="zh-CN" w:bidi="ar-SA"/>
        </w:rPr>
      </w:pP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Times New Roman" w:hAnsi="Times New Roman" w:cs="Times New Roman"/>
          <w:b/>
          <w:bCs w:val="0"/>
          <w:color w:val="auto"/>
          <w:w w:val="99"/>
          <w:kern w:val="2"/>
          <w:sz w:val="44"/>
          <w:szCs w:val="44"/>
          <w:highlight w:val="none"/>
          <w:lang w:val="en-US" w:eastAsia="zh-CN" w:bidi="ar-SA"/>
        </w:rPr>
      </w:pP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Times New Roman" w:hAnsi="Times New Roman" w:cs="Times New Roman"/>
          <w:b/>
          <w:bCs w:val="0"/>
          <w:color w:val="auto"/>
          <w:w w:val="99"/>
          <w:kern w:val="2"/>
          <w:sz w:val="44"/>
          <w:szCs w:val="44"/>
          <w:highlight w:val="none"/>
          <w:lang w:val="en-US" w:eastAsia="zh-CN" w:bidi="ar-SA"/>
        </w:rPr>
      </w:pP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Times New Roman" w:hAnsi="Times New Roman" w:cs="Times New Roman"/>
          <w:b/>
          <w:bCs w:val="0"/>
          <w:color w:val="auto"/>
          <w:w w:val="99"/>
          <w:kern w:val="2"/>
          <w:sz w:val="44"/>
          <w:szCs w:val="44"/>
          <w:highlight w:val="none"/>
          <w:lang w:val="en-US" w:eastAsia="zh-CN" w:bidi="ar-SA"/>
        </w:rPr>
      </w:pPr>
      <w:r>
        <w:rPr>
          <w:rFonts w:hint="eastAsia" w:ascii="Times New Roman" w:hAnsi="Times New Roman" w:cs="Times New Roman"/>
          <w:b/>
          <w:bCs w:val="0"/>
          <w:color w:val="auto"/>
          <w:w w:val="99"/>
          <w:kern w:val="2"/>
          <w:sz w:val="44"/>
          <w:szCs w:val="44"/>
          <w:highlight w:val="none"/>
          <w:lang w:val="en-US" w:eastAsia="zh-CN" w:bidi="ar-SA"/>
        </w:rPr>
        <w:t>黑龙江省大庆市页岩油压裂返排液（肇源段）处理项目</w:t>
      </w:r>
    </w:p>
    <w:p>
      <w:pPr>
        <w:pStyle w:val="13"/>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Times New Roman" w:hAnsi="Times New Roman" w:eastAsia="宋体" w:cs="Times New Roman"/>
          <w:b/>
          <w:bCs w:val="0"/>
          <w:color w:val="auto"/>
          <w:w w:val="99"/>
          <w:kern w:val="2"/>
          <w:sz w:val="52"/>
          <w:szCs w:val="52"/>
          <w:highlight w:val="none"/>
          <w:lang w:val="en-US" w:eastAsia="zh-CN" w:bidi="ar-SA"/>
        </w:rPr>
      </w:pPr>
      <w:bookmarkStart w:id="0" w:name="_Toc8915"/>
      <w:bookmarkStart w:id="1" w:name="_Toc29531"/>
      <w:r>
        <w:rPr>
          <w:rFonts w:hint="eastAsia" w:ascii="Times New Roman" w:hAnsi="Times New Roman" w:eastAsia="宋体" w:cs="Times New Roman"/>
          <w:b/>
          <w:bCs w:val="0"/>
          <w:color w:val="auto"/>
          <w:w w:val="99"/>
          <w:kern w:val="2"/>
          <w:sz w:val="52"/>
          <w:szCs w:val="52"/>
          <w:highlight w:val="none"/>
          <w:lang w:val="en-US" w:eastAsia="zh-CN" w:bidi="ar-SA"/>
        </w:rPr>
        <w:t>环境影响报告书</w:t>
      </w:r>
      <w:bookmarkEnd w:id="0"/>
      <w:bookmarkEnd w:id="1"/>
    </w:p>
    <w:p>
      <w:pPr>
        <w:rPr>
          <w:rFonts w:hint="eastAsia" w:ascii="Times New Roman" w:hAnsi="Times New Roman" w:eastAsia="宋体" w:cs="Times New Roman"/>
          <w:b/>
          <w:bCs w:val="0"/>
          <w:color w:val="auto"/>
          <w:w w:val="99"/>
          <w:kern w:val="2"/>
          <w:sz w:val="52"/>
          <w:szCs w:val="52"/>
          <w:highlight w:val="none"/>
          <w:lang w:val="en-US" w:eastAsia="zh-CN" w:bidi="ar-SA"/>
        </w:rPr>
      </w:pPr>
    </w:p>
    <w:p>
      <w:pPr>
        <w:pStyle w:val="13"/>
        <w:rPr>
          <w:rFonts w:hint="eastAsia" w:ascii="Times New Roman" w:hAnsi="Times New Roman" w:eastAsia="宋体" w:cs="Times New Roman"/>
          <w:b/>
          <w:bCs w:val="0"/>
          <w:color w:val="auto"/>
          <w:w w:val="99"/>
          <w:kern w:val="2"/>
          <w:sz w:val="52"/>
          <w:szCs w:val="52"/>
          <w:highlight w:val="none"/>
          <w:lang w:val="en-US" w:eastAsia="zh-CN" w:bidi="ar-SA"/>
        </w:rPr>
      </w:pPr>
    </w:p>
    <w:p>
      <w:pPr>
        <w:rPr>
          <w:rFonts w:hint="eastAsia" w:ascii="Times New Roman" w:hAnsi="Times New Roman" w:eastAsia="宋体" w:cs="Times New Roman"/>
          <w:b/>
          <w:bCs w:val="0"/>
          <w:color w:val="auto"/>
          <w:w w:val="99"/>
          <w:kern w:val="2"/>
          <w:sz w:val="52"/>
          <w:szCs w:val="52"/>
          <w:highlight w:val="none"/>
          <w:lang w:val="en-US" w:eastAsia="zh-CN" w:bidi="ar-SA"/>
        </w:rPr>
      </w:pPr>
    </w:p>
    <w:p>
      <w:pPr>
        <w:pStyle w:val="13"/>
        <w:rPr>
          <w:rFonts w:hint="eastAsia" w:ascii="Times New Roman" w:hAnsi="Times New Roman" w:cs="Times New Roman"/>
          <w:b w:val="0"/>
          <w:bCs/>
          <w:color w:val="auto"/>
          <w:w w:val="99"/>
          <w:kern w:val="2"/>
          <w:sz w:val="28"/>
          <w:szCs w:val="28"/>
          <w:highlight w:val="none"/>
          <w:lang w:val="en-US" w:eastAsia="zh-CN" w:bidi="ar-SA"/>
        </w:rPr>
      </w:pPr>
    </w:p>
    <w:p>
      <w:pPr>
        <w:pStyle w:val="13"/>
        <w:rPr>
          <w:rFonts w:hint="eastAsia" w:ascii="Times New Roman" w:hAnsi="Times New Roman" w:cs="Times New Roman"/>
          <w:b w:val="0"/>
          <w:bCs/>
          <w:color w:val="auto"/>
          <w:w w:val="99"/>
          <w:kern w:val="2"/>
          <w:sz w:val="28"/>
          <w:szCs w:val="28"/>
          <w:highlight w:val="none"/>
          <w:lang w:val="en-US" w:eastAsia="zh-CN" w:bidi="ar-SA"/>
        </w:rPr>
      </w:pPr>
    </w:p>
    <w:p>
      <w:pPr>
        <w:pStyle w:val="13"/>
        <w:rPr>
          <w:rFonts w:hint="eastAsia" w:ascii="Times New Roman" w:hAnsi="Times New Roman" w:cs="Times New Roman"/>
          <w:b w:val="0"/>
          <w:bCs/>
          <w:color w:val="auto"/>
          <w:w w:val="99"/>
          <w:kern w:val="2"/>
          <w:sz w:val="28"/>
          <w:szCs w:val="28"/>
          <w:highlight w:val="none"/>
          <w:lang w:val="en-US" w:eastAsia="zh-CN" w:bidi="ar-SA"/>
        </w:rPr>
      </w:pPr>
    </w:p>
    <w:p>
      <w:pPr>
        <w:pStyle w:val="13"/>
        <w:rPr>
          <w:rFonts w:hint="eastAsia" w:ascii="Times New Roman" w:hAnsi="Times New Roman" w:cs="Times New Roman"/>
          <w:b w:val="0"/>
          <w:bCs/>
          <w:color w:val="auto"/>
          <w:w w:val="99"/>
          <w:kern w:val="2"/>
          <w:sz w:val="28"/>
          <w:szCs w:val="28"/>
          <w:highlight w:val="none"/>
          <w:lang w:val="en-US" w:eastAsia="zh-CN" w:bidi="ar-SA"/>
        </w:rPr>
      </w:pPr>
    </w:p>
    <w:p>
      <w:pPr>
        <w:rPr>
          <w:rFonts w:hint="eastAsia" w:ascii="Times New Roman" w:hAnsi="Times New Roman" w:cs="Times New Roman"/>
          <w:b w:val="0"/>
          <w:bCs/>
          <w:color w:val="auto"/>
          <w:w w:val="99"/>
          <w:kern w:val="2"/>
          <w:sz w:val="28"/>
          <w:szCs w:val="28"/>
          <w:highlight w:val="none"/>
          <w:lang w:val="en-US" w:eastAsia="zh-CN" w:bidi="ar-SA"/>
        </w:rPr>
      </w:pPr>
    </w:p>
    <w:p>
      <w:pPr>
        <w:pStyle w:val="11"/>
        <w:ind w:left="0" w:leftChars="0" w:firstLine="0" w:firstLineChars="0"/>
        <w:rPr>
          <w:rFonts w:hint="eastAsia" w:ascii="Times New Roman" w:hAnsi="Times New Roman" w:cs="Times New Roman"/>
          <w:b w:val="0"/>
          <w:bCs/>
          <w:color w:val="auto"/>
          <w:w w:val="99"/>
          <w:kern w:val="2"/>
          <w:sz w:val="28"/>
          <w:szCs w:val="28"/>
          <w:highlight w:val="none"/>
          <w:lang w:val="en-US" w:eastAsia="zh-CN" w:bidi="ar-SA"/>
        </w:rPr>
      </w:pPr>
    </w:p>
    <w:p>
      <w:pPr>
        <w:rPr>
          <w:rFonts w:hint="eastAsia"/>
          <w:color w:val="auto"/>
          <w:highlight w:val="none"/>
          <w:lang w:val="en-US" w:eastAsia="zh-CN"/>
        </w:rPr>
      </w:pPr>
    </w:p>
    <w:p>
      <w:pPr>
        <w:pStyle w:val="13"/>
        <w:rPr>
          <w:rFonts w:hint="eastAsia" w:ascii="Times New Roman" w:hAnsi="Times New Roman" w:eastAsia="宋体" w:cs="Times New Roman"/>
          <w:b/>
          <w:bCs/>
          <w:caps w:val="0"/>
          <w:smallCaps w:val="0"/>
          <w:color w:val="auto"/>
          <w:spacing w:val="0"/>
          <w:w w:val="100"/>
          <w:kern w:val="44"/>
          <w:sz w:val="28"/>
          <w:szCs w:val="28"/>
          <w:highlight w:val="none"/>
          <w:lang w:val="en-US" w:eastAsia="zh-CN" w:bidi="ar-SA"/>
        </w:rPr>
      </w:pPr>
      <w:bookmarkStart w:id="2" w:name="_Toc12150"/>
      <w:bookmarkStart w:id="3" w:name="_Toc19164"/>
      <w:r>
        <w:rPr>
          <w:rFonts w:hint="eastAsia" w:ascii="Times New Roman" w:hAnsi="Times New Roman" w:eastAsia="宋体" w:cs="Times New Roman"/>
          <w:b/>
          <w:bCs/>
          <w:caps w:val="0"/>
          <w:smallCaps w:val="0"/>
          <w:color w:val="auto"/>
          <w:spacing w:val="0"/>
          <w:w w:val="100"/>
          <w:kern w:val="44"/>
          <w:sz w:val="28"/>
          <w:szCs w:val="28"/>
          <w:highlight w:val="none"/>
          <w:lang w:val="en-US" w:eastAsia="zh-CN" w:bidi="ar-SA"/>
        </w:rPr>
        <w:t>建设单位：肇源县风瀚环保科技有限公司</w:t>
      </w:r>
      <w:bookmarkEnd w:id="2"/>
      <w:bookmarkEnd w:id="3"/>
    </w:p>
    <w:p>
      <w:pPr>
        <w:rPr>
          <w:rFonts w:hint="eastAsia" w:ascii="Times New Roman" w:hAnsi="Times New Roman" w:eastAsia="宋体" w:cs="Times New Roman"/>
          <w:b/>
          <w:bCs/>
          <w:caps w:val="0"/>
          <w:smallCaps w:val="0"/>
          <w:color w:val="auto"/>
          <w:spacing w:val="0"/>
          <w:w w:val="100"/>
          <w:kern w:val="44"/>
          <w:sz w:val="28"/>
          <w:szCs w:val="28"/>
          <w:highlight w:val="none"/>
          <w:lang w:val="en-US" w:eastAsia="zh-CN" w:bidi="ar-SA"/>
        </w:rPr>
      </w:pPr>
      <w:r>
        <w:rPr>
          <w:rFonts w:hint="eastAsia" w:ascii="Times New Roman" w:hAnsi="Times New Roman" w:eastAsia="宋体" w:cs="Times New Roman"/>
          <w:b/>
          <w:bCs/>
          <w:caps w:val="0"/>
          <w:smallCaps w:val="0"/>
          <w:color w:val="auto"/>
          <w:spacing w:val="0"/>
          <w:w w:val="100"/>
          <w:kern w:val="44"/>
          <w:sz w:val="28"/>
          <w:szCs w:val="28"/>
          <w:highlight w:val="none"/>
          <w:lang w:val="en-US" w:eastAsia="zh-CN" w:bidi="ar-SA"/>
        </w:rPr>
        <w:t>编制单位：黑龙江省久恒环保有限责任公司</w:t>
      </w:r>
    </w:p>
    <w:p>
      <w:pPr>
        <w:pStyle w:val="13"/>
        <w:jc w:val="center"/>
        <w:rPr>
          <w:rFonts w:hint="default" w:ascii="Times New Roman" w:hAnsi="Times New Roman" w:eastAsia="宋体" w:cs="Times New Roman"/>
          <w:b/>
          <w:bCs/>
          <w:caps w:val="0"/>
          <w:smallCaps w:val="0"/>
          <w:color w:val="auto"/>
          <w:spacing w:val="0"/>
          <w:w w:val="100"/>
          <w:kern w:val="44"/>
          <w:sz w:val="28"/>
          <w:szCs w:val="28"/>
          <w:highlight w:val="none"/>
          <w:lang w:val="en-US" w:eastAsia="zh-CN" w:bidi="ar-SA"/>
        </w:rPr>
      </w:pPr>
      <w:bookmarkStart w:id="4" w:name="_Toc30578"/>
      <w:bookmarkStart w:id="5" w:name="_Toc22901"/>
      <w:r>
        <w:rPr>
          <w:rFonts w:hint="default" w:ascii="Times New Roman" w:hAnsi="Times New Roman" w:eastAsia="宋体" w:cs="Times New Roman"/>
          <w:b/>
          <w:bCs/>
          <w:caps w:val="0"/>
          <w:smallCaps w:val="0"/>
          <w:color w:val="auto"/>
          <w:spacing w:val="0"/>
          <w:w w:val="100"/>
          <w:kern w:val="44"/>
          <w:sz w:val="28"/>
          <w:szCs w:val="28"/>
          <w:highlight w:val="none"/>
          <w:lang w:val="en-US" w:eastAsia="zh-CN" w:bidi="ar-SA"/>
        </w:rPr>
        <w:t>20</w:t>
      </w:r>
      <w:r>
        <w:rPr>
          <w:rFonts w:hint="eastAsia" w:ascii="Times New Roman" w:hAnsi="Times New Roman" w:eastAsia="宋体" w:cs="Times New Roman"/>
          <w:b/>
          <w:bCs/>
          <w:caps w:val="0"/>
          <w:smallCaps w:val="0"/>
          <w:color w:val="auto"/>
          <w:spacing w:val="0"/>
          <w:w w:val="100"/>
          <w:kern w:val="44"/>
          <w:sz w:val="28"/>
          <w:szCs w:val="28"/>
          <w:highlight w:val="none"/>
          <w:lang w:val="en-US" w:eastAsia="zh-CN" w:bidi="ar-SA"/>
        </w:rPr>
        <w:t>24</w:t>
      </w:r>
      <w:r>
        <w:rPr>
          <w:rFonts w:hint="default" w:ascii="Times New Roman" w:hAnsi="Times New Roman" w:eastAsia="宋体" w:cs="Times New Roman"/>
          <w:b/>
          <w:bCs/>
          <w:caps w:val="0"/>
          <w:smallCaps w:val="0"/>
          <w:color w:val="auto"/>
          <w:spacing w:val="0"/>
          <w:w w:val="100"/>
          <w:kern w:val="44"/>
          <w:sz w:val="28"/>
          <w:szCs w:val="28"/>
          <w:highlight w:val="none"/>
          <w:lang w:val="en-US" w:eastAsia="zh-CN" w:bidi="ar-SA"/>
        </w:rPr>
        <w:t>年</w:t>
      </w:r>
      <w:r>
        <w:rPr>
          <w:rFonts w:hint="eastAsia" w:ascii="Times New Roman" w:hAnsi="Times New Roman" w:eastAsia="宋体" w:cs="Times New Roman"/>
          <w:b/>
          <w:bCs/>
          <w:caps w:val="0"/>
          <w:smallCaps w:val="0"/>
          <w:color w:val="auto"/>
          <w:spacing w:val="0"/>
          <w:w w:val="100"/>
          <w:kern w:val="44"/>
          <w:sz w:val="28"/>
          <w:szCs w:val="28"/>
          <w:highlight w:val="none"/>
          <w:lang w:val="en-US" w:eastAsia="zh-CN" w:bidi="ar-SA"/>
        </w:rPr>
        <w:t>1</w:t>
      </w:r>
      <w:r>
        <w:rPr>
          <w:rFonts w:hint="default" w:ascii="Times New Roman" w:hAnsi="Times New Roman" w:eastAsia="宋体" w:cs="Times New Roman"/>
          <w:b/>
          <w:bCs/>
          <w:caps w:val="0"/>
          <w:smallCaps w:val="0"/>
          <w:color w:val="auto"/>
          <w:spacing w:val="0"/>
          <w:w w:val="100"/>
          <w:kern w:val="44"/>
          <w:sz w:val="28"/>
          <w:szCs w:val="28"/>
          <w:highlight w:val="none"/>
          <w:lang w:val="en-US" w:eastAsia="zh-CN" w:bidi="ar-SA"/>
        </w:rPr>
        <w:t>月</w:t>
      </w:r>
      <w:bookmarkEnd w:id="4"/>
      <w:bookmarkEnd w:id="5"/>
    </w:p>
    <w:p>
      <w:pPr>
        <w:rPr>
          <w:rFonts w:hint="default" w:ascii="Times New Roman" w:hAnsi="Times New Roman" w:eastAsia="宋体" w:cs="Times New Roman"/>
          <w:b/>
          <w:bCs/>
          <w:caps w:val="0"/>
          <w:smallCaps w:val="0"/>
          <w:color w:val="auto"/>
          <w:spacing w:val="0"/>
          <w:w w:val="100"/>
          <w:kern w:val="44"/>
          <w:sz w:val="28"/>
          <w:szCs w:val="28"/>
          <w:highlight w:val="none"/>
          <w:lang w:val="en-US" w:eastAsia="zh-CN" w:bidi="ar-SA"/>
        </w:rPr>
      </w:pPr>
      <w:r>
        <w:rPr>
          <w:rFonts w:hint="default" w:ascii="Times New Roman" w:hAnsi="Times New Roman" w:eastAsia="宋体" w:cs="Times New Roman"/>
          <w:b/>
          <w:bCs/>
          <w:caps w:val="0"/>
          <w:smallCaps w:val="0"/>
          <w:color w:val="auto"/>
          <w:spacing w:val="0"/>
          <w:w w:val="100"/>
          <w:kern w:val="44"/>
          <w:sz w:val="28"/>
          <w:szCs w:val="28"/>
          <w:highlight w:val="none"/>
          <w:lang w:val="en-US" w:eastAsia="zh-CN" w:bidi="ar-SA"/>
        </w:rPr>
        <w:br w:type="page"/>
      </w:r>
    </w:p>
    <w:p>
      <w:pPr>
        <w:rPr>
          <w:rFonts w:hint="default"/>
          <w:color w:val="auto"/>
          <w:highlight w:val="none"/>
          <w:lang w:val="en-US" w:eastAsia="zh-CN"/>
        </w:rPr>
      </w:pPr>
      <w:r>
        <w:rPr>
          <w:rFonts w:hint="default"/>
          <w:color w:val="auto"/>
          <w:highlight w:val="none"/>
          <w:lang w:val="en-US" w:eastAsia="zh-CN"/>
        </w:rPr>
        <w:drawing>
          <wp:inline distT="0" distB="0" distL="114300" distR="114300">
            <wp:extent cx="5269230" cy="7439660"/>
            <wp:effectExtent l="0" t="0" r="7620" b="8890"/>
            <wp:docPr id="59" name="图片 59" descr="签字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签字页"/>
                    <pic:cNvPicPr>
                      <a:picLocks noChangeAspect="1"/>
                    </pic:cNvPicPr>
                  </pic:nvPicPr>
                  <pic:blipFill>
                    <a:blip r:embed="rId8"/>
                    <a:stretch>
                      <a:fillRect/>
                    </a:stretch>
                  </pic:blipFill>
                  <pic:spPr>
                    <a:xfrm>
                      <a:off x="0" y="0"/>
                      <a:ext cx="5269230" cy="7439660"/>
                    </a:xfrm>
                    <a:prstGeom prst="rect">
                      <a:avLst/>
                    </a:prstGeom>
                  </pic:spPr>
                </pic:pic>
              </a:graphicData>
            </a:graphic>
          </wp:inline>
        </w:drawing>
      </w:r>
    </w:p>
    <w:p>
      <w:pPr>
        <w:rPr>
          <w:rFonts w:hint="default" w:ascii="Times New Roman" w:hAnsi="Times New Roman" w:cs="Times New Roman"/>
          <w:b w:val="0"/>
          <w:bCs/>
          <w:color w:val="auto"/>
          <w:w w:val="99"/>
          <w:kern w:val="2"/>
          <w:sz w:val="28"/>
          <w:szCs w:val="28"/>
          <w:highlight w:val="none"/>
          <w:lang w:val="en-US" w:eastAsia="zh-CN" w:bidi="ar-SA"/>
        </w:rPr>
      </w:pPr>
      <w:r>
        <w:rPr>
          <w:rFonts w:hint="default" w:ascii="Times New Roman" w:hAnsi="Times New Roman" w:cs="Times New Roman"/>
          <w:b w:val="0"/>
          <w:bCs/>
          <w:color w:val="auto"/>
          <w:w w:val="99"/>
          <w:kern w:val="2"/>
          <w:sz w:val="28"/>
          <w:szCs w:val="28"/>
          <w:highlight w:val="none"/>
          <w:lang w:val="en-US" w:eastAsia="zh-CN" w:bidi="ar-SA"/>
        </w:rPr>
        <w:br w:type="page"/>
      </w:r>
    </w:p>
    <w:p>
      <w:pPr>
        <w:jc w:val="center"/>
        <w:rPr>
          <w:color w:val="auto"/>
          <w:highlight w:val="none"/>
        </w:rPr>
      </w:pPr>
      <w:r>
        <w:rPr>
          <w:rFonts w:hint="eastAsia" w:cs="Times New Roman"/>
          <w:b/>
          <w:bCs/>
          <w:caps w:val="0"/>
          <w:smallCaps w:val="0"/>
          <w:color w:val="auto"/>
          <w:spacing w:val="0"/>
          <w:w w:val="100"/>
          <w:kern w:val="44"/>
          <w:sz w:val="32"/>
          <w:szCs w:val="32"/>
          <w:highlight w:val="none"/>
          <w:lang w:val="en-US" w:eastAsia="zh-CN" w:bidi="ar-SA"/>
        </w:rPr>
        <w:t>目录</w:t>
      </w:r>
      <w:r>
        <w:rPr>
          <w:color w:val="auto"/>
          <w:highlight w:val="none"/>
        </w:rPr>
        <w:fldChar w:fldCharType="begin"/>
      </w:r>
      <w:r>
        <w:rPr>
          <w:color w:val="auto"/>
          <w:highlight w:val="none"/>
        </w:rPr>
        <w:instrText xml:space="preserve">TOC \o "1-3" \h \u </w:instrText>
      </w:r>
      <w:r>
        <w:rPr>
          <w:color w:val="auto"/>
          <w:highlight w:val="none"/>
        </w:rPr>
        <w:fldChar w:fldCharType="separate"/>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_Toc4982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1.概述</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_Toc4982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_Toc1640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1.1项目由来</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_Toc1640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_Toc12252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1.2项目建设特点</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_Toc12252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_Toc15637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1.3环境影响评价工作过程</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_Toc15637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_Toc1886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1.4分析判定相关情况</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_Toc1886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4</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_Toc26262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1.5“三区三线”划定成果分析</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_Toc26262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27</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_Toc4835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1.6工程选址环境合理性分析</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_Toc4835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27</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_Toc25482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1.7关注的主要环境问题及环境影响</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_Toc25482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28</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_Toc5788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1.8环境影响评价的主要结论</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_Toc5788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32</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_Toc23875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2总则</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_Toc23875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33</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_Toc15596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2.1编制依据</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_Toc15596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33</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_Toc18820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2.2评价因子识别与筛选</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_Toc18820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36</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_Toc3505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2.3环境功能区划及评价执行标准</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_Toc3505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44</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_Toc32057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2.5环境保护目标</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_Toc32057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62</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_Toc19623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3.建设项目工程分析</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_Toc19623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70</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_Toc19905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3.1项目概况</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_Toc19905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70</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_Toc24563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3.2施工方式</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_Toc24563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86</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_Toc32203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3.3运行期工艺及产污环节分析</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_Toc32203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90</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_Toc10280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3.5清洁生产分析</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_Toc10280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116</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_Toc22995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4环境现状调查与评价</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_Toc22995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118</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_Toc15676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4.1自然环境现状调查</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_Toc15676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118</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_Toc18875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4.2环境质量现状调查与评价</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_Toc18875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123</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_Toc24248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4.3生态环境现状调查与评价</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_Toc24248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157</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_Toc9833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5.环境影响预测与评价</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_Toc9833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166</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_Toc31898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5.1施工期环境影响预测与评价</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_Toc31898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166</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_Toc31338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5.2运行期环境影响预测与评价</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_Toc31338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169</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_Toc10049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5.3生态环境影响</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_Toc10049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208</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_Toc30614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5.4环境风险分析</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_Toc30614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219</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_Toc25844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6环境保护设施、措施分析与论证</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_Toc25844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226</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_Toc6392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6.1废气污染防治措施及其可行性论证</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_Toc6392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226</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_Toc776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6.2水污染防治措施及其可行性论证</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_Toc776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230</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_Toc819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6.3噪声污染防治措施及其可行性论证</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_Toc819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237</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_Toc5522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6.4固体废物污染防治措施及其可行性论证</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_Toc5522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239</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_Toc31748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6.5土壤环境污染保护措施与对策</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_Toc31748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243</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_Toc11629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6.6生态保护对策措施及其可行性论证</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_Toc11629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245</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_Toc29352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6.7环境风险防范及减缓措施</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_Toc29352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251</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_Toc16260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7环境影响经济损益分析</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_Toc16260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259</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_Toc18546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7.1经济效益</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_Toc18546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259</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_Toc20373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7.2社会效益</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_Toc20373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259</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_Toc17177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7.3环境效益</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_Toc17177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259</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_Toc16822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8环境管理与环境监测</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_Toc16822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263</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_Toc7822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8.1环境管理制度、机构及维护机制要求</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_Toc7822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263</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_Toc4460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8.2污染物排放清单</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_Toc4460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266</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_Toc8785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8.3总量控制</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_Toc8785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269</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_Toc25109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8.4建设项目环保“三同时”验收内容</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_Toc25109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269</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_Toc32416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8.5环境监测</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_Toc32416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274</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_Toc15338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9结论与建议</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_Toc15338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276</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_Toc6137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9.1建设项目概况</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_Toc6137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276</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_Toc8691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9.2环境质量现状</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_Toc8691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276</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_Toc23489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9.3主要环境影响</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_Toc23489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278</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_Toc20630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9.4环境影响经济损益分析结论</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_Toc20630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280</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_Toc20238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9.5公众意见采纳情况</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_Toc20238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281</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_Toc12717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9.6环境管理与监测计划结论</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_Toc12717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281</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pStyle w:val="6"/>
        <w:tabs>
          <w:tab w:val="right" w:leader="dot" w:pos="8306"/>
        </w:tabs>
        <w:rPr>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_Toc20716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snapToGrid/>
          <w:color w:val="auto"/>
          <w:highlight w:val="none"/>
          <w:lang w:val="en-US" w:eastAsia="zh-CN" w:bidi="ar-SA"/>
        </w:rPr>
        <w:t>9.7建设项目环境可行性综合结论</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PAGEREF _Toc20716 \h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281</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end"/>
      </w:r>
    </w:p>
    <w:p>
      <w:pPr>
        <w:rPr>
          <w:color w:val="auto"/>
          <w:highlight w:val="none"/>
        </w:rPr>
      </w:pPr>
      <w:r>
        <w:rPr>
          <w:color w:val="auto"/>
          <w:highlight w:val="none"/>
        </w:rPr>
        <w:fldChar w:fldCharType="end"/>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sectPr>
          <w:headerReference r:id="rId3" w:type="default"/>
          <w:footerReference r:id="rId4"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bookmarkStart w:id="6" w:name="_Toc4982"/>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r>
        <w:rPr>
          <w:rFonts w:hint="eastAsia" w:ascii="Times New Roman" w:hAnsi="Times New Roman" w:eastAsia="宋体" w:cs="Times New Roman"/>
          <w:snapToGrid/>
          <w:color w:val="auto"/>
          <w:sz w:val="32"/>
          <w:highlight w:val="none"/>
          <w:lang w:val="en-US" w:eastAsia="zh-CN" w:bidi="ar-SA"/>
        </w:rPr>
        <w:t>1.概述</w:t>
      </w:r>
      <w:bookmarkEnd w:id="6"/>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7" w:name="_Toc1640"/>
      <w:r>
        <w:rPr>
          <w:rFonts w:hint="eastAsia" w:ascii="Times New Roman" w:hAnsi="Times New Roman" w:eastAsia="宋体" w:cs="Times New Roman"/>
          <w:snapToGrid/>
          <w:color w:val="auto"/>
          <w:sz w:val="32"/>
          <w:highlight w:val="none"/>
          <w:lang w:val="en-US" w:eastAsia="zh-CN" w:bidi="ar-SA"/>
        </w:rPr>
        <w:t>1.1项目由来</w:t>
      </w:r>
      <w:bookmarkEnd w:id="7"/>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eastAsia" w:ascii="Times New Roman" w:hAnsi="Times New Roman" w:eastAsia="宋体" w:cs="Times New Roman"/>
          <w:caps w:val="0"/>
          <w:smallCaps w:val="0"/>
          <w:color w:val="auto"/>
          <w:spacing w:val="0"/>
          <w:w w:val="100"/>
          <w:kern w:val="0"/>
          <w:sz w:val="24"/>
          <w:szCs w:val="24"/>
          <w:highlight w:val="none"/>
          <w:lang w:val="en-US" w:eastAsia="zh-CN"/>
        </w:rPr>
      </w:pPr>
      <w:r>
        <w:rPr>
          <w:rFonts w:hint="default" w:ascii="Times New Roman" w:hAnsi="Times New Roman" w:eastAsia="宋体" w:cs="Times New Roman"/>
          <w:caps w:val="0"/>
          <w:smallCaps w:val="0"/>
          <w:color w:val="auto"/>
          <w:spacing w:val="0"/>
          <w:w w:val="100"/>
          <w:kern w:val="0"/>
          <w:sz w:val="24"/>
          <w:szCs w:val="24"/>
          <w:highlight w:val="none"/>
          <w:lang w:val="en-US" w:eastAsia="zh-CN"/>
        </w:rPr>
        <w:t>黑龙江省大庆市是我国重要的石油天然气开采和生产加工基地，在石油和天然气开采作业过程中，产生的压裂返排液、</w:t>
      </w:r>
      <w:r>
        <w:rPr>
          <w:rFonts w:hint="eastAsia" w:cs="Times New Roman"/>
          <w:caps w:val="0"/>
          <w:smallCaps w:val="0"/>
          <w:color w:val="auto"/>
          <w:spacing w:val="0"/>
          <w:w w:val="100"/>
          <w:kern w:val="0"/>
          <w:sz w:val="24"/>
          <w:szCs w:val="24"/>
          <w:highlight w:val="none"/>
          <w:lang w:val="en-US" w:eastAsia="zh-CN"/>
        </w:rPr>
        <w:t>采出水、</w:t>
      </w:r>
      <w:r>
        <w:rPr>
          <w:rFonts w:hint="default" w:ascii="Times New Roman" w:hAnsi="Times New Roman" w:eastAsia="宋体" w:cs="Times New Roman"/>
          <w:caps w:val="0"/>
          <w:smallCaps w:val="0"/>
          <w:color w:val="auto"/>
          <w:spacing w:val="0"/>
          <w:w w:val="100"/>
          <w:kern w:val="0"/>
          <w:sz w:val="24"/>
          <w:szCs w:val="24"/>
          <w:highlight w:val="none"/>
          <w:lang w:val="en-US" w:eastAsia="zh-CN"/>
        </w:rPr>
        <w:t>修井废水</w:t>
      </w:r>
      <w:r>
        <w:rPr>
          <w:rFonts w:hint="eastAsia" w:cs="Times New Roman"/>
          <w:caps w:val="0"/>
          <w:smallCaps w:val="0"/>
          <w:color w:val="auto"/>
          <w:spacing w:val="0"/>
          <w:w w:val="100"/>
          <w:kern w:val="0"/>
          <w:sz w:val="24"/>
          <w:szCs w:val="24"/>
          <w:highlight w:val="none"/>
          <w:lang w:val="en-US" w:eastAsia="zh-CN"/>
        </w:rPr>
        <w:t>等作业废水。作业废水中</w:t>
      </w:r>
      <w:r>
        <w:rPr>
          <w:rFonts w:hint="default" w:ascii="Times New Roman" w:hAnsi="Times New Roman" w:eastAsia="宋体" w:cs="Times New Roman"/>
          <w:caps w:val="0"/>
          <w:smallCaps w:val="0"/>
          <w:color w:val="auto"/>
          <w:spacing w:val="0"/>
          <w:w w:val="100"/>
          <w:kern w:val="0"/>
          <w:sz w:val="24"/>
          <w:szCs w:val="24"/>
          <w:highlight w:val="none"/>
          <w:lang w:val="en-US" w:eastAsia="zh-CN"/>
        </w:rPr>
        <w:t>含有固体悬浮物、石油类</w:t>
      </w:r>
      <w:r>
        <w:rPr>
          <w:rFonts w:hint="eastAsia" w:cs="Times New Roman"/>
          <w:caps w:val="0"/>
          <w:smallCaps w:val="0"/>
          <w:color w:val="auto"/>
          <w:spacing w:val="0"/>
          <w:w w:val="100"/>
          <w:kern w:val="0"/>
          <w:sz w:val="24"/>
          <w:szCs w:val="24"/>
          <w:highlight w:val="none"/>
          <w:lang w:val="en-US" w:eastAsia="zh-CN"/>
        </w:rPr>
        <w:t>及COD</w:t>
      </w:r>
      <w:r>
        <w:rPr>
          <w:rFonts w:hint="default" w:ascii="Times New Roman" w:hAnsi="Times New Roman" w:eastAsia="宋体" w:cs="Times New Roman"/>
          <w:caps w:val="0"/>
          <w:smallCaps w:val="0"/>
          <w:color w:val="auto"/>
          <w:spacing w:val="0"/>
          <w:w w:val="100"/>
          <w:kern w:val="0"/>
          <w:sz w:val="24"/>
          <w:szCs w:val="24"/>
          <w:highlight w:val="none"/>
          <w:lang w:val="en-US" w:eastAsia="zh-CN"/>
        </w:rPr>
        <w:t>等污染物，具有黏度、浊度、有机污染物含量高且稳定性强的特点，如果不经过处理而直接送油田联合站处理</w:t>
      </w:r>
      <w:r>
        <w:rPr>
          <w:rFonts w:hint="eastAsia" w:cs="Times New Roman"/>
          <w:caps w:val="0"/>
          <w:smallCaps w:val="0"/>
          <w:color w:val="auto"/>
          <w:spacing w:val="0"/>
          <w:w w:val="100"/>
          <w:kern w:val="0"/>
          <w:sz w:val="24"/>
          <w:szCs w:val="24"/>
          <w:highlight w:val="none"/>
          <w:lang w:val="en-US" w:eastAsia="zh-CN"/>
        </w:rPr>
        <w:t>，</w:t>
      </w:r>
      <w:r>
        <w:rPr>
          <w:rFonts w:hint="default" w:ascii="Times New Roman" w:hAnsi="Times New Roman" w:eastAsia="宋体" w:cs="Times New Roman"/>
          <w:caps w:val="0"/>
          <w:smallCaps w:val="0"/>
          <w:color w:val="auto"/>
          <w:spacing w:val="0"/>
          <w:w w:val="100"/>
          <w:kern w:val="0"/>
          <w:sz w:val="24"/>
          <w:szCs w:val="24"/>
          <w:highlight w:val="none"/>
          <w:lang w:val="en-US" w:eastAsia="zh-CN"/>
        </w:rPr>
        <w:t>将对处理站稳定运行、出水稳定达标造成一定压力</w:t>
      </w:r>
      <w:r>
        <w:rPr>
          <w:rFonts w:hint="eastAsia" w:ascii="Times New Roman" w:hAnsi="Times New Roman" w:eastAsia="宋体" w:cs="Times New Roman"/>
          <w:caps w:val="0"/>
          <w:smallCaps w:val="0"/>
          <w:color w:val="auto"/>
          <w:spacing w:val="0"/>
          <w:w w:val="100"/>
          <w:kern w:val="0"/>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default" w:ascii="Times New Roman" w:hAnsi="Times New Roman" w:eastAsia="宋体" w:cs="Times New Roman"/>
          <w:caps w:val="0"/>
          <w:smallCaps w:val="0"/>
          <w:color w:val="auto"/>
          <w:spacing w:val="0"/>
          <w:w w:val="100"/>
          <w:kern w:val="0"/>
          <w:sz w:val="24"/>
          <w:szCs w:val="24"/>
          <w:highlight w:val="none"/>
          <w:lang w:val="en-US" w:eastAsia="zh-CN"/>
        </w:rPr>
      </w:pPr>
      <w:r>
        <w:rPr>
          <w:rFonts w:hint="default" w:ascii="Times New Roman" w:hAnsi="Times New Roman" w:eastAsia="宋体" w:cs="Times New Roman"/>
          <w:caps w:val="0"/>
          <w:smallCaps w:val="0"/>
          <w:color w:val="auto"/>
          <w:spacing w:val="0"/>
          <w:w w:val="100"/>
          <w:kern w:val="0"/>
          <w:sz w:val="24"/>
          <w:szCs w:val="24"/>
          <w:highlight w:val="none"/>
          <w:lang w:val="en-US" w:eastAsia="zh-CN"/>
        </w:rPr>
        <w:t>为有效处理</w:t>
      </w:r>
      <w:r>
        <w:rPr>
          <w:rFonts w:hint="eastAsia" w:cs="Times New Roman"/>
          <w:caps w:val="0"/>
          <w:smallCaps w:val="0"/>
          <w:color w:val="auto"/>
          <w:spacing w:val="0"/>
          <w:w w:val="100"/>
          <w:kern w:val="0"/>
          <w:sz w:val="24"/>
          <w:szCs w:val="24"/>
          <w:highlight w:val="none"/>
          <w:lang w:val="en-US" w:eastAsia="zh-CN"/>
        </w:rPr>
        <w:t>油田开采过程中产生的作业废水，大庆油田有限责任公司页岩油勘探开发指挥部</w:t>
      </w:r>
      <w:r>
        <w:rPr>
          <w:rFonts w:hint="default" w:ascii="Times New Roman" w:hAnsi="Times New Roman" w:eastAsia="宋体" w:cs="Times New Roman"/>
          <w:caps w:val="0"/>
          <w:smallCaps w:val="0"/>
          <w:color w:val="auto"/>
          <w:spacing w:val="0"/>
          <w:w w:val="100"/>
          <w:kern w:val="0"/>
          <w:sz w:val="24"/>
          <w:szCs w:val="24"/>
          <w:highlight w:val="none"/>
          <w:lang w:val="en-US" w:eastAsia="zh-CN"/>
        </w:rPr>
        <w:t>与肇源县风瀚环保科技有限公司签订处理服务合同</w:t>
      </w:r>
      <w:r>
        <w:rPr>
          <w:rFonts w:hint="eastAsia" w:ascii="Times New Roman" w:hAnsi="Times New Roman" w:eastAsia="宋体" w:cs="Times New Roman"/>
          <w:caps w:val="0"/>
          <w:smallCaps w:val="0"/>
          <w:color w:val="auto"/>
          <w:spacing w:val="0"/>
          <w:w w:val="100"/>
          <w:kern w:val="0"/>
          <w:sz w:val="24"/>
          <w:szCs w:val="24"/>
          <w:highlight w:val="none"/>
          <w:lang w:val="en-US" w:eastAsia="zh-CN"/>
        </w:rPr>
        <w:t>，处理3#页岩油试验区</w:t>
      </w:r>
      <w:r>
        <w:rPr>
          <w:rFonts w:hint="eastAsia" w:cs="Times New Roman"/>
          <w:caps w:val="0"/>
          <w:smallCaps w:val="0"/>
          <w:color w:val="auto"/>
          <w:spacing w:val="0"/>
          <w:w w:val="100"/>
          <w:kern w:val="0"/>
          <w:sz w:val="24"/>
          <w:szCs w:val="24"/>
          <w:highlight w:val="none"/>
          <w:lang w:val="en-US" w:eastAsia="zh-CN"/>
        </w:rPr>
        <w:t>开采过程中产生的</w:t>
      </w:r>
      <w:r>
        <w:rPr>
          <w:rFonts w:hint="eastAsia" w:ascii="Times New Roman" w:hAnsi="Times New Roman" w:eastAsia="宋体" w:cs="Times New Roman"/>
          <w:caps w:val="0"/>
          <w:smallCaps w:val="0"/>
          <w:color w:val="auto"/>
          <w:spacing w:val="0"/>
          <w:w w:val="100"/>
          <w:kern w:val="0"/>
          <w:sz w:val="24"/>
          <w:szCs w:val="24"/>
          <w:highlight w:val="none"/>
          <w:lang w:val="en-US" w:eastAsia="zh-CN"/>
        </w:rPr>
        <w:t>压裂返排液</w:t>
      </w:r>
      <w:r>
        <w:rPr>
          <w:rFonts w:hint="eastAsia" w:cs="Times New Roman"/>
          <w:caps w:val="0"/>
          <w:smallCaps w:val="0"/>
          <w:color w:val="auto"/>
          <w:spacing w:val="0"/>
          <w:w w:val="100"/>
          <w:kern w:val="0"/>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页岩油开采过程中产生的</w:t>
      </w:r>
      <w:r>
        <w:rPr>
          <w:rFonts w:hint="eastAsia" w:ascii="Times New Roman" w:hAnsi="Times New Roman" w:eastAsia="宋体" w:cs="Times New Roman"/>
          <w:caps w:val="0"/>
          <w:smallCaps w:val="0"/>
          <w:color w:val="auto"/>
          <w:spacing w:val="0"/>
          <w:w w:val="100"/>
          <w:kern w:val="0"/>
          <w:sz w:val="24"/>
          <w:szCs w:val="24"/>
          <w:highlight w:val="none"/>
          <w:lang w:val="en-US" w:eastAsia="zh-CN"/>
        </w:rPr>
        <w:t>压裂返排液</w:t>
      </w:r>
      <w:r>
        <w:rPr>
          <w:rFonts w:hint="eastAsia" w:cs="Times New Roman"/>
          <w:caps w:val="0"/>
          <w:smallCaps w:val="0"/>
          <w:color w:val="auto"/>
          <w:spacing w:val="0"/>
          <w:w w:val="100"/>
          <w:kern w:val="0"/>
          <w:sz w:val="24"/>
          <w:szCs w:val="24"/>
          <w:highlight w:val="none"/>
          <w:lang w:val="en-US" w:eastAsia="zh-CN"/>
        </w:rPr>
        <w:t>由罐车拉运至本次新建的3#服务站，采用“均质+隔油沉沙+絮凝沉淀+两级气浮”处理工艺，处理后水满足《大庆油田地面工程建设设计规定》（Q/SYDQ 0639-2015）“含油量≤20mg/L、悬浮固体含量≤20mg/L”，临时暂存在站址内储液池中，回用于</w:t>
      </w:r>
      <w:r>
        <w:rPr>
          <w:rFonts w:hint="eastAsia" w:ascii="Times New Roman" w:hAnsi="Times New Roman" w:eastAsia="宋体" w:cs="Times New Roman"/>
          <w:caps w:val="0"/>
          <w:smallCaps w:val="0"/>
          <w:color w:val="auto"/>
          <w:spacing w:val="0"/>
          <w:w w:val="100"/>
          <w:kern w:val="0"/>
          <w:sz w:val="24"/>
          <w:szCs w:val="24"/>
          <w:highlight w:val="none"/>
          <w:lang w:val="en-US" w:eastAsia="zh-CN"/>
        </w:rPr>
        <w:t>3#页岩油试验区</w:t>
      </w:r>
      <w:r>
        <w:rPr>
          <w:rFonts w:hint="eastAsia" w:cs="Times New Roman"/>
          <w:caps w:val="0"/>
          <w:smallCaps w:val="0"/>
          <w:color w:val="auto"/>
          <w:spacing w:val="0"/>
          <w:w w:val="100"/>
          <w:kern w:val="0"/>
          <w:sz w:val="24"/>
          <w:szCs w:val="24"/>
          <w:highlight w:val="none"/>
          <w:lang w:val="en-US" w:eastAsia="zh-CN"/>
        </w:rPr>
        <w:t>或其他</w:t>
      </w:r>
      <w:r>
        <w:rPr>
          <w:rFonts w:hint="eastAsia" w:ascii="Times New Roman" w:hAnsi="Times New Roman" w:eastAsia="宋体" w:cs="Times New Roman"/>
          <w:caps w:val="0"/>
          <w:smallCaps w:val="0"/>
          <w:color w:val="auto"/>
          <w:spacing w:val="0"/>
          <w:w w:val="100"/>
          <w:kern w:val="0"/>
          <w:sz w:val="24"/>
          <w:szCs w:val="24"/>
          <w:highlight w:val="none"/>
          <w:lang w:val="en-US" w:eastAsia="zh-CN"/>
        </w:rPr>
        <w:t>页岩油试验区</w:t>
      </w:r>
      <w:r>
        <w:rPr>
          <w:rFonts w:hint="eastAsia" w:cs="Times New Roman"/>
          <w:caps w:val="0"/>
          <w:smallCaps w:val="0"/>
          <w:color w:val="auto"/>
          <w:spacing w:val="0"/>
          <w:w w:val="100"/>
          <w:kern w:val="0"/>
          <w:sz w:val="24"/>
          <w:szCs w:val="24"/>
          <w:highlight w:val="none"/>
          <w:lang w:val="en-US" w:eastAsia="zh-CN"/>
        </w:rPr>
        <w:t>压裂复配。</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本次建设页岩油试验区</w:t>
      </w:r>
      <w:r>
        <w:rPr>
          <w:rFonts w:hint="default" w:ascii="Times New Roman" w:hAnsi="Times New Roman" w:eastAsia="宋体" w:cs="Times New Roman"/>
          <w:caps w:val="0"/>
          <w:smallCaps w:val="0"/>
          <w:color w:val="auto"/>
          <w:spacing w:val="0"/>
          <w:w w:val="100"/>
          <w:kern w:val="0"/>
          <w:sz w:val="24"/>
          <w:szCs w:val="24"/>
          <w:highlight w:val="none"/>
          <w:lang w:val="en-US" w:eastAsia="zh-CN"/>
        </w:rPr>
        <w:t>压裂返排液</w:t>
      </w:r>
      <w:r>
        <w:rPr>
          <w:rFonts w:hint="eastAsia" w:cs="Times New Roman"/>
          <w:caps w:val="0"/>
          <w:smallCaps w:val="0"/>
          <w:color w:val="auto"/>
          <w:spacing w:val="0"/>
          <w:w w:val="100"/>
          <w:kern w:val="0"/>
          <w:sz w:val="24"/>
          <w:szCs w:val="24"/>
          <w:highlight w:val="none"/>
          <w:lang w:val="en-US" w:eastAsia="zh-CN"/>
        </w:rPr>
        <w:t>服务处理站1座，为3#服务站，设计处理能力为4500t/d，站内建设卸车平台、预处理车间、污油储罐区、储液池区域及办公区域等。</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站外共铺设5条管道，其中3条由本次新建的3#站西北侧线，由南向北铺设，接入已建2#服务站的西南角。3条管道并列铺设，长度均为29km，前期均输送处理达标的水，回用于其他页岩油试验区压裂复配。后期待1#试验站深度生化处理工程取得环评手续运行后，后期其中2条输液管道水质用于深度处理，综合利用，剩余1条使用功能不变。</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eastAsia" w:ascii="Times New Roman" w:hAnsi="Times New Roman" w:cs="Times New Roman"/>
          <w:caps w:val="0"/>
          <w:smallCaps w:val="0"/>
          <w:color w:val="auto"/>
          <w:spacing w:val="0"/>
          <w:w w:val="100"/>
          <w:kern w:val="0"/>
          <w:sz w:val="24"/>
          <w:szCs w:val="24"/>
          <w:highlight w:val="none"/>
          <w:lang w:val="en-US" w:eastAsia="zh-CN"/>
        </w:rPr>
      </w:pPr>
      <w:bookmarkStart w:id="8" w:name="_Toc12252"/>
      <w:r>
        <w:rPr>
          <w:rFonts w:hint="eastAsia" w:ascii="Times New Roman" w:hAnsi="Times New Roman" w:cs="Times New Roman"/>
          <w:caps w:val="0"/>
          <w:smallCaps w:val="0"/>
          <w:color w:val="auto"/>
          <w:spacing w:val="0"/>
          <w:w w:val="100"/>
          <w:kern w:val="0"/>
          <w:sz w:val="24"/>
          <w:szCs w:val="24"/>
          <w:highlight w:val="none"/>
          <w:lang w:val="en-US" w:eastAsia="zh-CN"/>
        </w:rPr>
        <w:t>其余两条由已建的2#服务站站址西北侧出线，向北侧铺设，与1#服务站已建的输液管道连接，管道并列铺设，长度均为4km。前期均输送处理达标的水，回用于其他页岩油试验区压裂复配。后期待1#服务站深度生化处理工程取得环评手续运行后，后期其中1条输液管道输送的水用于深度处理，综合利用，剩余1条使用功能不变。</w:t>
      </w:r>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r>
        <w:rPr>
          <w:rFonts w:hint="eastAsia" w:ascii="Times New Roman" w:hAnsi="Times New Roman" w:eastAsia="宋体" w:cs="Times New Roman"/>
          <w:snapToGrid/>
          <w:color w:val="auto"/>
          <w:sz w:val="32"/>
          <w:highlight w:val="none"/>
          <w:lang w:val="en-US" w:eastAsia="zh-CN" w:bidi="ar-SA"/>
        </w:rPr>
        <w:t>1.2项目建设特点</w:t>
      </w:r>
      <w:bookmarkEnd w:id="8"/>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（1）本项目为工业废水处理项目，建设废水处理站1座，同时配套建设3条并列布设的输液管道，长度均为29km/条；针对已建2#废水处理服务站，建设2条并列布设的输液管道，长度均为4km/条。</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（2）项目施工期主要影响为项目建设对周围土壤的扰动及生态环境的影响；运行期主要为废水处理及处置过程中废气、废水、固废、噪声对周围环境的影响。</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3）项目新建管道长度较长，施工期间管道临时占地涉及永久基本农田，需按照永久基本农田及黑土地保护法及条例进行管理；同时管道跨越省道，多次穿越乡间路、林地、坑塘水面及河渠，采取不同施工方式及水土保持措施。</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4）项目站址占地为未利用地（其他草地）就农用地（坑塘水面及河渠），项目施工期间，采取设置排水沟，尽可能避开植物生长旺盛期，减少对植物生长的影响等保护措施，减少站址永久占地对周围生态环境的影响。</w:t>
      </w:r>
    </w:p>
    <w:p>
      <w:pPr>
        <w:pStyle w:val="2"/>
        <w:keepNext w:val="0"/>
        <w:keepLines w:val="0"/>
        <w:pageBreakBefore w:val="0"/>
        <w:widowControl w:val="0"/>
        <w:kinsoku/>
        <w:wordWrap/>
        <w:overflowPunct/>
        <w:topLinePunct w:val="0"/>
        <w:autoSpaceDE/>
        <w:autoSpaceDN/>
        <w:bidi w:val="0"/>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（5）项目站址及输送管道位于大庆市防沙治沙区域，施工期间，采取相应的防治措施，如严格控制施工占地，对临时表土堆进行覆盖，周围设置排水沟等措施，防止土壤侵蚀，造成土壤沙化。</w:t>
      </w:r>
    </w:p>
    <w:p>
      <w:pPr>
        <w:pStyle w:val="2"/>
        <w:keepNext w:val="0"/>
        <w:keepLines w:val="0"/>
        <w:pageBreakBefore w:val="0"/>
        <w:widowControl w:val="0"/>
        <w:kinsoku/>
        <w:wordWrap/>
        <w:overflowPunct/>
        <w:topLinePunct w:val="0"/>
        <w:autoSpaceDE/>
        <w:autoSpaceDN/>
        <w:bidi w:val="0"/>
        <w:spacing w:line="500" w:lineRule="exact"/>
        <w:ind w:left="0" w:leftChars="0" w:firstLine="480" w:firstLineChars="20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（6）对运行期废水及污泥处置过程中产生的恶臭气体，负压收集，进入离子除臭装置进行处理，通过15m排气筒排放；运行过程中产生的挥发性气体（非甲烷总烃）无组织逸散。</w:t>
      </w:r>
    </w:p>
    <w:p>
      <w:pPr>
        <w:pStyle w:val="2"/>
        <w:keepNext w:val="0"/>
        <w:keepLines w:val="0"/>
        <w:pageBreakBefore w:val="0"/>
        <w:widowControl w:val="0"/>
        <w:kinsoku/>
        <w:wordWrap/>
        <w:overflowPunct/>
        <w:topLinePunct w:val="0"/>
        <w:autoSpaceDE/>
        <w:autoSpaceDN/>
        <w:bidi w:val="0"/>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7）废水处置过程中产生的胶质物质、污油及污泥为危险废物；站内运行期间产生废弃的含油抹布和劳保用品、废机油及罐底污泥。污油暂存在站内污油储罐内，定期由油田单位拉运回收利用。胶质物质、污泥、废机油及罐底油泥均交由有资质单位处置；废弃的含油抹布和劳保用品豁免管理，</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可随生活垃圾一起拉运处置</w:t>
      </w:r>
      <w:r>
        <w:rPr>
          <w:rFonts w:hint="eastAsia" w:cs="Times New Roman"/>
          <w:caps w:val="0"/>
          <w:smallCaps w:val="0"/>
          <w:snapToGrid/>
          <w:color w:val="auto"/>
          <w:spacing w:val="0"/>
          <w:w w:val="100"/>
          <w:kern w:val="0"/>
          <w:sz w:val="24"/>
          <w:szCs w:val="24"/>
          <w:highlight w:val="none"/>
          <w:lang w:val="en-US" w:eastAsia="zh-CN" w:bidi="ar-SA"/>
        </w:rPr>
        <w:t>。</w:t>
      </w:r>
    </w:p>
    <w:p>
      <w:pPr>
        <w:pStyle w:val="2"/>
        <w:keepNext w:val="0"/>
        <w:keepLines w:val="0"/>
        <w:pageBreakBefore w:val="0"/>
        <w:widowControl w:val="0"/>
        <w:kinsoku/>
        <w:wordWrap/>
        <w:overflowPunct/>
        <w:topLinePunct w:val="0"/>
        <w:autoSpaceDE/>
        <w:autoSpaceDN/>
        <w:bidi w:val="0"/>
        <w:spacing w:line="500" w:lineRule="exact"/>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8）站址及输送管道采取相应防渗措施。3#服务站分区防渗措施；卸车平台、危废暂存间、预处理车间、污油储罐区、储液池区域、事故池、初期雨水收集池，采取重点防渗措施；危废暂存间防渗性能满足《危险废物贮存污染控制标准》（GB18597-2023）防渗要求，其余区域满足《环境影响评价技术导则 地下水环境》（HJ610-2018）重点防渗性能要求。</w:t>
      </w:r>
    </w:p>
    <w:p>
      <w:pPr>
        <w:pStyle w:val="2"/>
        <w:keepNext w:val="0"/>
        <w:keepLines w:val="0"/>
        <w:pageBreakBefore w:val="0"/>
        <w:widowControl w:val="0"/>
        <w:kinsoku/>
        <w:wordWrap/>
        <w:overflowPunct/>
        <w:topLinePunct w:val="0"/>
        <w:autoSpaceDE/>
        <w:autoSpaceDN/>
        <w:bidi w:val="0"/>
        <w:spacing w:line="500" w:lineRule="exact"/>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库房、配电间、值班室、消防水罐区、办公用房采取一般防渗措施，满足《环境影响评价技术导则 地下水环境》（HJ610-2018）一般防渗性能要求。</w:t>
      </w:r>
    </w:p>
    <w:p>
      <w:pPr>
        <w:pStyle w:val="2"/>
        <w:keepNext w:val="0"/>
        <w:keepLines w:val="0"/>
        <w:pageBreakBefore w:val="0"/>
        <w:widowControl w:val="0"/>
        <w:kinsoku/>
        <w:wordWrap/>
        <w:overflowPunct/>
        <w:topLinePunct w:val="0"/>
        <w:autoSpaceDE/>
        <w:autoSpaceDN/>
        <w:bidi w:val="0"/>
        <w:spacing w:line="500" w:lineRule="exact"/>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其他区域进行简单防渗，满足《环境影响评价技术导则 地下水环境》（HJ610-2018）简单防渗性能要求。</w:t>
      </w:r>
    </w:p>
    <w:p>
      <w:pPr>
        <w:pStyle w:val="2"/>
        <w:keepNext w:val="0"/>
        <w:keepLines w:val="0"/>
        <w:pageBreakBefore w:val="0"/>
        <w:widowControl w:val="0"/>
        <w:kinsoku/>
        <w:wordWrap/>
        <w:overflowPunct/>
        <w:topLinePunct w:val="0"/>
        <w:autoSpaceDE/>
        <w:autoSpaceDN/>
        <w:bidi w:val="0"/>
        <w:spacing w:line="500" w:lineRule="exact"/>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输液管道采用钢丝网骨架塑料（聚乙烯）复合管，耐磨耐腐蚀；管道防腐性能较好，无需进行额外的防腐工程，管道铺设区域防渗性能满足《环境影响评价技术导则 地下水环境》（HJ610-2018）重点防渗性能要求。</w:t>
      </w:r>
    </w:p>
    <w:p>
      <w:pPr>
        <w:pStyle w:val="2"/>
        <w:keepNext w:val="0"/>
        <w:keepLines w:val="0"/>
        <w:pageBreakBefore w:val="0"/>
        <w:widowControl w:val="0"/>
        <w:numPr>
          <w:ilvl w:val="0"/>
          <w:numId w:val="0"/>
        </w:numPr>
        <w:kinsoku/>
        <w:wordWrap/>
        <w:overflowPunct/>
        <w:topLinePunct w:val="0"/>
        <w:autoSpaceDE/>
        <w:autoSpaceDN/>
        <w:bidi w:val="0"/>
        <w:spacing w:line="500" w:lineRule="exact"/>
        <w:ind w:firstLine="480" w:firstLineChars="20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（8）站址内建设2个大型储液池，总占地4.67hm</w:t>
      </w:r>
      <w:r>
        <w:rPr>
          <w:rFonts w:hint="eastAsia" w:cs="Times New Roman"/>
          <w:caps w:val="0"/>
          <w:smallCaps w:val="0"/>
          <w:color w:val="auto"/>
          <w:spacing w:val="0"/>
          <w:w w:val="100"/>
          <w:kern w:val="0"/>
          <w:sz w:val="24"/>
          <w:szCs w:val="24"/>
          <w:highlight w:val="none"/>
          <w:vertAlign w:val="superscript"/>
          <w:lang w:val="en-US" w:eastAsia="zh-CN"/>
        </w:rPr>
        <w:t>2</w:t>
      </w:r>
      <w:r>
        <w:rPr>
          <w:rFonts w:hint="eastAsia" w:cs="Times New Roman"/>
          <w:caps w:val="0"/>
          <w:smallCaps w:val="0"/>
          <w:color w:val="auto"/>
          <w:spacing w:val="0"/>
          <w:w w:val="100"/>
          <w:kern w:val="0"/>
          <w:sz w:val="24"/>
          <w:szCs w:val="24"/>
          <w:highlight w:val="none"/>
          <w:lang w:val="en-US" w:eastAsia="zh-CN"/>
        </w:rPr>
        <w:t>，总容积共14.0586万m</w:t>
      </w:r>
      <w:r>
        <w:rPr>
          <w:rFonts w:hint="eastAsia" w:cs="Times New Roman"/>
          <w:caps w:val="0"/>
          <w:smallCaps w:val="0"/>
          <w:color w:val="auto"/>
          <w:spacing w:val="0"/>
          <w:w w:val="100"/>
          <w:kern w:val="0"/>
          <w:sz w:val="24"/>
          <w:szCs w:val="24"/>
          <w:highlight w:val="none"/>
          <w:vertAlign w:val="superscript"/>
          <w:lang w:val="en-US" w:eastAsia="zh-CN"/>
        </w:rPr>
        <w:t>3</w:t>
      </w:r>
      <w:r>
        <w:rPr>
          <w:rFonts w:hint="eastAsia" w:cs="Times New Roman"/>
          <w:caps w:val="0"/>
          <w:smallCaps w:val="0"/>
          <w:color w:val="auto"/>
          <w:spacing w:val="0"/>
          <w:w w:val="100"/>
          <w:kern w:val="0"/>
          <w:sz w:val="24"/>
          <w:szCs w:val="24"/>
          <w:highlight w:val="none"/>
          <w:lang w:val="en-US" w:eastAsia="zh-CN"/>
        </w:rPr>
        <w:t>，存储处理达标后待使用水，存储量较大，存储期间会逸散挥发性气体（以非甲烷总烃计）及恶臭气体，本评价建议储液池区采取“曝气+密闭收集工艺”，增加池内水体中氧含量，减少恶臭气体的产生。同时为减少站内处理达标水存放时间，处理达标后的尾水应立即回用，不可过长时间贮存。</w:t>
      </w:r>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9" w:name="_Toc15637"/>
      <w:r>
        <w:rPr>
          <w:rFonts w:hint="default" w:ascii="Times New Roman" w:hAnsi="Times New Roman" w:eastAsia="宋体" w:cs="Times New Roman"/>
          <w:snapToGrid/>
          <w:color w:val="auto"/>
          <w:sz w:val="32"/>
          <w:highlight w:val="none"/>
          <w:lang w:val="en-US" w:eastAsia="zh-CN" w:bidi="ar-SA"/>
        </w:rPr>
        <w:t>1.3环境影响评价工作过程</w:t>
      </w:r>
      <w:bookmarkEnd w:id="9"/>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根据《建设项目环境影响评价技术导则总纲》（HJ2.1-2016）要求，本次环评工作分为以下三个阶段进行。</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第一阶段：根据《中华人民共和国环境保护法》、《中华人民共和国环境影响评价法》、《建设项目环境保护管理条例》（国务院682号令）和《建设项目环境影响评价分类管理名录（2021年版）》第四十三条</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水的生产和供应业</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中的</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污水处理及其再生利用</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，本项目属于新建工业废水集中处理，本项目应编制环境影响报告书。</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环评单位于</w:t>
      </w:r>
      <w:r>
        <w:rPr>
          <w:rFonts w:hint="eastAsia" w:cs="Times New Roman"/>
          <w:caps w:val="0"/>
          <w:smallCaps w:val="0"/>
          <w:color w:val="auto"/>
          <w:spacing w:val="0"/>
          <w:w w:val="100"/>
          <w:kern w:val="0"/>
          <w:sz w:val="24"/>
          <w:szCs w:val="24"/>
          <w:highlight w:val="none"/>
          <w:lang w:val="en-US" w:eastAsia="zh-CN"/>
        </w:rPr>
        <w:t>2023</w:t>
      </w:r>
      <w:r>
        <w:rPr>
          <w:rFonts w:hint="default" w:cs="Times New Roman"/>
          <w:caps w:val="0"/>
          <w:smallCaps w:val="0"/>
          <w:color w:val="auto"/>
          <w:spacing w:val="0"/>
          <w:w w:val="100"/>
          <w:kern w:val="0"/>
          <w:sz w:val="24"/>
          <w:szCs w:val="24"/>
          <w:highlight w:val="none"/>
          <w:lang w:val="en-US" w:eastAsia="zh-CN"/>
        </w:rPr>
        <w:t>年</w:t>
      </w:r>
      <w:r>
        <w:rPr>
          <w:rFonts w:hint="eastAsia" w:cs="Times New Roman"/>
          <w:caps w:val="0"/>
          <w:smallCaps w:val="0"/>
          <w:color w:val="auto"/>
          <w:spacing w:val="0"/>
          <w:w w:val="100"/>
          <w:kern w:val="0"/>
          <w:sz w:val="24"/>
          <w:szCs w:val="24"/>
          <w:highlight w:val="none"/>
          <w:lang w:val="en-US" w:eastAsia="zh-CN"/>
        </w:rPr>
        <w:t>9</w:t>
      </w:r>
      <w:r>
        <w:rPr>
          <w:rFonts w:hint="default" w:cs="Times New Roman"/>
          <w:caps w:val="0"/>
          <w:smallCaps w:val="0"/>
          <w:color w:val="auto"/>
          <w:spacing w:val="0"/>
          <w:w w:val="100"/>
          <w:kern w:val="0"/>
          <w:sz w:val="24"/>
          <w:szCs w:val="24"/>
          <w:highlight w:val="none"/>
          <w:lang w:val="en-US" w:eastAsia="zh-CN"/>
        </w:rPr>
        <w:t>月对项目所在区域进行实地踏勘和调研，了解项目周围情况，分析项目工艺流程及产排污环节，并进行资料收集，在仔细研究项目有关资料的基础上，进行了初步工程分析。在此基础上，完成环境影响因素识别、评价因子筛选、评价重点和主要环境保护目标确定等工作，并以此确定评价工作等级、评价范围和评价标准。</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第二阶段：针对各环境要素的评价工作等级，调查了评价范围内的环境状况，制定了监测方案，并于</w:t>
      </w:r>
      <w:r>
        <w:rPr>
          <w:rFonts w:hint="eastAsia" w:cs="Times New Roman"/>
          <w:caps w:val="0"/>
          <w:smallCaps w:val="0"/>
          <w:color w:val="auto"/>
          <w:spacing w:val="0"/>
          <w:w w:val="100"/>
          <w:kern w:val="0"/>
          <w:sz w:val="24"/>
          <w:szCs w:val="24"/>
          <w:highlight w:val="none"/>
          <w:lang w:val="en-US" w:eastAsia="zh-CN"/>
        </w:rPr>
        <w:t>2023</w:t>
      </w:r>
      <w:r>
        <w:rPr>
          <w:rFonts w:hint="default" w:cs="Times New Roman"/>
          <w:caps w:val="0"/>
          <w:smallCaps w:val="0"/>
          <w:color w:val="auto"/>
          <w:spacing w:val="0"/>
          <w:w w:val="100"/>
          <w:kern w:val="0"/>
          <w:sz w:val="24"/>
          <w:szCs w:val="24"/>
          <w:highlight w:val="none"/>
          <w:lang w:val="en-US" w:eastAsia="zh-CN"/>
        </w:rPr>
        <w:t>年</w:t>
      </w:r>
      <w:r>
        <w:rPr>
          <w:rFonts w:hint="eastAsia" w:cs="Times New Roman"/>
          <w:caps w:val="0"/>
          <w:smallCaps w:val="0"/>
          <w:color w:val="auto"/>
          <w:spacing w:val="0"/>
          <w:w w:val="100"/>
          <w:kern w:val="0"/>
          <w:sz w:val="24"/>
          <w:szCs w:val="24"/>
          <w:highlight w:val="none"/>
          <w:lang w:val="en-US" w:eastAsia="zh-CN"/>
        </w:rPr>
        <w:t>10</w:t>
      </w:r>
      <w:r>
        <w:rPr>
          <w:rFonts w:hint="default" w:cs="Times New Roman"/>
          <w:caps w:val="0"/>
          <w:smallCaps w:val="0"/>
          <w:color w:val="auto"/>
          <w:spacing w:val="0"/>
          <w:w w:val="100"/>
          <w:kern w:val="0"/>
          <w:sz w:val="24"/>
          <w:szCs w:val="24"/>
          <w:highlight w:val="none"/>
          <w:lang w:val="en-US" w:eastAsia="zh-CN"/>
        </w:rPr>
        <w:t>月委托黑龙江省久恒环保有限责任公司进行了监测，并进行了详细的项目工程分析，在环境质量现状监测与评价的基础上，进行各环境要素的环境影响预测和评价。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第三阶段：通过工程分析、环境影响分析的结果，确定项目所采取的环保措施，并对其技术、经济可行性进行论证，进一步完善环保措施，给出污染物排放清单。在综合政策符合性分析、规划符合性分析、环保措施技术经济论证分析、污染物达标排放分析、环境影响预测分析、清洁生产分析、污染物总量控制分析等的基础上，完成报告书的编制。具体工作流程见图1.3-1。</w:t>
      </w:r>
    </w:p>
    <w:p>
      <w:pPr>
        <w:pStyle w:val="11"/>
        <w:ind w:left="0" w:leftChars="0" w:firstLine="0" w:firstLineChars="0"/>
        <w:rPr>
          <w:rFonts w:hint="default"/>
          <w:color w:val="auto"/>
          <w:highlight w:val="none"/>
          <w:lang w:val="en-US" w:eastAsia="zh-CN"/>
        </w:rPr>
      </w:pPr>
      <w:r>
        <w:rPr>
          <w:rFonts w:hint="default"/>
          <w:color w:val="auto"/>
          <w:highlight w:val="none"/>
          <w:lang w:val="en-US" w:eastAsia="zh-CN"/>
        </w:rPr>
        <w:drawing>
          <wp:inline distT="0" distB="0" distL="114300" distR="114300">
            <wp:extent cx="5269865" cy="7249160"/>
            <wp:effectExtent l="0" t="0" r="6985" b="8890"/>
            <wp:docPr id="1" name="图片 1" descr="工作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工作流程"/>
                    <pic:cNvPicPr>
                      <a:picLocks noChangeAspect="1"/>
                    </pic:cNvPicPr>
                  </pic:nvPicPr>
                  <pic:blipFill>
                    <a:blip r:embed="rId9"/>
                    <a:stretch>
                      <a:fillRect/>
                    </a:stretch>
                  </pic:blipFill>
                  <pic:spPr>
                    <a:xfrm>
                      <a:off x="0" y="0"/>
                      <a:ext cx="5269865" cy="72491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spacing w:line="500" w:lineRule="exact"/>
        <w:jc w:val="center"/>
        <w:textAlignment w:val="auto"/>
        <w:rPr>
          <w:rFonts w:hint="eastAsia"/>
          <w:b/>
          <w:bCs/>
          <w:color w:val="auto"/>
          <w:highlight w:val="none"/>
          <w:lang w:val="en-US" w:eastAsia="zh-CN"/>
        </w:rPr>
      </w:pPr>
      <w:r>
        <w:rPr>
          <w:rFonts w:hint="eastAsia"/>
          <w:b/>
          <w:bCs/>
          <w:color w:val="auto"/>
          <w:highlight w:val="none"/>
          <w:lang w:val="en-US" w:eastAsia="zh-CN"/>
        </w:rPr>
        <w:t>图1.3-1环境影响评价工作程序图</w:t>
      </w:r>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10" w:name="_Toc1886"/>
      <w:r>
        <w:rPr>
          <w:rFonts w:hint="default" w:ascii="Times New Roman" w:hAnsi="Times New Roman" w:eastAsia="宋体" w:cs="Times New Roman"/>
          <w:snapToGrid/>
          <w:color w:val="auto"/>
          <w:sz w:val="32"/>
          <w:highlight w:val="none"/>
          <w:lang w:val="en-US" w:eastAsia="zh-CN" w:bidi="ar-SA"/>
        </w:rPr>
        <w:t>1.4分析判定相关情况</w:t>
      </w:r>
      <w:bookmarkEnd w:id="10"/>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1.4.1产业政策符合性</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本项目建设单位受大庆页岩油勘探开发指挥部委托，处理油田开采产生的压裂返排液，属于</w:t>
      </w:r>
      <w:r>
        <w:rPr>
          <w:rFonts w:hint="default" w:cs="Times New Roman"/>
          <w:caps w:val="0"/>
          <w:smallCaps w:val="0"/>
          <w:color w:val="auto"/>
          <w:spacing w:val="0"/>
          <w:w w:val="100"/>
          <w:kern w:val="0"/>
          <w:sz w:val="24"/>
          <w:szCs w:val="24"/>
          <w:highlight w:val="none"/>
          <w:lang w:val="en-US" w:eastAsia="zh-CN"/>
        </w:rPr>
        <w:t>工业废水集中处理</w:t>
      </w:r>
      <w:r>
        <w:rPr>
          <w:rFonts w:hint="eastAsia" w:cs="Times New Roman"/>
          <w:caps w:val="0"/>
          <w:smallCaps w:val="0"/>
          <w:color w:val="auto"/>
          <w:spacing w:val="0"/>
          <w:w w:val="100"/>
          <w:kern w:val="0"/>
          <w:sz w:val="24"/>
          <w:szCs w:val="24"/>
          <w:highlight w:val="none"/>
          <w:lang w:val="en-US" w:eastAsia="zh-CN"/>
        </w:rPr>
        <w:t>，处理后水满足《大庆油田地面工程建设设计规定》（Q/SYDQ 0639-2015）“含油量≤20mg/L、悬浮固体含量≤20mg/L”回用于</w:t>
      </w:r>
      <w:r>
        <w:rPr>
          <w:rFonts w:hint="eastAsia" w:ascii="Times New Roman" w:hAnsi="Times New Roman" w:eastAsia="宋体" w:cs="Times New Roman"/>
          <w:caps w:val="0"/>
          <w:smallCaps w:val="0"/>
          <w:color w:val="auto"/>
          <w:spacing w:val="0"/>
          <w:w w:val="100"/>
          <w:kern w:val="0"/>
          <w:sz w:val="24"/>
          <w:szCs w:val="24"/>
          <w:highlight w:val="none"/>
          <w:lang w:val="en-US" w:eastAsia="zh-CN"/>
        </w:rPr>
        <w:t>页岩油试验区压裂</w:t>
      </w:r>
      <w:r>
        <w:rPr>
          <w:rFonts w:hint="eastAsia" w:cs="Times New Roman"/>
          <w:caps w:val="0"/>
          <w:smallCaps w:val="0"/>
          <w:color w:val="auto"/>
          <w:spacing w:val="0"/>
          <w:w w:val="100"/>
          <w:kern w:val="0"/>
          <w:sz w:val="24"/>
          <w:szCs w:val="24"/>
          <w:highlight w:val="none"/>
          <w:lang w:val="en-US" w:eastAsia="zh-CN"/>
        </w:rPr>
        <w:t>复配。</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对照</w:t>
      </w:r>
      <w:r>
        <w:rPr>
          <w:rFonts w:hint="default" w:cs="Times New Roman"/>
          <w:caps w:val="0"/>
          <w:smallCaps w:val="0"/>
          <w:color w:val="auto"/>
          <w:spacing w:val="0"/>
          <w:w w:val="100"/>
          <w:kern w:val="0"/>
          <w:sz w:val="24"/>
          <w:szCs w:val="24"/>
          <w:highlight w:val="none"/>
          <w:lang w:val="en-US" w:eastAsia="zh-CN"/>
        </w:rPr>
        <w:t>《产业结构调整指导目录》（</w:t>
      </w:r>
      <w:r>
        <w:rPr>
          <w:rFonts w:hint="eastAsia" w:cs="Times New Roman"/>
          <w:caps w:val="0"/>
          <w:smallCaps w:val="0"/>
          <w:color w:val="auto"/>
          <w:spacing w:val="0"/>
          <w:w w:val="100"/>
          <w:kern w:val="0"/>
          <w:sz w:val="24"/>
          <w:szCs w:val="24"/>
          <w:highlight w:val="none"/>
          <w:lang w:val="en-US" w:eastAsia="zh-CN"/>
        </w:rPr>
        <w:t>2024年本</w:t>
      </w:r>
      <w:r>
        <w:rPr>
          <w:rFonts w:hint="default" w:cs="Times New Roman"/>
          <w:caps w:val="0"/>
          <w:smallCaps w:val="0"/>
          <w:color w:val="auto"/>
          <w:spacing w:val="0"/>
          <w:w w:val="100"/>
          <w:kern w:val="0"/>
          <w:sz w:val="24"/>
          <w:szCs w:val="24"/>
          <w:highlight w:val="none"/>
          <w:lang w:val="en-US" w:eastAsia="zh-CN"/>
        </w:rPr>
        <w:t>）</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本项目属于鼓励类</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四十三条</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环境保护与资源节约综合利用，其第1</w:t>
      </w:r>
      <w:r>
        <w:rPr>
          <w:rFonts w:hint="eastAsia" w:cs="Times New Roman"/>
          <w:caps w:val="0"/>
          <w:smallCaps w:val="0"/>
          <w:color w:val="auto"/>
          <w:spacing w:val="0"/>
          <w:w w:val="100"/>
          <w:kern w:val="0"/>
          <w:sz w:val="24"/>
          <w:szCs w:val="24"/>
          <w:highlight w:val="none"/>
          <w:lang w:val="en-US" w:eastAsia="zh-CN"/>
        </w:rPr>
        <w:t>0</w:t>
      </w:r>
      <w:r>
        <w:rPr>
          <w:rFonts w:hint="default" w:cs="Times New Roman"/>
          <w:caps w:val="0"/>
          <w:smallCaps w:val="0"/>
          <w:color w:val="auto"/>
          <w:spacing w:val="0"/>
          <w:w w:val="100"/>
          <w:kern w:val="0"/>
          <w:sz w:val="24"/>
          <w:szCs w:val="24"/>
          <w:highlight w:val="none"/>
          <w:lang w:val="en-US" w:eastAsia="zh-CN"/>
        </w:rPr>
        <w:t>项中内容：</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三废</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综合利用与治理技术、装备和工程</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项目，符合国家产业政策要求。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1.4.</w:t>
      </w:r>
      <w:r>
        <w:rPr>
          <w:rFonts w:hint="eastAsia" w:cs="Times New Roman"/>
          <w:caps w:val="0"/>
          <w:smallCaps w:val="0"/>
          <w:color w:val="auto"/>
          <w:spacing w:val="0"/>
          <w:w w:val="100"/>
          <w:kern w:val="0"/>
          <w:sz w:val="24"/>
          <w:szCs w:val="24"/>
          <w:highlight w:val="none"/>
          <w:lang w:val="en-US" w:eastAsia="zh-CN"/>
        </w:rPr>
        <w:t>2与土地利用总体规划符合性分析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项目新建3#废水处理服务站站址位于大庆市肇源县发展村东侧空地处，3条输液管道由本次新建3#服务站西北角出线，管道整体呈南北走向，管道终点由西南侧接入风瀚环保科技有限公司已建的2#服务站，途径道宝村、鸭木蛋格屯及古龙镇等。2条输液管道由已建2#站西北侧出线，在耕地内向北铺设，与1#服务站已建的输液管道连接。</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项目与《大庆市国土空间总体规划（2021-2035年）》符合性分析见下表。</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22" w:firstLineChars="200"/>
        <w:jc w:val="center"/>
        <w:textAlignment w:val="auto"/>
        <w:rPr>
          <w:rFonts w:hint="eastAsia" w:cs="Times New Roman"/>
          <w:b/>
          <w:bCs/>
          <w:caps w:val="0"/>
          <w:smallCaps w:val="0"/>
          <w:color w:val="auto"/>
          <w:spacing w:val="0"/>
          <w:w w:val="100"/>
          <w:kern w:val="0"/>
          <w:sz w:val="21"/>
          <w:szCs w:val="21"/>
          <w:highlight w:val="none"/>
          <w:lang w:val="en-US" w:eastAsia="zh-CN"/>
        </w:rPr>
      </w:pPr>
      <w:r>
        <w:rPr>
          <w:rFonts w:hint="eastAsia" w:cs="Times New Roman"/>
          <w:b/>
          <w:bCs/>
          <w:caps w:val="0"/>
          <w:smallCaps w:val="0"/>
          <w:color w:val="auto"/>
          <w:spacing w:val="0"/>
          <w:w w:val="100"/>
          <w:kern w:val="0"/>
          <w:sz w:val="21"/>
          <w:szCs w:val="21"/>
          <w:highlight w:val="none"/>
          <w:lang w:val="en-US" w:eastAsia="zh-CN"/>
        </w:rPr>
        <w:t>表1.4-1与《大庆市国土空间总体规划（2021-2035年）》符合性分析</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91"/>
        <w:gridCol w:w="3218"/>
        <w:gridCol w:w="3206"/>
        <w:gridCol w:w="130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4009" w:type="dxa"/>
            <w:gridSpan w:val="2"/>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规划要求</w:t>
            </w:r>
          </w:p>
        </w:tc>
        <w:tc>
          <w:tcPr>
            <w:tcW w:w="3206"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本项目</w:t>
            </w:r>
          </w:p>
        </w:tc>
        <w:tc>
          <w:tcPr>
            <w:tcW w:w="1307"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1"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战略定位和目标</w:t>
            </w:r>
          </w:p>
        </w:tc>
        <w:tc>
          <w:tcPr>
            <w:tcW w:w="3218"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维护国家安全，全面提升能源安全、粮食安全、生态安全、国防安全、产业安全保障能力；2.资源型地区高质量发展，创新资源型地区转型路径，走创新驱动、绿色低碳、协同开放的转型发展道路；3.加快城市建设，坚持紧凑集约发展，提升城市品质、魅力和人口吸引力，稳固东北全面振兴大局。</w:t>
            </w:r>
          </w:p>
        </w:tc>
        <w:tc>
          <w:tcPr>
            <w:tcW w:w="3206" w:type="dxa"/>
            <w:tcBorders>
              <w:tl2br w:val="nil"/>
              <w:tr2bl w:val="nil"/>
            </w:tcBorders>
            <w:vAlign w:val="center"/>
          </w:tcPr>
          <w:p>
            <w:pPr>
              <w:widowControl/>
              <w:kinsoku/>
              <w:autoSpaceDE/>
              <w:autoSpaceDN/>
              <w:adjustRightInd/>
              <w:snapToGrid/>
              <w:spacing w:line="360" w:lineRule="exact"/>
              <w:jc w:val="both"/>
              <w:textAlignment w:val="auto"/>
              <w:rPr>
                <w:rFonts w:hint="default"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本项目为页岩油开采配套</w:t>
            </w:r>
            <w:r>
              <w:rPr>
                <w:rFonts w:hint="eastAsia" w:cs="Times New Roman"/>
                <w:snapToGrid/>
                <w:color w:val="auto"/>
                <w:kern w:val="2"/>
                <w:sz w:val="21"/>
                <w:szCs w:val="21"/>
                <w:highlight w:val="none"/>
                <w:lang w:val="en-US" w:eastAsia="zh-CN" w:bidi="ar-SA"/>
              </w:rPr>
              <w:t>及工业废水集中处理项目；</w:t>
            </w:r>
          </w:p>
          <w:p>
            <w:pPr>
              <w:widowControl/>
              <w:kinsoku/>
              <w:autoSpaceDE/>
              <w:autoSpaceDN/>
              <w:adjustRightInd/>
              <w:snapToGrid/>
              <w:spacing w:line="360" w:lineRule="exact"/>
              <w:jc w:val="both"/>
              <w:textAlignment w:val="auto"/>
              <w:rPr>
                <w:rFonts w:hint="eastAsia"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建设废水处理服务站1座，5条输液管道；本次新建的3#服务站采取“均质+隔油沉沙+混凝絮凝沉淀+气浮”处理工艺，处理后水质</w:t>
            </w:r>
            <w:r>
              <w:rPr>
                <w:rFonts w:hint="eastAsia" w:ascii="Times New Roman" w:hAnsi="Times New Roman" w:eastAsia="宋体" w:cs="Times New Roman"/>
                <w:snapToGrid/>
                <w:color w:val="auto"/>
                <w:kern w:val="2"/>
                <w:sz w:val="21"/>
                <w:szCs w:val="21"/>
                <w:highlight w:val="none"/>
                <w:lang w:val="en-US" w:eastAsia="zh-CN" w:bidi="ar-SA"/>
              </w:rPr>
              <w:t>满足《大庆油田地面工程建设设计规定》（Q/SYDQ 0639-2015）“含油量≤</w:t>
            </w:r>
            <w:r>
              <w:rPr>
                <w:rFonts w:hint="eastAsia" w:cs="Times New Roman"/>
                <w:snapToGrid/>
                <w:color w:val="auto"/>
                <w:kern w:val="2"/>
                <w:sz w:val="21"/>
                <w:szCs w:val="21"/>
                <w:highlight w:val="none"/>
                <w:lang w:val="en-US" w:eastAsia="zh-CN" w:bidi="ar-SA"/>
              </w:rPr>
              <w:t>20</w:t>
            </w:r>
            <w:r>
              <w:rPr>
                <w:rFonts w:hint="eastAsia" w:ascii="Times New Roman" w:hAnsi="Times New Roman" w:eastAsia="宋体" w:cs="Times New Roman"/>
                <w:snapToGrid/>
                <w:color w:val="auto"/>
                <w:kern w:val="2"/>
                <w:sz w:val="21"/>
                <w:szCs w:val="21"/>
                <w:highlight w:val="none"/>
                <w:lang w:val="en-US" w:eastAsia="zh-CN" w:bidi="ar-SA"/>
              </w:rPr>
              <w:t>mg/L、悬浮固体含量≤</w:t>
            </w:r>
            <w:r>
              <w:rPr>
                <w:rFonts w:hint="eastAsia" w:cs="Times New Roman"/>
                <w:snapToGrid/>
                <w:color w:val="auto"/>
                <w:kern w:val="2"/>
                <w:sz w:val="21"/>
                <w:szCs w:val="21"/>
                <w:highlight w:val="none"/>
                <w:lang w:val="en-US" w:eastAsia="zh-CN" w:bidi="ar-SA"/>
              </w:rPr>
              <w:t>20</w:t>
            </w:r>
            <w:r>
              <w:rPr>
                <w:rFonts w:hint="eastAsia" w:ascii="Times New Roman" w:hAnsi="Times New Roman" w:eastAsia="宋体" w:cs="Times New Roman"/>
                <w:snapToGrid/>
                <w:color w:val="auto"/>
                <w:kern w:val="2"/>
                <w:sz w:val="21"/>
                <w:szCs w:val="21"/>
                <w:highlight w:val="none"/>
                <w:lang w:val="en-US" w:eastAsia="zh-CN" w:bidi="ar-SA"/>
              </w:rPr>
              <w:t>mg/L”</w:t>
            </w:r>
            <w:r>
              <w:rPr>
                <w:rFonts w:hint="eastAsia" w:cs="Times New Roman"/>
                <w:snapToGrid/>
                <w:color w:val="auto"/>
                <w:kern w:val="2"/>
                <w:sz w:val="21"/>
                <w:szCs w:val="21"/>
                <w:highlight w:val="none"/>
                <w:lang w:val="en-US" w:eastAsia="zh-CN" w:bidi="ar-SA"/>
              </w:rPr>
              <w:t>，回用于页岩油试验区压裂复配。</w:t>
            </w:r>
          </w:p>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项目建设为区域</w:t>
            </w:r>
            <w:r>
              <w:rPr>
                <w:rFonts w:hint="default" w:ascii="Times New Roman" w:hAnsi="Times New Roman" w:eastAsia="宋体" w:cs="Times New Roman"/>
                <w:snapToGrid/>
                <w:color w:val="auto"/>
                <w:kern w:val="2"/>
                <w:sz w:val="21"/>
                <w:szCs w:val="21"/>
                <w:highlight w:val="none"/>
                <w:lang w:val="en-US" w:eastAsia="zh-CN" w:bidi="ar-SA"/>
              </w:rPr>
              <w:t>能源安全</w:t>
            </w:r>
            <w:r>
              <w:rPr>
                <w:rFonts w:hint="eastAsia" w:cs="Times New Roman"/>
                <w:snapToGrid/>
                <w:color w:val="auto"/>
                <w:kern w:val="2"/>
                <w:sz w:val="21"/>
                <w:szCs w:val="21"/>
                <w:highlight w:val="none"/>
                <w:lang w:val="en-US" w:eastAsia="zh-CN" w:bidi="ar-SA"/>
              </w:rPr>
              <w:t>、</w:t>
            </w:r>
            <w:r>
              <w:rPr>
                <w:rFonts w:hint="default" w:ascii="Times New Roman" w:hAnsi="Times New Roman" w:eastAsia="宋体" w:cs="Times New Roman"/>
                <w:snapToGrid/>
                <w:color w:val="auto"/>
                <w:kern w:val="2"/>
                <w:sz w:val="21"/>
                <w:szCs w:val="21"/>
                <w:highlight w:val="none"/>
                <w:lang w:val="en-US" w:eastAsia="zh-CN" w:bidi="ar-SA"/>
              </w:rPr>
              <w:t>产业安全</w:t>
            </w:r>
            <w:r>
              <w:rPr>
                <w:rFonts w:hint="eastAsia" w:cs="Times New Roman"/>
                <w:snapToGrid/>
                <w:color w:val="auto"/>
                <w:kern w:val="2"/>
                <w:sz w:val="21"/>
                <w:szCs w:val="21"/>
                <w:highlight w:val="none"/>
                <w:lang w:val="en-US" w:eastAsia="zh-CN" w:bidi="ar-SA"/>
              </w:rPr>
              <w:t>提供了保障。</w:t>
            </w:r>
          </w:p>
        </w:tc>
        <w:tc>
          <w:tcPr>
            <w:tcW w:w="1307"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1" w:type="dxa"/>
            <w:vMerge w:val="restart"/>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统筹三条控制线</w:t>
            </w:r>
          </w:p>
        </w:tc>
        <w:tc>
          <w:tcPr>
            <w:tcW w:w="3218"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1.</w:t>
            </w:r>
            <w:r>
              <w:rPr>
                <w:rFonts w:hint="default" w:ascii="Times New Roman" w:hAnsi="Times New Roman" w:eastAsia="宋体" w:cs="Times New Roman"/>
                <w:snapToGrid/>
                <w:color w:val="auto"/>
                <w:kern w:val="2"/>
                <w:sz w:val="21"/>
                <w:szCs w:val="21"/>
                <w:highlight w:val="none"/>
                <w:lang w:val="en-US" w:eastAsia="zh-CN" w:bidi="ar-SA"/>
              </w:rPr>
              <w:t>保质保量划定永久基本农田</w:t>
            </w:r>
            <w:r>
              <w:rPr>
                <w:rFonts w:hint="eastAsia" w:ascii="Times New Roman" w:hAnsi="Times New Roman" w:eastAsia="宋体" w:cs="Times New Roman"/>
                <w:snapToGrid/>
                <w:color w:val="auto"/>
                <w:kern w:val="2"/>
                <w:sz w:val="21"/>
                <w:szCs w:val="21"/>
                <w:highlight w:val="none"/>
                <w:lang w:val="en-US" w:eastAsia="zh-CN" w:bidi="ar-SA"/>
              </w:rPr>
              <w:t>：永久基本农田是为保障国家粮食安全和重要农产品供给，实施永久特殊保护的耕地。严格落实永久基本农田保护任务，推进永久基本农田核实整改补足，确保永久基本农田数量不减质量不降布局稳定。</w:t>
            </w:r>
          </w:p>
        </w:tc>
        <w:tc>
          <w:tcPr>
            <w:tcW w:w="3206"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本项目</w:t>
            </w:r>
            <w:r>
              <w:rPr>
                <w:rFonts w:hint="eastAsia" w:ascii="Times New Roman" w:hAnsi="Times New Roman" w:eastAsia="宋体" w:cs="Times New Roman"/>
                <w:snapToGrid/>
                <w:color w:val="auto"/>
                <w:kern w:val="2"/>
                <w:sz w:val="21"/>
                <w:szCs w:val="21"/>
                <w:highlight w:val="none"/>
                <w:lang w:val="en-US" w:eastAsia="zh-CN" w:bidi="ar-SA"/>
              </w:rPr>
              <w:t>站址</w:t>
            </w:r>
            <w:r>
              <w:rPr>
                <w:rFonts w:hint="eastAsia" w:cs="Times New Roman"/>
                <w:snapToGrid/>
                <w:color w:val="auto"/>
                <w:kern w:val="2"/>
                <w:sz w:val="21"/>
                <w:szCs w:val="21"/>
                <w:highlight w:val="none"/>
                <w:lang w:val="en-US" w:eastAsia="zh-CN" w:bidi="ar-SA"/>
              </w:rPr>
              <w:t>、管道路径</w:t>
            </w:r>
            <w:r>
              <w:rPr>
                <w:rFonts w:hint="default" w:ascii="Times New Roman" w:hAnsi="Times New Roman" w:eastAsia="宋体" w:cs="Times New Roman"/>
                <w:snapToGrid/>
                <w:color w:val="auto"/>
                <w:kern w:val="2"/>
                <w:sz w:val="21"/>
                <w:szCs w:val="21"/>
                <w:highlight w:val="none"/>
                <w:lang w:val="en-US" w:eastAsia="zh-CN" w:bidi="ar-SA"/>
              </w:rPr>
              <w:t>与大庆市三区三线划定成果进行对照，</w:t>
            </w:r>
            <w:r>
              <w:rPr>
                <w:rFonts w:hint="eastAsia" w:ascii="Times New Roman" w:hAnsi="Times New Roman" w:eastAsia="宋体" w:cs="Times New Roman"/>
                <w:snapToGrid/>
                <w:color w:val="auto"/>
                <w:kern w:val="2"/>
                <w:sz w:val="21"/>
                <w:szCs w:val="21"/>
                <w:highlight w:val="none"/>
                <w:lang w:val="en-US" w:eastAsia="zh-CN" w:bidi="ar-SA"/>
              </w:rPr>
              <w:t>项目</w:t>
            </w:r>
            <w:r>
              <w:rPr>
                <w:rFonts w:hint="eastAsia" w:cs="Times New Roman"/>
                <w:snapToGrid/>
                <w:color w:val="auto"/>
                <w:kern w:val="2"/>
                <w:sz w:val="21"/>
                <w:szCs w:val="21"/>
                <w:highlight w:val="none"/>
                <w:lang w:val="en-US" w:eastAsia="zh-CN" w:bidi="ar-SA"/>
              </w:rPr>
              <w:t>服务站站址</w:t>
            </w:r>
            <w:r>
              <w:rPr>
                <w:rFonts w:hint="eastAsia" w:ascii="Times New Roman" w:hAnsi="Times New Roman" w:eastAsia="宋体" w:cs="Times New Roman"/>
                <w:snapToGrid/>
                <w:color w:val="auto"/>
                <w:kern w:val="2"/>
                <w:sz w:val="21"/>
                <w:szCs w:val="21"/>
                <w:highlight w:val="none"/>
                <w:lang w:val="en-US" w:eastAsia="zh-CN" w:bidi="ar-SA"/>
              </w:rPr>
              <w:t>不占用</w:t>
            </w:r>
            <w:r>
              <w:rPr>
                <w:rFonts w:hint="eastAsia" w:cs="Times New Roman"/>
                <w:snapToGrid/>
                <w:color w:val="auto"/>
                <w:kern w:val="2"/>
                <w:sz w:val="21"/>
                <w:szCs w:val="21"/>
                <w:highlight w:val="none"/>
                <w:lang w:val="en-US" w:eastAsia="zh-CN" w:bidi="ar-SA"/>
              </w:rPr>
              <w:t>永久</w:t>
            </w:r>
            <w:r>
              <w:rPr>
                <w:rFonts w:hint="eastAsia" w:ascii="Times New Roman" w:hAnsi="Times New Roman" w:eastAsia="宋体" w:cs="Times New Roman"/>
                <w:snapToGrid/>
                <w:color w:val="auto"/>
                <w:kern w:val="2"/>
                <w:sz w:val="21"/>
                <w:szCs w:val="21"/>
                <w:highlight w:val="none"/>
                <w:lang w:val="en-US" w:eastAsia="zh-CN" w:bidi="ar-SA"/>
              </w:rPr>
              <w:t>基本农田</w:t>
            </w:r>
            <w:r>
              <w:rPr>
                <w:rFonts w:hint="eastAsia" w:cs="Times New Roman"/>
                <w:snapToGrid/>
                <w:color w:val="auto"/>
                <w:kern w:val="2"/>
                <w:sz w:val="21"/>
                <w:szCs w:val="21"/>
                <w:highlight w:val="none"/>
                <w:lang w:val="en-US" w:eastAsia="zh-CN" w:bidi="ar-SA"/>
              </w:rPr>
              <w:t>；管道施工临时占地占用永久基本农田，按照永久基本农田及黑土地保护法及条例进行管理。</w:t>
            </w:r>
          </w:p>
        </w:tc>
        <w:tc>
          <w:tcPr>
            <w:tcW w:w="1307"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1" w:type="dxa"/>
            <w:vMerge w:val="continue"/>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p>
        </w:tc>
        <w:tc>
          <w:tcPr>
            <w:tcW w:w="3218"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2.依照功能划定生态保护红线：生态保护红线是指在生态空间范围内具有特殊重要生态功能、必须强制性严格保护的区域。建立市域自然保护地体系，将各类自然保护地纳入生态保护红线管理。</w:t>
            </w:r>
          </w:p>
        </w:tc>
        <w:tc>
          <w:tcPr>
            <w:tcW w:w="3206"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本项目</w:t>
            </w:r>
            <w:r>
              <w:rPr>
                <w:rFonts w:hint="eastAsia" w:ascii="Times New Roman" w:hAnsi="Times New Roman" w:eastAsia="宋体" w:cs="Times New Roman"/>
                <w:snapToGrid/>
                <w:color w:val="auto"/>
                <w:kern w:val="2"/>
                <w:sz w:val="21"/>
                <w:szCs w:val="21"/>
                <w:highlight w:val="none"/>
                <w:lang w:val="en-US" w:eastAsia="zh-CN" w:bidi="ar-SA"/>
              </w:rPr>
              <w:t>站址</w:t>
            </w:r>
            <w:r>
              <w:rPr>
                <w:rFonts w:hint="eastAsia" w:cs="Times New Roman"/>
                <w:snapToGrid/>
                <w:color w:val="auto"/>
                <w:kern w:val="2"/>
                <w:sz w:val="21"/>
                <w:szCs w:val="21"/>
                <w:highlight w:val="none"/>
                <w:lang w:val="en-US" w:eastAsia="zh-CN" w:bidi="ar-SA"/>
              </w:rPr>
              <w:t>、管道路径</w:t>
            </w:r>
            <w:r>
              <w:rPr>
                <w:rFonts w:hint="default" w:ascii="Times New Roman" w:hAnsi="Times New Roman" w:eastAsia="宋体" w:cs="Times New Roman"/>
                <w:snapToGrid/>
                <w:color w:val="auto"/>
                <w:kern w:val="2"/>
                <w:sz w:val="21"/>
                <w:szCs w:val="21"/>
                <w:highlight w:val="none"/>
                <w:lang w:val="en-US" w:eastAsia="zh-CN" w:bidi="ar-SA"/>
              </w:rPr>
              <w:t>与大庆市三区三线划定成果进行对照，</w:t>
            </w:r>
            <w:r>
              <w:rPr>
                <w:rFonts w:hint="eastAsia" w:cs="Times New Roman"/>
                <w:snapToGrid/>
                <w:color w:val="auto"/>
                <w:kern w:val="2"/>
                <w:sz w:val="21"/>
                <w:szCs w:val="21"/>
                <w:highlight w:val="none"/>
                <w:lang w:val="en-US" w:eastAsia="zh-CN" w:bidi="ar-SA"/>
              </w:rPr>
              <w:t>服务站站址及管道占地</w:t>
            </w:r>
            <w:r>
              <w:rPr>
                <w:rFonts w:hint="eastAsia" w:ascii="Times New Roman" w:hAnsi="Times New Roman" w:eastAsia="宋体" w:cs="Times New Roman"/>
                <w:snapToGrid/>
                <w:color w:val="auto"/>
                <w:kern w:val="2"/>
                <w:sz w:val="21"/>
                <w:szCs w:val="21"/>
                <w:highlight w:val="none"/>
                <w:lang w:val="en-US" w:eastAsia="zh-CN" w:bidi="ar-SA"/>
              </w:rPr>
              <w:t>不占用生态保护红线</w:t>
            </w:r>
            <w:r>
              <w:rPr>
                <w:rFonts w:hint="eastAsia" w:cs="Times New Roman"/>
                <w:snapToGrid/>
                <w:color w:val="auto"/>
                <w:kern w:val="2"/>
                <w:sz w:val="21"/>
                <w:szCs w:val="21"/>
                <w:highlight w:val="none"/>
                <w:lang w:val="en-US" w:eastAsia="zh-CN" w:bidi="ar-SA"/>
              </w:rPr>
              <w:t>。</w:t>
            </w:r>
          </w:p>
        </w:tc>
        <w:tc>
          <w:tcPr>
            <w:tcW w:w="1307"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1" w:type="dxa"/>
            <w:vMerge w:val="continue"/>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p>
        </w:tc>
        <w:tc>
          <w:tcPr>
            <w:tcW w:w="3218"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3.集约绿色划定城镇开发边界：城镇开发边界是在一定时期内因城镇发展需要，可以集中进行城镇开发建设、以城镇功能为主的区域边界。划定城镇开发边界，防止城镇无序</w:t>
            </w:r>
            <w:r>
              <w:rPr>
                <w:rFonts w:hint="eastAsia" w:cs="Times New Roman"/>
                <w:snapToGrid/>
                <w:color w:val="auto"/>
                <w:kern w:val="2"/>
                <w:sz w:val="21"/>
                <w:szCs w:val="21"/>
                <w:highlight w:val="none"/>
                <w:lang w:val="en-US" w:eastAsia="zh-CN" w:bidi="ar-SA"/>
              </w:rPr>
              <w:t>蔓延</w:t>
            </w:r>
            <w:r>
              <w:rPr>
                <w:rFonts w:hint="eastAsia" w:ascii="Times New Roman" w:hAnsi="Times New Roman" w:eastAsia="宋体" w:cs="Times New Roman"/>
                <w:snapToGrid/>
                <w:color w:val="auto"/>
                <w:kern w:val="2"/>
                <w:sz w:val="21"/>
                <w:szCs w:val="21"/>
                <w:highlight w:val="none"/>
                <w:lang w:val="en-US" w:eastAsia="zh-CN" w:bidi="ar-SA"/>
              </w:rPr>
              <w:t>，优化城市结构、美化空间形态、提升空间效率。</w:t>
            </w:r>
          </w:p>
        </w:tc>
        <w:tc>
          <w:tcPr>
            <w:tcW w:w="3206"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本项目</w:t>
            </w:r>
            <w:r>
              <w:rPr>
                <w:rFonts w:hint="eastAsia" w:cs="Times New Roman"/>
                <w:snapToGrid/>
                <w:color w:val="auto"/>
                <w:kern w:val="2"/>
                <w:sz w:val="21"/>
                <w:szCs w:val="21"/>
                <w:highlight w:val="none"/>
                <w:lang w:val="en-US" w:eastAsia="zh-CN" w:bidi="ar-SA"/>
              </w:rPr>
              <w:t>服务站站址</w:t>
            </w:r>
            <w:r>
              <w:rPr>
                <w:rFonts w:hint="eastAsia" w:ascii="Times New Roman" w:hAnsi="Times New Roman" w:eastAsia="宋体" w:cs="Times New Roman"/>
                <w:snapToGrid/>
                <w:color w:val="auto"/>
                <w:kern w:val="2"/>
                <w:sz w:val="21"/>
                <w:szCs w:val="21"/>
                <w:highlight w:val="none"/>
                <w:lang w:val="en-US" w:eastAsia="zh-CN" w:bidi="ar-SA"/>
              </w:rPr>
              <w:t>位于大庆市肇源县发展村东侧空地处</w:t>
            </w:r>
            <w:r>
              <w:rPr>
                <w:rFonts w:hint="eastAsia" w:cs="Times New Roman"/>
                <w:snapToGrid/>
                <w:color w:val="auto"/>
                <w:kern w:val="2"/>
                <w:sz w:val="21"/>
                <w:szCs w:val="21"/>
                <w:highlight w:val="none"/>
                <w:lang w:val="en-US" w:eastAsia="zh-CN" w:bidi="ar-SA"/>
              </w:rPr>
              <w:t>；站外输液管道由3#服务站西北角出线，沿西北向北布设，管道整体呈南北走向，管道终点由西南侧接入风瀚环保科技有限公司已建的2#服务站。</w:t>
            </w:r>
            <w:r>
              <w:rPr>
                <w:rFonts w:hint="eastAsia" w:ascii="Times New Roman" w:hAnsi="Times New Roman" w:eastAsia="宋体" w:cs="Times New Roman"/>
                <w:snapToGrid/>
                <w:color w:val="auto"/>
                <w:kern w:val="2"/>
                <w:sz w:val="21"/>
                <w:szCs w:val="21"/>
                <w:highlight w:val="none"/>
                <w:lang w:val="en-US" w:eastAsia="zh-CN" w:bidi="ar-SA"/>
              </w:rPr>
              <w:t>对照</w:t>
            </w:r>
            <w:r>
              <w:rPr>
                <w:rFonts w:hint="default" w:ascii="Times New Roman" w:hAnsi="Times New Roman" w:eastAsia="宋体" w:cs="Times New Roman"/>
                <w:snapToGrid/>
                <w:color w:val="auto"/>
                <w:kern w:val="2"/>
                <w:sz w:val="21"/>
                <w:szCs w:val="21"/>
                <w:highlight w:val="none"/>
                <w:lang w:val="en-US" w:eastAsia="zh-CN" w:bidi="ar-SA"/>
              </w:rPr>
              <w:t>大庆市三区三线划定成果</w:t>
            </w:r>
            <w:r>
              <w:rPr>
                <w:rFonts w:hint="eastAsia" w:ascii="Times New Roman" w:hAnsi="Times New Roman" w:eastAsia="宋体" w:cs="Times New Roman"/>
                <w:snapToGrid/>
                <w:color w:val="auto"/>
                <w:kern w:val="2"/>
                <w:sz w:val="21"/>
                <w:szCs w:val="21"/>
                <w:highlight w:val="none"/>
                <w:lang w:val="en-US" w:eastAsia="zh-CN" w:bidi="ar-SA"/>
              </w:rPr>
              <w:t>，</w:t>
            </w:r>
            <w:r>
              <w:rPr>
                <w:rFonts w:hint="eastAsia" w:cs="Times New Roman"/>
                <w:snapToGrid/>
                <w:color w:val="auto"/>
                <w:kern w:val="2"/>
                <w:sz w:val="21"/>
                <w:szCs w:val="21"/>
                <w:highlight w:val="none"/>
                <w:lang w:val="en-US" w:eastAsia="zh-CN" w:bidi="ar-SA"/>
              </w:rPr>
              <w:t>站址及管道路径不占用</w:t>
            </w:r>
            <w:r>
              <w:rPr>
                <w:rFonts w:hint="eastAsia" w:ascii="Times New Roman" w:hAnsi="Times New Roman" w:eastAsia="宋体" w:cs="Times New Roman"/>
                <w:snapToGrid/>
                <w:color w:val="auto"/>
                <w:kern w:val="2"/>
                <w:sz w:val="21"/>
                <w:szCs w:val="21"/>
                <w:highlight w:val="none"/>
                <w:lang w:val="en-US" w:eastAsia="zh-CN" w:bidi="ar-SA"/>
              </w:rPr>
              <w:t>城镇开发边界。</w:t>
            </w:r>
          </w:p>
        </w:tc>
        <w:tc>
          <w:tcPr>
            <w:tcW w:w="1307"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1"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集约节约利用资源</w:t>
            </w:r>
          </w:p>
        </w:tc>
        <w:tc>
          <w:tcPr>
            <w:tcW w:w="3218" w:type="dxa"/>
            <w:tcBorders>
              <w:tl2br w:val="nil"/>
              <w:tr2bl w:val="nil"/>
            </w:tcBorders>
            <w:vAlign w:val="center"/>
          </w:tcPr>
          <w:p>
            <w:pPr>
              <w:widowControl/>
              <w:kinsoku/>
              <w:autoSpaceDE/>
              <w:autoSpaceDN/>
              <w:adjustRightInd/>
              <w:snapToGrid/>
              <w:spacing w:line="360" w:lineRule="exact"/>
              <w:jc w:val="both"/>
              <w:textAlignment w:val="auto"/>
              <w:rPr>
                <w:rFonts w:hint="eastAsia"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1.</w:t>
            </w:r>
            <w:r>
              <w:rPr>
                <w:rFonts w:hint="default" w:ascii="Times New Roman" w:hAnsi="Times New Roman" w:eastAsia="宋体" w:cs="Times New Roman"/>
                <w:snapToGrid/>
                <w:color w:val="auto"/>
                <w:kern w:val="2"/>
                <w:sz w:val="21"/>
                <w:szCs w:val="21"/>
                <w:highlight w:val="none"/>
                <w:lang w:val="en-US" w:eastAsia="zh-CN" w:bidi="ar-SA"/>
              </w:rPr>
              <w:t>实施碳排放总量和强度</w:t>
            </w:r>
            <w:r>
              <w:rPr>
                <w:rFonts w:hint="eastAsia" w:ascii="Times New Roman" w:hAnsi="Times New Roman" w:eastAsia="宋体" w:cs="Times New Roman"/>
                <w:snapToGrid/>
                <w:color w:val="auto"/>
                <w:kern w:val="2"/>
                <w:sz w:val="21"/>
                <w:szCs w:val="21"/>
                <w:highlight w:val="none"/>
                <w:lang w:val="en-US" w:eastAsia="zh-CN" w:bidi="ar-SA"/>
              </w:rPr>
              <w:t>“</w:t>
            </w:r>
            <w:r>
              <w:rPr>
                <w:rFonts w:hint="default" w:ascii="Times New Roman" w:hAnsi="Times New Roman" w:eastAsia="宋体" w:cs="Times New Roman"/>
                <w:snapToGrid/>
                <w:color w:val="auto"/>
                <w:kern w:val="2"/>
                <w:sz w:val="21"/>
                <w:szCs w:val="21"/>
                <w:highlight w:val="none"/>
                <w:lang w:val="en-US" w:eastAsia="zh-CN" w:bidi="ar-SA"/>
              </w:rPr>
              <w:t>双控</w:t>
            </w:r>
            <w:r>
              <w:rPr>
                <w:rFonts w:hint="eastAsia" w:ascii="Times New Roman" w:hAnsi="Times New Roman" w:eastAsia="宋体" w:cs="Times New Roman"/>
                <w:snapToGrid/>
                <w:color w:val="auto"/>
                <w:kern w:val="2"/>
                <w:sz w:val="21"/>
                <w:szCs w:val="21"/>
                <w:highlight w:val="none"/>
                <w:lang w:val="en-US" w:eastAsia="zh-CN" w:bidi="ar-SA"/>
              </w:rPr>
              <w:t>”；2.</w:t>
            </w:r>
            <w:r>
              <w:rPr>
                <w:rFonts w:hint="default" w:ascii="Times New Roman" w:hAnsi="Times New Roman" w:eastAsia="宋体" w:cs="Times New Roman"/>
                <w:snapToGrid/>
                <w:color w:val="auto"/>
                <w:kern w:val="2"/>
                <w:sz w:val="21"/>
                <w:szCs w:val="21"/>
                <w:highlight w:val="none"/>
                <w:lang w:val="en-US" w:eastAsia="zh-CN" w:bidi="ar-SA"/>
              </w:rPr>
              <w:t>优化能源结构，大力发展清洁能源；</w:t>
            </w:r>
            <w:r>
              <w:rPr>
                <w:rFonts w:hint="eastAsia" w:ascii="Times New Roman" w:hAnsi="Times New Roman" w:eastAsia="宋体" w:cs="Times New Roman"/>
                <w:snapToGrid/>
                <w:color w:val="auto"/>
                <w:kern w:val="2"/>
                <w:sz w:val="21"/>
                <w:szCs w:val="21"/>
                <w:highlight w:val="none"/>
                <w:lang w:val="en-US" w:eastAsia="zh-CN" w:bidi="ar-SA"/>
              </w:rPr>
              <w:t>3.</w:t>
            </w:r>
            <w:r>
              <w:rPr>
                <w:rFonts w:hint="default" w:ascii="Times New Roman" w:hAnsi="Times New Roman" w:eastAsia="宋体" w:cs="Times New Roman"/>
                <w:snapToGrid/>
                <w:color w:val="auto"/>
                <w:kern w:val="2"/>
                <w:sz w:val="21"/>
                <w:szCs w:val="21"/>
                <w:highlight w:val="none"/>
                <w:lang w:val="en-US" w:eastAsia="zh-CN" w:bidi="ar-SA"/>
              </w:rPr>
              <w:t>加强工业节能，提高建筑节能水平，加快推进绿色交通</w:t>
            </w:r>
            <w:r>
              <w:rPr>
                <w:rFonts w:hint="eastAsia" w:ascii="Times New Roman" w:hAnsi="Times New Roman" w:eastAsia="宋体" w:cs="Times New Roman"/>
                <w:snapToGrid/>
                <w:color w:val="auto"/>
                <w:kern w:val="2"/>
                <w:sz w:val="21"/>
                <w:szCs w:val="21"/>
                <w:highlight w:val="none"/>
                <w:lang w:val="en-US" w:eastAsia="zh-CN" w:bidi="ar-SA"/>
              </w:rPr>
              <w:t>；4.</w:t>
            </w:r>
            <w:r>
              <w:rPr>
                <w:rFonts w:hint="default" w:ascii="Times New Roman" w:hAnsi="Times New Roman" w:eastAsia="宋体" w:cs="Times New Roman"/>
                <w:snapToGrid/>
                <w:color w:val="auto"/>
                <w:kern w:val="2"/>
                <w:sz w:val="21"/>
                <w:szCs w:val="21"/>
                <w:highlight w:val="none"/>
                <w:lang w:val="en-US" w:eastAsia="zh-CN" w:bidi="ar-SA"/>
              </w:rPr>
              <w:t>严格落实水资源开发利用总量、用水效率和水功能区限制纳污总量</w:t>
            </w:r>
            <w:r>
              <w:rPr>
                <w:rFonts w:hint="eastAsia" w:ascii="Times New Roman" w:hAnsi="Times New Roman" w:eastAsia="宋体" w:cs="Times New Roman"/>
                <w:snapToGrid/>
                <w:color w:val="auto"/>
                <w:kern w:val="2"/>
                <w:sz w:val="21"/>
                <w:szCs w:val="21"/>
                <w:highlight w:val="none"/>
                <w:lang w:val="en-US" w:eastAsia="zh-CN" w:bidi="ar-SA"/>
              </w:rPr>
              <w:t>“</w:t>
            </w:r>
            <w:r>
              <w:rPr>
                <w:rFonts w:hint="default" w:ascii="Times New Roman" w:hAnsi="Times New Roman" w:eastAsia="宋体" w:cs="Times New Roman"/>
                <w:snapToGrid/>
                <w:color w:val="auto"/>
                <w:kern w:val="2"/>
                <w:sz w:val="21"/>
                <w:szCs w:val="21"/>
                <w:highlight w:val="none"/>
                <w:lang w:val="en-US" w:eastAsia="zh-CN" w:bidi="ar-SA"/>
              </w:rPr>
              <w:t>三条红</w:t>
            </w:r>
            <w:r>
              <w:rPr>
                <w:rFonts w:hint="eastAsia" w:ascii="Times New Roman" w:hAnsi="Times New Roman" w:eastAsia="宋体" w:cs="Times New Roman"/>
                <w:snapToGrid/>
                <w:color w:val="auto"/>
                <w:kern w:val="2"/>
                <w:sz w:val="21"/>
                <w:szCs w:val="21"/>
                <w:highlight w:val="none"/>
                <w:lang w:val="en-US" w:eastAsia="zh-CN" w:bidi="ar-SA"/>
              </w:rPr>
              <w:t>”</w:t>
            </w:r>
            <w:r>
              <w:rPr>
                <w:rFonts w:hint="default" w:ascii="Times New Roman" w:hAnsi="Times New Roman" w:eastAsia="宋体" w:cs="Times New Roman"/>
                <w:snapToGrid/>
                <w:color w:val="auto"/>
                <w:kern w:val="2"/>
                <w:sz w:val="21"/>
                <w:szCs w:val="21"/>
                <w:highlight w:val="none"/>
                <w:lang w:val="en-US" w:eastAsia="zh-CN" w:bidi="ar-SA"/>
              </w:rPr>
              <w:t>线；</w:t>
            </w:r>
            <w:r>
              <w:rPr>
                <w:rFonts w:hint="eastAsia" w:ascii="Times New Roman" w:hAnsi="Times New Roman" w:eastAsia="宋体" w:cs="Times New Roman"/>
                <w:snapToGrid/>
                <w:color w:val="auto"/>
                <w:kern w:val="2"/>
                <w:sz w:val="21"/>
                <w:szCs w:val="21"/>
                <w:highlight w:val="none"/>
                <w:lang w:val="en-US" w:eastAsia="zh-CN" w:bidi="ar-SA"/>
              </w:rPr>
              <w:t>5.</w:t>
            </w:r>
            <w:r>
              <w:rPr>
                <w:rFonts w:hint="default" w:ascii="Times New Roman" w:hAnsi="Times New Roman" w:eastAsia="宋体" w:cs="Times New Roman"/>
                <w:snapToGrid/>
                <w:color w:val="auto"/>
                <w:kern w:val="2"/>
                <w:sz w:val="21"/>
                <w:szCs w:val="21"/>
                <w:highlight w:val="none"/>
                <w:lang w:val="en-US" w:eastAsia="zh-CN" w:bidi="ar-SA"/>
              </w:rPr>
              <w:t>坚持以水定地、以水定人、以水定产、以水定城；</w:t>
            </w:r>
            <w:r>
              <w:rPr>
                <w:rFonts w:hint="eastAsia" w:ascii="Times New Roman" w:hAnsi="Times New Roman" w:eastAsia="宋体" w:cs="Times New Roman"/>
                <w:snapToGrid/>
                <w:color w:val="auto"/>
                <w:kern w:val="2"/>
                <w:sz w:val="21"/>
                <w:szCs w:val="21"/>
                <w:highlight w:val="none"/>
                <w:lang w:val="en-US" w:eastAsia="zh-CN" w:bidi="ar-SA"/>
              </w:rPr>
              <w:t>6.</w:t>
            </w:r>
            <w:r>
              <w:rPr>
                <w:rFonts w:hint="default" w:ascii="Times New Roman" w:hAnsi="Times New Roman" w:eastAsia="宋体" w:cs="Times New Roman"/>
                <w:snapToGrid/>
                <w:color w:val="auto"/>
                <w:kern w:val="2"/>
                <w:sz w:val="21"/>
                <w:szCs w:val="21"/>
                <w:highlight w:val="none"/>
                <w:lang w:val="en-US" w:eastAsia="zh-CN" w:bidi="ar-SA"/>
              </w:rPr>
              <w:t>全面强化节水；</w:t>
            </w:r>
            <w:r>
              <w:rPr>
                <w:rFonts w:hint="eastAsia" w:ascii="Times New Roman" w:hAnsi="Times New Roman" w:eastAsia="宋体" w:cs="Times New Roman"/>
                <w:snapToGrid/>
                <w:color w:val="auto"/>
                <w:kern w:val="2"/>
                <w:sz w:val="21"/>
                <w:szCs w:val="21"/>
                <w:highlight w:val="none"/>
                <w:lang w:val="en-US" w:eastAsia="zh-CN" w:bidi="ar-SA"/>
              </w:rPr>
              <w:t>7.</w:t>
            </w:r>
            <w:r>
              <w:rPr>
                <w:rFonts w:hint="default" w:ascii="Times New Roman" w:hAnsi="Times New Roman" w:eastAsia="宋体" w:cs="Times New Roman"/>
                <w:snapToGrid/>
                <w:color w:val="auto"/>
                <w:kern w:val="2"/>
                <w:sz w:val="21"/>
                <w:szCs w:val="21"/>
                <w:highlight w:val="none"/>
                <w:lang w:val="en-US" w:eastAsia="zh-CN" w:bidi="ar-SA"/>
              </w:rPr>
              <w:t>加强非常规水资源利用</w:t>
            </w:r>
          </w:p>
        </w:tc>
        <w:tc>
          <w:tcPr>
            <w:tcW w:w="3206"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3#服务站内建设12口水井，为3#页岩油试验区</w:t>
            </w:r>
            <w:r>
              <w:rPr>
                <w:rFonts w:hint="eastAsia" w:cs="Times New Roman"/>
                <w:snapToGrid/>
                <w:color w:val="auto"/>
                <w:kern w:val="2"/>
                <w:sz w:val="21"/>
                <w:szCs w:val="21"/>
                <w:highlight w:val="none"/>
                <w:lang w:val="en-US" w:eastAsia="zh-CN" w:bidi="ar-SA"/>
              </w:rPr>
              <w:t>压裂作业前期及服务站</w:t>
            </w:r>
            <w:r>
              <w:rPr>
                <w:rFonts w:hint="eastAsia" w:ascii="Times New Roman" w:hAnsi="Times New Roman" w:eastAsia="宋体" w:cs="Times New Roman"/>
                <w:snapToGrid/>
                <w:color w:val="auto"/>
                <w:kern w:val="2"/>
                <w:sz w:val="21"/>
                <w:szCs w:val="21"/>
                <w:highlight w:val="none"/>
                <w:lang w:val="en-US" w:eastAsia="zh-CN" w:bidi="ar-SA"/>
              </w:rPr>
              <w:t>处理达标</w:t>
            </w:r>
            <w:r>
              <w:rPr>
                <w:rFonts w:hint="eastAsia" w:cs="Times New Roman"/>
                <w:snapToGrid/>
                <w:color w:val="auto"/>
                <w:kern w:val="2"/>
                <w:sz w:val="21"/>
                <w:szCs w:val="21"/>
                <w:highlight w:val="none"/>
                <w:lang w:val="en-US" w:eastAsia="zh-CN" w:bidi="ar-SA"/>
              </w:rPr>
              <w:t>的</w:t>
            </w:r>
            <w:r>
              <w:rPr>
                <w:rFonts w:hint="eastAsia" w:ascii="Times New Roman" w:hAnsi="Times New Roman" w:eastAsia="宋体" w:cs="Times New Roman"/>
                <w:snapToGrid/>
                <w:color w:val="auto"/>
                <w:kern w:val="2"/>
                <w:sz w:val="21"/>
                <w:szCs w:val="21"/>
                <w:highlight w:val="none"/>
                <w:lang w:val="en-US" w:eastAsia="zh-CN" w:bidi="ar-SA"/>
              </w:rPr>
              <w:t>尾水</w:t>
            </w:r>
            <w:r>
              <w:rPr>
                <w:rFonts w:hint="eastAsia" w:cs="Times New Roman"/>
                <w:snapToGrid/>
                <w:color w:val="auto"/>
                <w:kern w:val="2"/>
                <w:sz w:val="21"/>
                <w:szCs w:val="21"/>
                <w:highlight w:val="none"/>
                <w:lang w:val="en-US" w:eastAsia="zh-CN" w:bidi="ar-SA"/>
              </w:rPr>
              <w:t>水</w:t>
            </w:r>
            <w:r>
              <w:rPr>
                <w:rFonts w:hint="eastAsia" w:ascii="Times New Roman" w:hAnsi="Times New Roman" w:eastAsia="宋体" w:cs="Times New Roman"/>
                <w:snapToGrid/>
                <w:color w:val="auto"/>
                <w:kern w:val="2"/>
                <w:sz w:val="21"/>
                <w:szCs w:val="21"/>
                <w:highlight w:val="none"/>
                <w:lang w:val="en-US" w:eastAsia="zh-CN" w:bidi="ar-SA"/>
              </w:rPr>
              <w:t>量不能满足压裂需求时供水</w:t>
            </w:r>
            <w:r>
              <w:rPr>
                <w:rFonts w:hint="eastAsia" w:cs="Times New Roman"/>
                <w:snapToGrid/>
                <w:color w:val="auto"/>
                <w:kern w:val="2"/>
                <w:sz w:val="21"/>
                <w:szCs w:val="21"/>
                <w:highlight w:val="none"/>
                <w:lang w:val="en-US" w:eastAsia="zh-CN" w:bidi="ar-SA"/>
              </w:rPr>
              <w:t>；</w:t>
            </w:r>
          </w:p>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页岩油试验区产生压裂返排液经处理达标后回用于页岩油试验区</w:t>
            </w:r>
            <w:r>
              <w:rPr>
                <w:rFonts w:hint="eastAsia" w:cs="Times New Roman"/>
                <w:snapToGrid/>
                <w:color w:val="auto"/>
                <w:kern w:val="2"/>
                <w:sz w:val="21"/>
                <w:szCs w:val="21"/>
                <w:highlight w:val="none"/>
                <w:lang w:val="en-US" w:eastAsia="zh-CN" w:bidi="ar-SA"/>
              </w:rPr>
              <w:t>作业使用</w:t>
            </w:r>
            <w:r>
              <w:rPr>
                <w:rFonts w:hint="eastAsia" w:ascii="Times New Roman" w:hAnsi="Times New Roman" w:eastAsia="宋体" w:cs="Times New Roman"/>
                <w:snapToGrid/>
                <w:color w:val="auto"/>
                <w:kern w:val="2"/>
                <w:sz w:val="21"/>
                <w:szCs w:val="21"/>
                <w:highlight w:val="none"/>
                <w:lang w:val="en-US" w:eastAsia="zh-CN" w:bidi="ar-SA"/>
              </w:rPr>
              <w:t>，提高了水资源的重复利用率；</w:t>
            </w:r>
            <w:r>
              <w:rPr>
                <w:rFonts w:hint="eastAsia" w:cs="Times New Roman"/>
                <w:snapToGrid/>
                <w:color w:val="auto"/>
                <w:kern w:val="2"/>
                <w:sz w:val="21"/>
                <w:szCs w:val="21"/>
                <w:highlight w:val="none"/>
                <w:lang w:val="en-US" w:eastAsia="zh-CN" w:bidi="ar-SA"/>
              </w:rPr>
              <w:t>本项目</w:t>
            </w:r>
            <w:r>
              <w:rPr>
                <w:rFonts w:hint="eastAsia" w:ascii="Times New Roman" w:hAnsi="Times New Roman" w:eastAsia="宋体" w:cs="Times New Roman"/>
                <w:snapToGrid/>
                <w:color w:val="auto"/>
                <w:kern w:val="2"/>
                <w:sz w:val="21"/>
                <w:szCs w:val="21"/>
                <w:highlight w:val="none"/>
                <w:lang w:val="en-US" w:eastAsia="zh-CN" w:bidi="ar-SA"/>
              </w:rPr>
              <w:t>年取水量约50万m</w:t>
            </w:r>
            <w:r>
              <w:rPr>
                <w:rFonts w:hint="eastAsia" w:ascii="Times New Roman" w:hAnsi="Times New Roman" w:eastAsia="宋体" w:cs="Times New Roman"/>
                <w:snapToGrid/>
                <w:color w:val="auto"/>
                <w:kern w:val="2"/>
                <w:sz w:val="21"/>
                <w:szCs w:val="21"/>
                <w:highlight w:val="none"/>
                <w:vertAlign w:val="superscript"/>
                <w:lang w:val="en-US" w:eastAsia="zh-CN" w:bidi="ar-SA"/>
              </w:rPr>
              <w:t>3</w:t>
            </w:r>
            <w:r>
              <w:rPr>
                <w:rFonts w:hint="eastAsia" w:ascii="Times New Roman" w:hAnsi="Times New Roman" w:eastAsia="宋体" w:cs="Times New Roman"/>
                <w:snapToGrid/>
                <w:color w:val="auto"/>
                <w:kern w:val="2"/>
                <w:sz w:val="21"/>
                <w:szCs w:val="21"/>
                <w:highlight w:val="none"/>
                <w:lang w:val="en-US" w:eastAsia="zh-CN" w:bidi="ar-SA"/>
              </w:rPr>
              <w:t>，在站内设置地下水观测井，及时掌握地下水水位和水质变化情</w:t>
            </w:r>
            <w:r>
              <w:rPr>
                <w:rFonts w:hint="eastAsia" w:cs="Times New Roman"/>
                <w:snapToGrid/>
                <w:color w:val="auto"/>
                <w:kern w:val="2"/>
                <w:sz w:val="21"/>
                <w:szCs w:val="21"/>
                <w:highlight w:val="none"/>
                <w:lang w:val="en-US" w:eastAsia="zh-CN" w:bidi="ar-SA"/>
              </w:rPr>
              <w:t>况</w:t>
            </w:r>
            <w:r>
              <w:rPr>
                <w:rFonts w:hint="eastAsia" w:ascii="Times New Roman" w:hAnsi="Times New Roman" w:eastAsia="宋体" w:cs="Times New Roman"/>
                <w:snapToGrid/>
                <w:color w:val="auto"/>
                <w:kern w:val="2"/>
                <w:sz w:val="21"/>
                <w:szCs w:val="21"/>
                <w:highlight w:val="none"/>
                <w:lang w:val="en-US" w:eastAsia="zh-CN" w:bidi="ar-SA"/>
              </w:rPr>
              <w:t>；在开采水源井安装计量设施，并将取水信息及时传入水资源管理系统，接受水行政主管部门监督和检查。项目取水已进行水资源论证，取水层为第四系林甸组和泰康组浅层含水层，项目对水资源的利用不会造成区域地下水过度开采。</w:t>
            </w:r>
          </w:p>
        </w:tc>
        <w:tc>
          <w:tcPr>
            <w:tcW w:w="1307" w:type="dxa"/>
            <w:tcBorders>
              <w:tl2br w:val="nil"/>
              <w:tr2bl w:val="nil"/>
            </w:tcBorders>
            <w:vAlign w:val="center"/>
          </w:tcPr>
          <w:p>
            <w:pPr>
              <w:widowControl/>
              <w:kinsoku/>
              <w:autoSpaceDE/>
              <w:autoSpaceDN/>
              <w:adjustRightInd/>
              <w:snapToGrid/>
              <w:spacing w:line="360" w:lineRule="exact"/>
              <w:jc w:val="center"/>
              <w:textAlignment w:val="auto"/>
              <w:rPr>
                <w:rFonts w:hint="eastAsia"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ascii="Times New Roman" w:hAnsi="Times New Roman" w:eastAsia="宋体" w:cs="Times New Roman"/>
          <w:caps w:val="0"/>
          <w:smallCaps w:val="0"/>
          <w:color w:val="auto"/>
          <w:spacing w:val="0"/>
          <w:w w:val="100"/>
          <w:kern w:val="0"/>
          <w:sz w:val="24"/>
          <w:szCs w:val="24"/>
          <w:highlight w:val="none"/>
          <w:lang w:val="en-US" w:eastAsia="zh-CN"/>
        </w:rPr>
      </w:pPr>
      <w:r>
        <w:rPr>
          <w:rFonts w:hint="default" w:ascii="Times New Roman" w:hAnsi="Times New Roman" w:eastAsia="宋体" w:cs="Times New Roman"/>
          <w:caps w:val="0"/>
          <w:smallCaps w:val="0"/>
          <w:color w:val="auto"/>
          <w:spacing w:val="0"/>
          <w:w w:val="100"/>
          <w:kern w:val="0"/>
          <w:sz w:val="24"/>
          <w:szCs w:val="24"/>
          <w:highlight w:val="none"/>
          <w:lang w:val="en-US" w:eastAsia="zh-CN"/>
        </w:rPr>
        <w:t>1.4.</w:t>
      </w:r>
      <w:r>
        <w:rPr>
          <w:rFonts w:hint="eastAsia" w:ascii="Times New Roman" w:hAnsi="Times New Roman" w:eastAsia="宋体" w:cs="Times New Roman"/>
          <w:caps w:val="0"/>
          <w:smallCaps w:val="0"/>
          <w:color w:val="auto"/>
          <w:spacing w:val="0"/>
          <w:w w:val="100"/>
          <w:kern w:val="0"/>
          <w:sz w:val="24"/>
          <w:szCs w:val="24"/>
          <w:highlight w:val="none"/>
          <w:lang w:val="en-US" w:eastAsia="zh-CN"/>
        </w:rPr>
        <w:t>3与《黑龙江省生态功能区划》符合性分析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ascii="Times New Roman" w:hAnsi="Times New Roman" w:eastAsia="宋体" w:cs="Times New Roman"/>
          <w:caps w:val="0"/>
          <w:smallCaps w:val="0"/>
          <w:color w:val="auto"/>
          <w:spacing w:val="0"/>
          <w:w w:val="100"/>
          <w:kern w:val="0"/>
          <w:sz w:val="24"/>
          <w:szCs w:val="24"/>
          <w:highlight w:val="none"/>
          <w:lang w:val="en-US" w:eastAsia="zh-CN"/>
        </w:rPr>
      </w:pPr>
      <w:r>
        <w:rPr>
          <w:rFonts w:hint="default" w:ascii="Times New Roman" w:hAnsi="Times New Roman" w:eastAsia="宋体" w:cs="Times New Roman"/>
          <w:caps w:val="0"/>
          <w:smallCaps w:val="0"/>
          <w:color w:val="auto"/>
          <w:spacing w:val="0"/>
          <w:w w:val="100"/>
          <w:kern w:val="0"/>
          <w:sz w:val="24"/>
          <w:szCs w:val="24"/>
          <w:highlight w:val="none"/>
          <w:lang w:val="en-US" w:eastAsia="zh-CN"/>
        </w:rPr>
        <w:t>本项目</w:t>
      </w:r>
      <w:r>
        <w:rPr>
          <w:rFonts w:hint="eastAsia" w:cs="Times New Roman"/>
          <w:caps w:val="0"/>
          <w:smallCaps w:val="0"/>
          <w:color w:val="auto"/>
          <w:spacing w:val="0"/>
          <w:w w:val="100"/>
          <w:kern w:val="0"/>
          <w:sz w:val="24"/>
          <w:szCs w:val="24"/>
          <w:highlight w:val="none"/>
          <w:lang w:val="en-US" w:eastAsia="zh-CN"/>
        </w:rPr>
        <w:t>站址及管道铺设路径均位于肇源县境内，</w:t>
      </w:r>
      <w:r>
        <w:rPr>
          <w:rFonts w:hint="default" w:ascii="Times New Roman" w:hAnsi="Times New Roman" w:eastAsia="宋体" w:cs="Times New Roman"/>
          <w:caps w:val="0"/>
          <w:smallCaps w:val="0"/>
          <w:color w:val="auto"/>
          <w:spacing w:val="0"/>
          <w:w w:val="100"/>
          <w:kern w:val="0"/>
          <w:sz w:val="24"/>
          <w:szCs w:val="24"/>
          <w:highlight w:val="none"/>
          <w:lang w:val="en-US" w:eastAsia="zh-CN"/>
        </w:rPr>
        <w:t>对照《黑龙江省生态功能区划》，项目所在区域为I-6-1-1嫩江下游湿地保护与沙化和盐渍化控制生态功能区</w:t>
      </w:r>
      <w:r>
        <w:rPr>
          <w:rFonts w:hint="eastAsia" w:ascii="Times New Roman" w:hAnsi="Times New Roman" w:eastAsia="宋体" w:cs="Times New Roman"/>
          <w:caps w:val="0"/>
          <w:smallCaps w:val="0"/>
          <w:color w:val="auto"/>
          <w:spacing w:val="0"/>
          <w:w w:val="100"/>
          <w:kern w:val="0"/>
          <w:sz w:val="24"/>
          <w:szCs w:val="24"/>
          <w:highlight w:val="none"/>
          <w:lang w:val="en-US" w:eastAsia="zh-CN"/>
        </w:rPr>
        <w:t>，</w:t>
      </w:r>
      <w:r>
        <w:rPr>
          <w:rFonts w:hint="default" w:ascii="Times New Roman" w:hAnsi="Times New Roman" w:eastAsia="宋体" w:cs="Times New Roman"/>
          <w:caps w:val="0"/>
          <w:smallCaps w:val="0"/>
          <w:color w:val="auto"/>
          <w:spacing w:val="0"/>
          <w:w w:val="100"/>
          <w:kern w:val="0"/>
          <w:sz w:val="24"/>
          <w:szCs w:val="24"/>
          <w:highlight w:val="none"/>
          <w:lang w:val="en-US" w:eastAsia="zh-CN"/>
        </w:rPr>
        <w:t>项目与《黑龙江省生态功能区划》符合性分析见下表。</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22" w:firstLineChars="200"/>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lang w:val="en-US" w:eastAsia="zh-CN"/>
        </w:rPr>
      </w:pPr>
      <w:r>
        <w:rPr>
          <w:rFonts w:hint="eastAsia" w:ascii="Times New Roman" w:hAnsi="Times New Roman" w:eastAsia="宋体" w:cs="Times New Roman"/>
          <w:b/>
          <w:bCs/>
          <w:caps w:val="0"/>
          <w:smallCaps w:val="0"/>
          <w:color w:val="auto"/>
          <w:spacing w:val="0"/>
          <w:w w:val="100"/>
          <w:kern w:val="0"/>
          <w:sz w:val="21"/>
          <w:szCs w:val="21"/>
          <w:highlight w:val="none"/>
          <w:lang w:val="en-US" w:eastAsia="zh-CN"/>
        </w:rPr>
        <w:t>表1.4-2与《黑龙江省生态功能区划》符合性分析</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92"/>
        <w:gridCol w:w="2440"/>
        <w:gridCol w:w="3847"/>
        <w:gridCol w:w="114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532" w:type="dxa"/>
            <w:gridSpan w:val="2"/>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生态功能区规划</w:t>
            </w:r>
          </w:p>
        </w:tc>
        <w:tc>
          <w:tcPr>
            <w:tcW w:w="3847"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本项目</w:t>
            </w:r>
          </w:p>
        </w:tc>
        <w:tc>
          <w:tcPr>
            <w:tcW w:w="1143"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92"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主要生态环境问题</w:t>
            </w:r>
          </w:p>
        </w:tc>
        <w:tc>
          <w:tcPr>
            <w:tcW w:w="2440"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草地面积减小，草原沙化、碱化、退化现象严重，沙化动态仍呈扩展趋势</w:t>
            </w:r>
          </w:p>
        </w:tc>
        <w:tc>
          <w:tcPr>
            <w:tcW w:w="3847" w:type="dxa"/>
            <w:tcBorders>
              <w:tl2br w:val="nil"/>
              <w:tr2bl w:val="nil"/>
            </w:tcBorders>
            <w:vAlign w:val="center"/>
          </w:tcPr>
          <w:p>
            <w:pPr>
              <w:widowControl/>
              <w:kinsoku/>
              <w:autoSpaceDE/>
              <w:autoSpaceDN/>
              <w:adjustRightInd/>
              <w:snapToGrid/>
              <w:spacing w:line="360" w:lineRule="exact"/>
              <w:jc w:val="both"/>
              <w:textAlignment w:val="auto"/>
              <w:rPr>
                <w:rFonts w:hint="default"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本项目</w:t>
            </w:r>
            <w:r>
              <w:rPr>
                <w:rFonts w:hint="eastAsia" w:cs="Times New Roman"/>
                <w:snapToGrid/>
                <w:color w:val="auto"/>
                <w:kern w:val="2"/>
                <w:sz w:val="21"/>
                <w:szCs w:val="21"/>
                <w:highlight w:val="none"/>
                <w:lang w:val="en-US" w:eastAsia="zh-CN" w:bidi="ar-SA"/>
              </w:rPr>
              <w:t>3#服务站主要占用其他草地，属于未利用地。</w:t>
            </w:r>
          </w:p>
          <w:p>
            <w:pPr>
              <w:widowControl/>
              <w:kinsoku/>
              <w:autoSpaceDE/>
              <w:autoSpaceDN/>
              <w:adjustRightInd/>
              <w:snapToGrid/>
              <w:spacing w:line="360" w:lineRule="exact"/>
              <w:jc w:val="both"/>
              <w:textAlignment w:val="auto"/>
              <w:rPr>
                <w:rFonts w:hint="default"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项目施工，对永久占地内草地植被进行破坏、清除；永久占地内草地植被主要为狗尾草、碱草、碱蒿，这些植被均有繁殖力强特性，且广泛分布于项目所在区域的农田边及村屯住宅内，项目建设不会降低整个区域的植被生物量与植物多样性，不会造成整个群落结构的根本改变。</w:t>
            </w:r>
          </w:p>
          <w:p>
            <w:pPr>
              <w:widowControl/>
              <w:kinsoku/>
              <w:autoSpaceDE/>
              <w:autoSpaceDN/>
              <w:adjustRightInd/>
              <w:snapToGrid/>
              <w:spacing w:line="360" w:lineRule="exact"/>
              <w:jc w:val="both"/>
              <w:textAlignment w:val="auto"/>
              <w:rPr>
                <w:rFonts w:hint="eastAsia"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站址施工结束后，可在站内、周边播撒草种，草种的选择为当地区域常见的植被草种，防止发生外来物种入侵情况，与周围自然生态环境衔接，无地表裸露。</w:t>
            </w:r>
          </w:p>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且项目施工过程中采取相应的水土保持及防沙治沙措施，项目建设不会造成区域水土流失及沙化情况。</w:t>
            </w:r>
          </w:p>
        </w:tc>
        <w:tc>
          <w:tcPr>
            <w:tcW w:w="1143"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92"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生态环境敏感性</w:t>
            </w:r>
          </w:p>
        </w:tc>
        <w:tc>
          <w:tcPr>
            <w:tcW w:w="2440"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西面大面积土地沙漠化敏感性为高度敏感，中度及轻度敏感地区也有分布</w:t>
            </w:r>
          </w:p>
        </w:tc>
        <w:tc>
          <w:tcPr>
            <w:tcW w:w="3847"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项目施工过程中采取了</w:t>
            </w:r>
            <w:r>
              <w:rPr>
                <w:rFonts w:hint="eastAsia" w:ascii="Times New Roman" w:hAnsi="Times New Roman" w:eastAsia="宋体" w:cs="Times New Roman"/>
                <w:snapToGrid/>
                <w:color w:val="auto"/>
                <w:kern w:val="2"/>
                <w:sz w:val="21"/>
                <w:szCs w:val="21"/>
                <w:highlight w:val="none"/>
                <w:lang w:val="en-US" w:eastAsia="zh-CN" w:bidi="ar-SA"/>
              </w:rPr>
              <w:t>相应的</w:t>
            </w:r>
            <w:r>
              <w:rPr>
                <w:rFonts w:hint="default" w:ascii="Times New Roman" w:hAnsi="Times New Roman" w:eastAsia="宋体" w:cs="Times New Roman"/>
                <w:snapToGrid/>
                <w:color w:val="auto"/>
                <w:kern w:val="2"/>
                <w:sz w:val="21"/>
                <w:szCs w:val="21"/>
                <w:highlight w:val="none"/>
                <w:lang w:val="en-US" w:eastAsia="zh-CN" w:bidi="ar-SA"/>
              </w:rPr>
              <w:t>水土保持等措施，</w:t>
            </w:r>
            <w:r>
              <w:rPr>
                <w:rFonts w:hint="eastAsia" w:cs="Times New Roman"/>
                <w:snapToGrid/>
                <w:color w:val="auto"/>
                <w:kern w:val="2"/>
                <w:sz w:val="21"/>
                <w:szCs w:val="21"/>
                <w:highlight w:val="none"/>
                <w:lang w:val="en-US" w:eastAsia="zh-CN" w:bidi="ar-SA"/>
              </w:rPr>
              <w:t>严格控制施工作业带，设置排水沟等措施；</w:t>
            </w:r>
            <w:r>
              <w:rPr>
                <w:rFonts w:hint="default" w:ascii="Times New Roman" w:hAnsi="Times New Roman" w:eastAsia="宋体" w:cs="Times New Roman"/>
                <w:snapToGrid/>
                <w:color w:val="auto"/>
                <w:kern w:val="2"/>
                <w:sz w:val="21"/>
                <w:szCs w:val="21"/>
                <w:highlight w:val="none"/>
                <w:lang w:val="en-US" w:eastAsia="zh-CN" w:bidi="ar-SA"/>
              </w:rPr>
              <w:t>施工结束后，对临时占地进行植被恢复，</w:t>
            </w:r>
            <w:r>
              <w:rPr>
                <w:rFonts w:hint="eastAsia" w:cs="Times New Roman"/>
                <w:snapToGrid/>
                <w:color w:val="auto"/>
                <w:kern w:val="2"/>
                <w:sz w:val="21"/>
                <w:szCs w:val="21"/>
                <w:highlight w:val="none"/>
                <w:lang w:val="en-US" w:eastAsia="zh-CN" w:bidi="ar-SA"/>
              </w:rPr>
              <w:t>对于临时占用的耕地，进行复垦，使农作物生产力恢复至施工前原有水平。</w:t>
            </w:r>
            <w:r>
              <w:rPr>
                <w:rFonts w:hint="default" w:ascii="Times New Roman" w:hAnsi="Times New Roman" w:eastAsia="宋体" w:cs="Times New Roman"/>
                <w:snapToGrid/>
                <w:color w:val="auto"/>
                <w:kern w:val="2"/>
                <w:sz w:val="21"/>
                <w:szCs w:val="21"/>
                <w:highlight w:val="none"/>
                <w:lang w:val="en-US" w:eastAsia="zh-CN" w:bidi="ar-SA"/>
              </w:rPr>
              <w:t>项目建设不会造成区域土地沙漠化</w:t>
            </w:r>
            <w:r>
              <w:rPr>
                <w:rFonts w:hint="eastAsia" w:cs="Times New Roman"/>
                <w:snapToGrid/>
                <w:color w:val="auto"/>
                <w:kern w:val="2"/>
                <w:sz w:val="21"/>
                <w:szCs w:val="21"/>
                <w:highlight w:val="none"/>
                <w:lang w:val="en-US" w:eastAsia="zh-CN" w:bidi="ar-SA"/>
              </w:rPr>
              <w:t>。</w:t>
            </w:r>
          </w:p>
        </w:tc>
        <w:tc>
          <w:tcPr>
            <w:tcW w:w="1143"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92"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保护措施与发展方向</w:t>
            </w:r>
          </w:p>
        </w:tc>
        <w:tc>
          <w:tcPr>
            <w:tcW w:w="2440"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建立生态治沙体系，控制土地沙漠化趋势，充分发挥该地区的防洪蓄洪能力，科学发展农牧业</w:t>
            </w:r>
          </w:p>
        </w:tc>
        <w:tc>
          <w:tcPr>
            <w:tcW w:w="3847"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施工期间尽量避开雨天施工，对施工开挖土方采取临时拦挡及雨天覆盖等措施，以减</w:t>
            </w:r>
            <w:r>
              <w:rPr>
                <w:rFonts w:hint="eastAsia" w:cs="Times New Roman"/>
                <w:snapToGrid/>
                <w:color w:val="auto"/>
                <w:kern w:val="2"/>
                <w:sz w:val="21"/>
                <w:szCs w:val="21"/>
                <w:highlight w:val="none"/>
                <w:lang w:val="en-US" w:eastAsia="zh-CN" w:bidi="ar-SA"/>
              </w:rPr>
              <w:t>少</w:t>
            </w:r>
            <w:r>
              <w:rPr>
                <w:rFonts w:hint="default" w:ascii="Times New Roman" w:hAnsi="Times New Roman" w:eastAsia="宋体" w:cs="Times New Roman"/>
                <w:snapToGrid/>
                <w:color w:val="auto"/>
                <w:kern w:val="2"/>
                <w:sz w:val="21"/>
                <w:szCs w:val="21"/>
                <w:highlight w:val="none"/>
                <w:lang w:val="en-US" w:eastAsia="zh-CN" w:bidi="ar-SA"/>
              </w:rPr>
              <w:t>水土流失；严格控制</w:t>
            </w:r>
            <w:r>
              <w:rPr>
                <w:rFonts w:hint="eastAsia" w:ascii="Times New Roman" w:hAnsi="Times New Roman" w:eastAsia="宋体" w:cs="Times New Roman"/>
                <w:snapToGrid/>
                <w:color w:val="auto"/>
                <w:kern w:val="2"/>
                <w:sz w:val="21"/>
                <w:szCs w:val="21"/>
                <w:highlight w:val="none"/>
                <w:lang w:val="en-US" w:eastAsia="zh-CN" w:bidi="ar-SA"/>
              </w:rPr>
              <w:t>施工占地，</w:t>
            </w:r>
            <w:r>
              <w:rPr>
                <w:rFonts w:hint="default" w:ascii="Times New Roman" w:hAnsi="Times New Roman" w:eastAsia="宋体" w:cs="Times New Roman"/>
                <w:snapToGrid/>
                <w:color w:val="auto"/>
                <w:kern w:val="2"/>
                <w:sz w:val="21"/>
                <w:szCs w:val="21"/>
                <w:highlight w:val="none"/>
                <w:lang w:val="en-US" w:eastAsia="zh-CN" w:bidi="ar-SA"/>
              </w:rPr>
              <w:t>以减少土壤扰动，减少裸地和土方暴露面积，施工过程中产生</w:t>
            </w:r>
            <w:r>
              <w:rPr>
                <w:rFonts w:hint="eastAsia" w:ascii="Times New Roman" w:hAnsi="Times New Roman" w:eastAsia="宋体" w:cs="Times New Roman"/>
                <w:snapToGrid/>
                <w:color w:val="auto"/>
                <w:kern w:val="2"/>
                <w:sz w:val="21"/>
                <w:szCs w:val="21"/>
                <w:highlight w:val="none"/>
                <w:lang w:val="en-US" w:eastAsia="zh-CN" w:bidi="ar-SA"/>
              </w:rPr>
              <w:t>的</w:t>
            </w:r>
            <w:r>
              <w:rPr>
                <w:rFonts w:hint="eastAsia" w:cs="Times New Roman"/>
                <w:snapToGrid/>
                <w:color w:val="auto"/>
                <w:kern w:val="2"/>
                <w:sz w:val="21"/>
                <w:szCs w:val="21"/>
                <w:highlight w:val="none"/>
                <w:lang w:val="en-US" w:eastAsia="zh-CN" w:bidi="ar-SA"/>
              </w:rPr>
              <w:t>土渣</w:t>
            </w:r>
            <w:r>
              <w:rPr>
                <w:rFonts w:hint="default" w:ascii="Times New Roman" w:hAnsi="Times New Roman" w:eastAsia="宋体" w:cs="Times New Roman"/>
                <w:snapToGrid/>
                <w:color w:val="auto"/>
                <w:kern w:val="2"/>
                <w:sz w:val="21"/>
                <w:szCs w:val="21"/>
                <w:highlight w:val="none"/>
                <w:lang w:val="en-US" w:eastAsia="zh-CN" w:bidi="ar-SA"/>
              </w:rPr>
              <w:t>及时利用，减少堆放时间</w:t>
            </w:r>
            <w:r>
              <w:rPr>
                <w:rFonts w:hint="eastAsia" w:ascii="Times New Roman" w:hAnsi="Times New Roman" w:eastAsia="宋体" w:cs="Times New Roman"/>
                <w:snapToGrid/>
                <w:color w:val="auto"/>
                <w:kern w:val="2"/>
                <w:sz w:val="21"/>
                <w:szCs w:val="21"/>
                <w:highlight w:val="none"/>
                <w:lang w:val="en-US" w:eastAsia="zh-CN" w:bidi="ar-SA"/>
              </w:rPr>
              <w:t>。</w:t>
            </w:r>
          </w:p>
        </w:tc>
        <w:tc>
          <w:tcPr>
            <w:tcW w:w="1143"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w:t>
      </w:r>
      <w:r>
        <w:rPr>
          <w:rFonts w:hint="eastAsia" w:cs="Times New Roman"/>
          <w:caps w:val="0"/>
          <w:smallCaps w:val="0"/>
          <w:color w:val="auto"/>
          <w:spacing w:val="0"/>
          <w:w w:val="100"/>
          <w:kern w:val="0"/>
          <w:sz w:val="24"/>
          <w:szCs w:val="24"/>
          <w:highlight w:val="none"/>
          <w:lang w:val="en-US" w:eastAsia="zh-CN"/>
        </w:rPr>
        <w:t>4</w:t>
      </w:r>
      <w:r>
        <w:rPr>
          <w:rFonts w:hint="default" w:cs="Times New Roman"/>
          <w:caps w:val="0"/>
          <w:smallCaps w:val="0"/>
          <w:color w:val="auto"/>
          <w:spacing w:val="0"/>
          <w:w w:val="100"/>
          <w:kern w:val="0"/>
          <w:sz w:val="24"/>
          <w:szCs w:val="24"/>
          <w:highlight w:val="none"/>
          <w:lang w:val="en-US" w:eastAsia="zh-CN"/>
        </w:rPr>
        <w:t>.</w:t>
      </w:r>
      <w:r>
        <w:rPr>
          <w:rFonts w:hint="eastAsia" w:cs="Times New Roman"/>
          <w:caps w:val="0"/>
          <w:smallCaps w:val="0"/>
          <w:color w:val="auto"/>
          <w:spacing w:val="0"/>
          <w:w w:val="100"/>
          <w:kern w:val="0"/>
          <w:sz w:val="24"/>
          <w:szCs w:val="24"/>
          <w:highlight w:val="none"/>
          <w:lang w:val="en-US" w:eastAsia="zh-CN"/>
        </w:rPr>
        <w:t>4</w:t>
      </w:r>
      <w:r>
        <w:rPr>
          <w:rFonts w:hint="default" w:cs="Times New Roman"/>
          <w:caps w:val="0"/>
          <w:smallCaps w:val="0"/>
          <w:color w:val="auto"/>
          <w:spacing w:val="0"/>
          <w:w w:val="100"/>
          <w:kern w:val="0"/>
          <w:sz w:val="24"/>
          <w:szCs w:val="24"/>
          <w:highlight w:val="none"/>
          <w:lang w:val="en-US" w:eastAsia="zh-CN"/>
        </w:rPr>
        <w:t>与《黑龙江省主体功能区规划》符合性分析</w:t>
      </w:r>
    </w:p>
    <w:p>
      <w:pPr>
        <w:pStyle w:val="2"/>
        <w:keepNext w:val="0"/>
        <w:keepLines w:val="0"/>
        <w:pageBreakBefore w:val="0"/>
        <w:widowControl w:val="0"/>
        <w:kinsoku/>
        <w:wordWrap/>
        <w:overflowPunct/>
        <w:topLinePunct w:val="0"/>
        <w:autoSpaceDE/>
        <w:autoSpaceDN/>
        <w:bidi w:val="0"/>
        <w:spacing w:line="500" w:lineRule="exact"/>
        <w:textAlignment w:val="auto"/>
        <w:rPr>
          <w:rFonts w:hint="default"/>
          <w:color w:val="auto"/>
          <w:highlight w:val="none"/>
          <w:lang w:val="en-US" w:eastAsia="zh-CN"/>
        </w:rPr>
      </w:pPr>
      <w:r>
        <w:rPr>
          <w:rFonts w:hint="default" w:ascii="Times New Roman" w:hAnsi="Times New Roman" w:eastAsia="宋体" w:cs="Times New Roman"/>
          <w:caps w:val="0"/>
          <w:smallCaps w:val="0"/>
          <w:color w:val="auto"/>
          <w:spacing w:val="0"/>
          <w:w w:val="100"/>
          <w:kern w:val="0"/>
          <w:sz w:val="24"/>
          <w:szCs w:val="24"/>
          <w:highlight w:val="none"/>
          <w:lang w:val="en-US" w:eastAsia="zh-CN"/>
        </w:rPr>
        <w:t>本项目</w:t>
      </w:r>
      <w:r>
        <w:rPr>
          <w:rFonts w:hint="eastAsia" w:cs="Times New Roman"/>
          <w:caps w:val="0"/>
          <w:smallCaps w:val="0"/>
          <w:color w:val="auto"/>
          <w:spacing w:val="0"/>
          <w:w w:val="100"/>
          <w:kern w:val="0"/>
          <w:sz w:val="24"/>
          <w:szCs w:val="24"/>
          <w:highlight w:val="none"/>
          <w:lang w:val="en-US" w:eastAsia="zh-CN"/>
        </w:rPr>
        <w:t>站址及管道铺设路径均位于肇源县境内，</w:t>
      </w:r>
      <w:r>
        <w:rPr>
          <w:rFonts w:hint="default"/>
          <w:color w:val="auto"/>
          <w:highlight w:val="none"/>
          <w:lang w:val="en-US" w:eastAsia="zh-CN"/>
        </w:rPr>
        <w:t>对照《黑龙江省主体功能区规划》，</w:t>
      </w:r>
      <w:r>
        <w:rPr>
          <w:rFonts w:hint="eastAsia"/>
          <w:color w:val="auto"/>
          <w:highlight w:val="none"/>
          <w:lang w:val="en-US" w:eastAsia="zh-CN"/>
        </w:rPr>
        <w:t>位于</w:t>
      </w:r>
      <w:r>
        <w:rPr>
          <w:rFonts w:hint="default"/>
          <w:color w:val="auto"/>
          <w:highlight w:val="none"/>
          <w:lang w:val="en-US" w:eastAsia="zh-CN"/>
        </w:rPr>
        <w:t>国家</w:t>
      </w:r>
      <w:r>
        <w:rPr>
          <w:rFonts w:hint="eastAsia"/>
          <w:color w:val="auto"/>
          <w:highlight w:val="none"/>
          <w:lang w:val="en-US" w:eastAsia="zh-CN"/>
        </w:rPr>
        <w:t>限制开发区域（国家农产品主产区）。</w:t>
      </w:r>
    </w:p>
    <w:p>
      <w:pPr>
        <w:pStyle w:val="2"/>
        <w:keepNext w:val="0"/>
        <w:keepLines w:val="0"/>
        <w:pageBreakBefore w:val="0"/>
        <w:widowControl w:val="0"/>
        <w:kinsoku/>
        <w:wordWrap/>
        <w:overflowPunct/>
        <w:topLinePunct w:val="0"/>
        <w:autoSpaceDE/>
        <w:autoSpaceDN/>
        <w:bidi w:val="0"/>
        <w:spacing w:line="500" w:lineRule="exact"/>
        <w:textAlignment w:val="auto"/>
        <w:rPr>
          <w:rFonts w:hint="default"/>
          <w:color w:val="auto"/>
          <w:highlight w:val="none"/>
          <w:lang w:val="en-US" w:eastAsia="zh-CN"/>
        </w:rPr>
      </w:pPr>
      <w:r>
        <w:rPr>
          <w:rFonts w:hint="default"/>
          <w:color w:val="auto"/>
          <w:highlight w:val="none"/>
          <w:lang w:val="en-US" w:eastAsia="zh-CN"/>
        </w:rPr>
        <w:t>《黑龙江省主体功能区规划》</w:t>
      </w:r>
      <w:r>
        <w:rPr>
          <w:rFonts w:hint="eastAsia"/>
          <w:color w:val="auto"/>
          <w:highlight w:val="none"/>
          <w:lang w:val="en-US" w:eastAsia="zh-CN"/>
        </w:rPr>
        <w:t>“</w:t>
      </w:r>
      <w:r>
        <w:rPr>
          <w:rFonts w:hint="default"/>
          <w:color w:val="auto"/>
          <w:highlight w:val="none"/>
          <w:lang w:val="en-US" w:eastAsia="zh-CN"/>
        </w:rPr>
        <w:t>第三篇 省域主体功能区-</w:t>
      </w:r>
      <w:r>
        <w:rPr>
          <w:rFonts w:hint="eastAsia"/>
          <w:color w:val="auto"/>
          <w:highlight w:val="none"/>
          <w:lang w:val="en-US" w:eastAsia="zh-CN"/>
        </w:rPr>
        <w:t>第五章，</w:t>
      </w:r>
      <w:r>
        <w:rPr>
          <w:rFonts w:hint="default"/>
          <w:color w:val="auto"/>
          <w:highlight w:val="none"/>
          <w:lang w:val="en-US" w:eastAsia="zh-CN"/>
        </w:rPr>
        <w:t>国家</w:t>
      </w:r>
      <w:r>
        <w:rPr>
          <w:rFonts w:hint="eastAsia"/>
          <w:color w:val="auto"/>
          <w:highlight w:val="none"/>
          <w:lang w:val="en-US" w:eastAsia="zh-CN"/>
        </w:rPr>
        <w:t>限制开发区域（国家农产品主产区）功能定位：以提供农产品为主体功能，保障农产品供给安全的重要区域。重要的商品粮生产基地、绿色食品生产基地、畜牧业生产基地和农产品深加工区、农业综合开发试验区、社会主义新农村建设的示范区；发展方向：建设农业综合开发试验区，保护耕地，集约开发，加强农业基础设施建设，显著提高农业综合生产能力、产业化水平、物资装备水平、支撑服务能力，提高农业生产效率，大力发展高产、高效、优质、安全的现代化大农业，保障农产品供给，确保国家粮食安全和食品安全；积极推进农业规模化水平，搞好绿色（有机）食品基地建设，发展农产品深加工，加大绿色（有机）食品和无公害农产品开发力度，拓展农村就业和增收空间，加强农村基础设施和公共服务设施建设，改善生产生活条件。”</w:t>
      </w:r>
    </w:p>
    <w:p>
      <w:pPr>
        <w:pStyle w:val="2"/>
        <w:keepNext w:val="0"/>
        <w:keepLines w:val="0"/>
        <w:pageBreakBefore w:val="0"/>
        <w:widowControl w:val="0"/>
        <w:kinsoku/>
        <w:wordWrap/>
        <w:overflowPunct/>
        <w:topLinePunct w:val="0"/>
        <w:autoSpaceDE/>
        <w:autoSpaceDN/>
        <w:bidi w:val="0"/>
        <w:spacing w:line="500" w:lineRule="exact"/>
        <w:textAlignment w:val="auto"/>
        <w:rPr>
          <w:rFonts w:hint="default"/>
          <w:color w:val="auto"/>
          <w:highlight w:val="none"/>
          <w:lang w:val="en-US" w:eastAsia="zh-CN"/>
        </w:rPr>
      </w:pPr>
      <w:r>
        <w:rPr>
          <w:rFonts w:hint="default"/>
          <w:color w:val="auto"/>
          <w:highlight w:val="none"/>
          <w:lang w:val="en-US" w:eastAsia="zh-CN"/>
        </w:rPr>
        <w:t>符合性：</w:t>
      </w:r>
      <w:r>
        <w:rPr>
          <w:rFonts w:hint="eastAsia"/>
          <w:color w:val="auto"/>
          <w:highlight w:val="none"/>
          <w:lang w:val="en-US" w:eastAsia="zh-CN"/>
        </w:rPr>
        <w:t>本项目属于页岩油开采的配套工程，属于“三废”综合利用治理项目。待处理的油田废水由罐车拉运至3#服务站，经“均质+隔油沉沙+混凝絮凝沉淀+气浮”处置，处理后水质满足《大庆油田地面工程建设设计规定》（Q/SYDQ 0639-2015）“含油量≤20mg/L、悬浮固体含量≤20mg/L”，通过罐车拉运3#页岩油试验区，或者管输至杜蒙1#服务站，进入其他页岩油试验区作业使用。</w:t>
      </w:r>
    </w:p>
    <w:p>
      <w:pPr>
        <w:pStyle w:val="2"/>
        <w:keepNext w:val="0"/>
        <w:keepLines w:val="0"/>
        <w:pageBreakBefore w:val="0"/>
        <w:widowControl w:val="0"/>
        <w:kinsoku/>
        <w:wordWrap/>
        <w:overflowPunct/>
        <w:topLinePunct w:val="0"/>
        <w:autoSpaceDE/>
        <w:autoSpaceDN/>
        <w:bidi w:val="0"/>
        <w:spacing w:line="500" w:lineRule="exact"/>
        <w:textAlignment w:val="auto"/>
        <w:rPr>
          <w:rFonts w:hint="default"/>
          <w:color w:val="auto"/>
          <w:highlight w:val="none"/>
          <w:lang w:val="en-US" w:eastAsia="zh-CN"/>
        </w:rPr>
      </w:pPr>
      <w:r>
        <w:rPr>
          <w:rFonts w:hint="eastAsia" w:cs="Times New Roman"/>
          <w:caps w:val="0"/>
          <w:smallCaps w:val="0"/>
          <w:color w:val="auto"/>
          <w:spacing w:val="0"/>
          <w:w w:val="100"/>
          <w:kern w:val="0"/>
          <w:sz w:val="24"/>
          <w:szCs w:val="24"/>
          <w:highlight w:val="none"/>
          <w:lang w:val="en-US" w:eastAsia="zh-CN"/>
        </w:rPr>
        <w:t>项目建设提高了水资源的利用率。属于国家重点能源建设的配套工程，项目建设符合</w:t>
      </w:r>
      <w:r>
        <w:rPr>
          <w:rFonts w:hint="default"/>
          <w:color w:val="auto"/>
          <w:highlight w:val="none"/>
          <w:lang w:val="en-US" w:eastAsia="zh-CN"/>
        </w:rPr>
        <w:t>《黑龙江省主体功能区规划》</w:t>
      </w:r>
      <w:r>
        <w:rPr>
          <w:rFonts w:hint="eastAsia"/>
          <w:color w:val="auto"/>
          <w:highlight w:val="none"/>
          <w:lang w:val="en-US" w:eastAsia="zh-CN"/>
        </w:rPr>
        <w:t>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1.4.5与永久基本农田占用符合性分析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本项目建设与永久基本农田相关保护条例符合性分析见下表。</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22" w:firstLineChars="200"/>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lang w:val="en-US" w:eastAsia="zh-CN"/>
        </w:rPr>
      </w:pPr>
      <w:r>
        <w:rPr>
          <w:rFonts w:hint="eastAsia" w:ascii="Times New Roman" w:hAnsi="Times New Roman" w:eastAsia="宋体" w:cs="Times New Roman"/>
          <w:b/>
          <w:bCs/>
          <w:caps w:val="0"/>
          <w:smallCaps w:val="0"/>
          <w:color w:val="auto"/>
          <w:spacing w:val="0"/>
          <w:w w:val="100"/>
          <w:kern w:val="0"/>
          <w:sz w:val="21"/>
          <w:szCs w:val="21"/>
          <w:highlight w:val="none"/>
          <w:lang w:val="en-US" w:eastAsia="zh-CN"/>
        </w:rPr>
        <w:t>表</w:t>
      </w:r>
      <w:r>
        <w:rPr>
          <w:rFonts w:hint="eastAsia" w:cs="Times New Roman"/>
          <w:b/>
          <w:bCs/>
          <w:caps w:val="0"/>
          <w:smallCaps w:val="0"/>
          <w:color w:val="auto"/>
          <w:spacing w:val="0"/>
          <w:w w:val="100"/>
          <w:kern w:val="0"/>
          <w:sz w:val="21"/>
          <w:szCs w:val="21"/>
          <w:highlight w:val="none"/>
          <w:lang w:val="en-US" w:eastAsia="zh-CN"/>
        </w:rPr>
        <w:t>1.4-3与永久基本农田相关保护条例符合性</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53"/>
        <w:gridCol w:w="3307"/>
        <w:gridCol w:w="3184"/>
        <w:gridCol w:w="107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53" w:type="dxa"/>
            <w:tcBorders>
              <w:tl2br w:val="nil"/>
              <w:tr2bl w:val="nil"/>
            </w:tcBorders>
            <w:vAlign w:val="center"/>
          </w:tcPr>
          <w:p>
            <w:pPr>
              <w:widowControl/>
              <w:spacing w:line="360" w:lineRule="exact"/>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smallCaps w:val="0"/>
                <w:color w:val="auto"/>
                <w:spacing w:val="0"/>
                <w:w w:val="100"/>
                <w:sz w:val="21"/>
                <w:szCs w:val="21"/>
                <w:highlight w:val="none"/>
              </w:rPr>
              <w:t>政策文件</w:t>
            </w:r>
          </w:p>
        </w:tc>
        <w:tc>
          <w:tcPr>
            <w:tcW w:w="3307" w:type="dxa"/>
            <w:tcBorders>
              <w:tl2br w:val="nil"/>
              <w:tr2bl w:val="nil"/>
            </w:tcBorders>
            <w:vAlign w:val="center"/>
          </w:tcPr>
          <w:p>
            <w:pPr>
              <w:widowControl/>
              <w:spacing w:line="360" w:lineRule="exact"/>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smallCaps w:val="0"/>
                <w:color w:val="auto"/>
                <w:spacing w:val="0"/>
                <w:w w:val="100"/>
                <w:sz w:val="21"/>
                <w:szCs w:val="21"/>
                <w:highlight w:val="none"/>
              </w:rPr>
              <w:t>保护条例要求</w:t>
            </w:r>
          </w:p>
        </w:tc>
        <w:tc>
          <w:tcPr>
            <w:tcW w:w="3184" w:type="dxa"/>
            <w:tcBorders>
              <w:tl2br w:val="nil"/>
              <w:tr2bl w:val="nil"/>
            </w:tcBorders>
            <w:vAlign w:val="center"/>
          </w:tcPr>
          <w:p>
            <w:pPr>
              <w:widowControl/>
              <w:spacing w:line="360" w:lineRule="exact"/>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smallCaps w:val="0"/>
                <w:color w:val="auto"/>
                <w:spacing w:val="0"/>
                <w:w w:val="100"/>
                <w:sz w:val="21"/>
                <w:szCs w:val="21"/>
                <w:highlight w:val="none"/>
              </w:rPr>
              <w:t>本项目</w:t>
            </w:r>
          </w:p>
        </w:tc>
        <w:tc>
          <w:tcPr>
            <w:tcW w:w="1078" w:type="dxa"/>
            <w:tcBorders>
              <w:tl2br w:val="nil"/>
              <w:tr2bl w:val="nil"/>
            </w:tcBorders>
            <w:vAlign w:val="center"/>
          </w:tcPr>
          <w:p>
            <w:pPr>
              <w:widowControl/>
              <w:spacing w:line="360" w:lineRule="exact"/>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smallCaps w:val="0"/>
                <w:color w:val="auto"/>
                <w:spacing w:val="0"/>
                <w:w w:val="100"/>
                <w:sz w:val="21"/>
                <w:szCs w:val="21"/>
                <w:highlight w:val="none"/>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53" w:type="dxa"/>
            <w:vMerge w:val="restart"/>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基本农田保护条例（2011修订）</w:t>
            </w:r>
          </w:p>
        </w:tc>
        <w:tc>
          <w:tcPr>
            <w:tcW w:w="3307" w:type="dxa"/>
            <w:tcBorders>
              <w:tl2br w:val="nil"/>
              <w:tr2bl w:val="nil"/>
            </w:tcBorders>
            <w:vAlign w:val="center"/>
          </w:tcPr>
          <w:p>
            <w:pPr>
              <w:widowControl/>
              <w:spacing w:line="360" w:lineRule="exact"/>
              <w:jc w:val="both"/>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smallCaps w:val="0"/>
                <w:color w:val="auto"/>
                <w:spacing w:val="0"/>
                <w:w w:val="100"/>
                <w:sz w:val="21"/>
                <w:szCs w:val="21"/>
                <w:highlight w:val="none"/>
              </w:rPr>
              <w:t>国家能源、交通、水利、军事设施等重点建设项目选址确实无法避开基本农田保护区，需要占用基本农田，涉及农用地转用或者征收土地的，必须经国务院批准。</w:t>
            </w:r>
          </w:p>
        </w:tc>
        <w:tc>
          <w:tcPr>
            <w:tcW w:w="3184"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本项目为页岩油开采的配套工程，输液管道建设临时占用永久基本农田，已按有关土地管理办法的要求，逐级上报土地管理部门批准</w:t>
            </w:r>
          </w:p>
        </w:tc>
        <w:tc>
          <w:tcPr>
            <w:tcW w:w="1078"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53" w:type="dxa"/>
            <w:vMerge w:val="continue"/>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p>
        </w:tc>
        <w:tc>
          <w:tcPr>
            <w:tcW w:w="3307" w:type="dxa"/>
            <w:tcBorders>
              <w:tl2br w:val="nil"/>
              <w:tr2bl w:val="nil"/>
            </w:tcBorders>
            <w:vAlign w:val="center"/>
          </w:tcPr>
          <w:p>
            <w:pPr>
              <w:widowControl/>
              <w:spacing w:line="360" w:lineRule="exact"/>
              <w:jc w:val="both"/>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smallCaps w:val="0"/>
                <w:color w:val="auto"/>
                <w:spacing w:val="0"/>
                <w:w w:val="100"/>
                <w:sz w:val="21"/>
                <w:szCs w:val="21"/>
                <w:highlight w:val="none"/>
              </w:rPr>
              <w:t>经国务院批准占用基本农田的，补充划入数量和质量相当的基本农田。占用单位应当按照占多少、垦多少的原则，负责开垦与所占基本农田的数量与质量相当的耕地；没有条件开垦或者开垦的耕地不符合要求的，应当按照省、自治区、直辖市的规定缴纳耕地开垦费，专款用于开垦、新的耕地。将所占用基本农田耕作层的土壤用于新开垦耕地、劣质地或者其他耕地的土壤改良。</w:t>
            </w:r>
          </w:p>
        </w:tc>
        <w:tc>
          <w:tcPr>
            <w:tcW w:w="3184"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本项目仅涉及临时占用永久基本农田；项目制定表土剥离方案，施工前，进行表土剥离，表土堆临时堆放在占地范围内，表面覆盖水土保持毯，定期洒水，四周用重物压实，防止土壤流失、肥力降低；施工结束后，进行表土回填，对土壤进行压实，翻松，复垦。对复垦耕地进行验收，复垦率为100%，复垦质量满足《土地复垦质量控制标准》（TD/T1036-2013）中规定的要求。</w:t>
            </w:r>
          </w:p>
        </w:tc>
        <w:tc>
          <w:tcPr>
            <w:tcW w:w="1078"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53" w:type="dxa"/>
            <w:vMerge w:val="continue"/>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p>
        </w:tc>
        <w:tc>
          <w:tcPr>
            <w:tcW w:w="3307" w:type="dxa"/>
            <w:tcBorders>
              <w:tl2br w:val="nil"/>
              <w:tr2bl w:val="nil"/>
            </w:tcBorders>
            <w:vAlign w:val="center"/>
          </w:tcPr>
          <w:p>
            <w:pPr>
              <w:widowControl/>
              <w:spacing w:line="360" w:lineRule="exact"/>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smallCaps w:val="0"/>
                <w:color w:val="auto"/>
                <w:spacing w:val="0"/>
                <w:w w:val="100"/>
                <w:sz w:val="21"/>
                <w:szCs w:val="21"/>
                <w:highlight w:val="none"/>
              </w:rPr>
              <w:t>禁止任何单位和个人在基本农田保护区内建窑、建房、建坟、挖砂、采石、采矿、取土、堆放固体废弃物或者进行其他破坏基本农田的活动。</w:t>
            </w:r>
          </w:p>
        </w:tc>
        <w:tc>
          <w:tcPr>
            <w:tcW w:w="3184"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项目</w:t>
            </w:r>
            <w:r>
              <w:rPr>
                <w:rFonts w:hint="eastAsia" w:cs="Times New Roman"/>
                <w:snapToGrid/>
                <w:color w:val="auto"/>
                <w:kern w:val="2"/>
                <w:sz w:val="21"/>
                <w:szCs w:val="21"/>
                <w:highlight w:val="none"/>
                <w:lang w:val="en-US" w:eastAsia="zh-CN" w:bidi="ar-SA"/>
              </w:rPr>
              <w:t>管道</w:t>
            </w:r>
            <w:r>
              <w:rPr>
                <w:rFonts w:hint="eastAsia" w:eastAsia="宋体" w:cs="Times New Roman"/>
                <w:snapToGrid/>
                <w:color w:val="auto"/>
                <w:kern w:val="2"/>
                <w:sz w:val="21"/>
                <w:szCs w:val="21"/>
                <w:highlight w:val="none"/>
                <w:lang w:val="en-US" w:eastAsia="zh-CN" w:bidi="ar-SA"/>
              </w:rPr>
              <w:t>施工时，不设置</w:t>
            </w:r>
            <w:r>
              <w:rPr>
                <w:rFonts w:hint="default" w:ascii="Times New Roman" w:hAnsi="Times New Roman" w:eastAsia="宋体" w:cs="Times New Roman"/>
                <w:snapToGrid/>
                <w:color w:val="auto"/>
                <w:kern w:val="2"/>
                <w:sz w:val="21"/>
                <w:szCs w:val="21"/>
                <w:highlight w:val="none"/>
                <w:lang w:val="en-US" w:eastAsia="zh-CN" w:bidi="ar-SA"/>
              </w:rPr>
              <w:t>生活营地</w:t>
            </w:r>
            <w:r>
              <w:rPr>
                <w:rFonts w:hint="eastAsia" w:eastAsia="宋体" w:cs="Times New Roman"/>
                <w:snapToGrid/>
                <w:color w:val="auto"/>
                <w:kern w:val="2"/>
                <w:sz w:val="21"/>
                <w:szCs w:val="21"/>
                <w:highlight w:val="none"/>
                <w:lang w:val="en-US" w:eastAsia="zh-CN" w:bidi="ar-SA"/>
              </w:rPr>
              <w:t>、施工营地及材料堆放场。</w:t>
            </w:r>
            <w:r>
              <w:rPr>
                <w:rFonts w:hint="eastAsia" w:cs="Times New Roman"/>
                <w:snapToGrid/>
                <w:color w:val="auto"/>
                <w:kern w:val="2"/>
                <w:sz w:val="21"/>
                <w:szCs w:val="21"/>
                <w:highlight w:val="none"/>
                <w:lang w:val="en-US" w:eastAsia="zh-CN" w:bidi="ar-SA"/>
              </w:rPr>
              <w:t>管道</w:t>
            </w:r>
            <w:r>
              <w:rPr>
                <w:rFonts w:hint="eastAsia" w:eastAsia="宋体" w:cs="Times New Roman"/>
                <w:snapToGrid/>
                <w:color w:val="auto"/>
                <w:kern w:val="2"/>
                <w:sz w:val="21"/>
                <w:szCs w:val="21"/>
                <w:highlight w:val="none"/>
                <w:lang w:val="en-US" w:eastAsia="zh-CN" w:bidi="ar-SA"/>
              </w:rPr>
              <w:t>临近省道、公路建设，距离周围村屯较近，</w:t>
            </w:r>
            <w:r>
              <w:rPr>
                <w:rFonts w:hint="default" w:ascii="Times New Roman" w:hAnsi="Times New Roman" w:eastAsia="宋体" w:cs="Times New Roman"/>
                <w:snapToGrid/>
                <w:color w:val="auto"/>
                <w:kern w:val="2"/>
                <w:sz w:val="21"/>
                <w:szCs w:val="21"/>
                <w:highlight w:val="none"/>
                <w:lang w:val="en-US" w:eastAsia="zh-CN" w:bidi="ar-SA"/>
              </w:rPr>
              <w:t>施工人员就近在附近村屯居住</w:t>
            </w:r>
            <w:r>
              <w:rPr>
                <w:rFonts w:hint="eastAsia" w:eastAsia="宋体" w:cs="Times New Roman"/>
                <w:snapToGrid/>
                <w:color w:val="auto"/>
                <w:kern w:val="2"/>
                <w:sz w:val="21"/>
                <w:szCs w:val="21"/>
                <w:highlight w:val="none"/>
                <w:lang w:val="en-US" w:eastAsia="zh-CN" w:bidi="ar-SA"/>
              </w:rPr>
              <w:t>，施工材料利用现有道路运输至现场。管道施工时，产生的清挖土方</w:t>
            </w:r>
            <w:r>
              <w:rPr>
                <w:rFonts w:hint="default" w:ascii="Times New Roman" w:hAnsi="Times New Roman" w:eastAsia="宋体" w:cs="Times New Roman"/>
                <w:snapToGrid/>
                <w:color w:val="auto"/>
                <w:kern w:val="2"/>
                <w:sz w:val="21"/>
                <w:szCs w:val="21"/>
                <w:highlight w:val="none"/>
                <w:lang w:val="en-US" w:eastAsia="zh-CN" w:bidi="ar-SA"/>
              </w:rPr>
              <w:t>集中收集，堆放在临时占地内，</w:t>
            </w:r>
            <w:r>
              <w:rPr>
                <w:rFonts w:hint="eastAsia" w:eastAsia="宋体" w:cs="Times New Roman"/>
                <w:snapToGrid/>
                <w:color w:val="auto"/>
                <w:kern w:val="2"/>
                <w:sz w:val="21"/>
                <w:szCs w:val="21"/>
                <w:highlight w:val="none"/>
                <w:lang w:val="en-US" w:eastAsia="zh-CN" w:bidi="ar-SA"/>
              </w:rPr>
              <w:t>土方</w:t>
            </w:r>
            <w:r>
              <w:rPr>
                <w:rFonts w:hint="default" w:ascii="Times New Roman" w:hAnsi="Times New Roman" w:eastAsia="宋体" w:cs="Times New Roman"/>
                <w:snapToGrid/>
                <w:color w:val="auto"/>
                <w:kern w:val="2"/>
                <w:sz w:val="21"/>
                <w:szCs w:val="21"/>
                <w:highlight w:val="none"/>
                <w:lang w:val="en-US" w:eastAsia="zh-CN" w:bidi="ar-SA"/>
              </w:rPr>
              <w:t>及时利用</w:t>
            </w:r>
            <w:r>
              <w:rPr>
                <w:rFonts w:hint="eastAsia" w:eastAsia="宋体" w:cs="Times New Roman"/>
                <w:snapToGrid/>
                <w:color w:val="auto"/>
                <w:kern w:val="2"/>
                <w:sz w:val="21"/>
                <w:szCs w:val="21"/>
                <w:highlight w:val="none"/>
                <w:lang w:val="en-US" w:eastAsia="zh-CN" w:bidi="ar-SA"/>
              </w:rPr>
              <w:t>，</w:t>
            </w:r>
            <w:r>
              <w:rPr>
                <w:rFonts w:hint="default" w:ascii="Times New Roman" w:hAnsi="Times New Roman" w:eastAsia="宋体" w:cs="Times New Roman"/>
                <w:snapToGrid/>
                <w:color w:val="auto"/>
                <w:kern w:val="2"/>
                <w:sz w:val="21"/>
                <w:szCs w:val="21"/>
                <w:highlight w:val="none"/>
                <w:lang w:val="en-US" w:eastAsia="zh-CN" w:bidi="ar-SA"/>
              </w:rPr>
              <w:t>减少堆放时间。</w:t>
            </w:r>
          </w:p>
          <w:p>
            <w:pPr>
              <w:widowControl/>
              <w:kinsoku/>
              <w:autoSpaceDE/>
              <w:autoSpaceDN/>
              <w:adjustRightInd/>
              <w:snapToGrid/>
              <w:spacing w:line="360" w:lineRule="exact"/>
              <w:jc w:val="both"/>
              <w:textAlignment w:val="auto"/>
              <w:rPr>
                <w:rFonts w:hint="default" w:eastAsia="宋体" w:cs="Times New Roman"/>
                <w:snapToGrid/>
                <w:color w:val="auto"/>
                <w:kern w:val="2"/>
                <w:sz w:val="21"/>
                <w:szCs w:val="21"/>
                <w:highlight w:val="none"/>
                <w:lang w:val="en-US" w:eastAsia="zh-CN" w:bidi="ar-SA"/>
              </w:rPr>
            </w:pPr>
            <w:r>
              <w:rPr>
                <w:rFonts w:hint="eastAsia" w:eastAsia="宋体" w:cs="Times New Roman"/>
                <w:snapToGrid/>
                <w:color w:val="auto"/>
                <w:kern w:val="2"/>
                <w:sz w:val="21"/>
                <w:szCs w:val="21"/>
                <w:highlight w:val="none"/>
                <w:lang w:val="en-US" w:eastAsia="zh-CN" w:bidi="ar-SA"/>
              </w:rPr>
              <w:t>项目</w:t>
            </w:r>
            <w:r>
              <w:rPr>
                <w:rFonts w:hint="eastAsia" w:cs="Times New Roman"/>
                <w:snapToGrid/>
                <w:color w:val="auto"/>
                <w:kern w:val="2"/>
                <w:sz w:val="21"/>
                <w:szCs w:val="21"/>
                <w:highlight w:val="none"/>
                <w:lang w:val="en-US" w:eastAsia="zh-CN" w:bidi="ar-SA"/>
              </w:rPr>
              <w:t>管道施工与站址施工同期建设，管道产生的弃土用于服务站站址建设；废弃管材为建筑垃圾，与站址建设垃圾一起拉运处置。</w:t>
            </w:r>
          </w:p>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施工结束后，保证现场无</w:t>
            </w:r>
            <w:r>
              <w:rPr>
                <w:rFonts w:hint="default" w:ascii="Times New Roman" w:hAnsi="Times New Roman" w:cs="Times New Roman"/>
                <w:smallCaps w:val="0"/>
                <w:color w:val="auto"/>
                <w:spacing w:val="0"/>
                <w:w w:val="100"/>
                <w:sz w:val="21"/>
                <w:szCs w:val="21"/>
                <w:highlight w:val="none"/>
              </w:rPr>
              <w:t>固体废弃物</w:t>
            </w:r>
            <w:r>
              <w:rPr>
                <w:rFonts w:hint="default" w:ascii="Times New Roman" w:hAnsi="Times New Roman" w:eastAsia="宋体" w:cs="Times New Roman"/>
                <w:smallCaps w:val="0"/>
                <w:color w:val="auto"/>
                <w:spacing w:val="0"/>
                <w:w w:val="100"/>
                <w:sz w:val="21"/>
                <w:szCs w:val="21"/>
                <w:highlight w:val="none"/>
                <w:lang w:val="en-US" w:eastAsia="zh-CN"/>
              </w:rPr>
              <w:t>残留。</w:t>
            </w:r>
          </w:p>
        </w:tc>
        <w:tc>
          <w:tcPr>
            <w:tcW w:w="1078"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53"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黑龙江省耕地保护条例（2011年修正本）</w:t>
            </w:r>
          </w:p>
        </w:tc>
        <w:tc>
          <w:tcPr>
            <w:tcW w:w="3307"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禁止向耕地范围内排放重金属或者其他有毒有害物质含量超标的污水、</w:t>
            </w:r>
            <w:r>
              <w:rPr>
                <w:rFonts w:hint="eastAsia" w:ascii="Times New Roman" w:hAnsi="Times New Roman" w:eastAsia="宋体" w:cs="Times New Roman"/>
                <w:snapToGrid/>
                <w:color w:val="auto"/>
                <w:kern w:val="2"/>
                <w:sz w:val="21"/>
                <w:szCs w:val="21"/>
                <w:highlight w:val="none"/>
                <w:lang w:val="en-US" w:eastAsia="zh-CN" w:bidi="ar-SA"/>
              </w:rPr>
              <w:t>油泥</w:t>
            </w:r>
            <w:r>
              <w:rPr>
                <w:rFonts w:hint="default" w:ascii="Times New Roman" w:hAnsi="Times New Roman" w:eastAsia="宋体" w:cs="Times New Roman"/>
                <w:snapToGrid/>
                <w:color w:val="auto"/>
                <w:kern w:val="2"/>
                <w:sz w:val="21"/>
                <w:szCs w:val="21"/>
                <w:highlight w:val="none"/>
                <w:lang w:val="en-US" w:eastAsia="zh-CN" w:bidi="ar-SA"/>
              </w:rPr>
              <w:t>，以及可能造成土壤污染的清淤底泥、尾矿、矿渣等；向耕地范围内倾倒垃圾。</w:t>
            </w:r>
          </w:p>
        </w:tc>
        <w:tc>
          <w:tcPr>
            <w:tcW w:w="3184" w:type="dxa"/>
            <w:tcBorders>
              <w:tl2br w:val="nil"/>
              <w:tr2bl w:val="nil"/>
            </w:tcBorders>
            <w:vAlign w:val="center"/>
          </w:tcPr>
          <w:p>
            <w:pPr>
              <w:widowControl/>
              <w:kinsoku/>
              <w:autoSpaceDE/>
              <w:autoSpaceDN/>
              <w:adjustRightInd/>
              <w:snapToGrid/>
              <w:spacing w:line="360" w:lineRule="exact"/>
              <w:jc w:val="both"/>
              <w:textAlignment w:val="auto"/>
              <w:rPr>
                <w:rFonts w:hint="default"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项目施工期间产生的废水为施工人员生活污水及施工废水。</w:t>
            </w:r>
          </w:p>
          <w:p>
            <w:pPr>
              <w:widowControl/>
              <w:kinsoku/>
              <w:autoSpaceDE/>
              <w:autoSpaceDN/>
              <w:adjustRightInd/>
              <w:snapToGrid/>
              <w:spacing w:line="360" w:lineRule="exact"/>
              <w:jc w:val="both"/>
              <w:textAlignment w:val="auto"/>
              <w:rPr>
                <w:rFonts w:hint="default"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施工废水为搅拌砂浆、润湿建筑材料、清洗施工设备的少量生产废水，经施工场地内临时沉淀池沉淀后，用于厂区施工洒水抑尘。</w:t>
            </w:r>
          </w:p>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3#服务站站址施工区域生活污水排入站内化粪池，施工结束后，可随站内运维人员生活污水一起拉运处置；管道施工区域距附近村屯较近，不设置施工营地，租用附近的村民民房进行生活，生活污水排入租用民房防渗化粪池内，定期清掏。</w:t>
            </w:r>
          </w:p>
        </w:tc>
        <w:tc>
          <w:tcPr>
            <w:tcW w:w="1078"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符合</w:t>
            </w:r>
          </w:p>
        </w:tc>
      </w:tr>
    </w:tbl>
    <w:p>
      <w:pPr>
        <w:keepNext w:val="0"/>
        <w:keepLines w:val="0"/>
        <w:pageBreakBefore w:val="0"/>
        <w:widowControl w:val="0"/>
        <w:kinsoku/>
        <w:wordWrap/>
        <w:overflowPunct/>
        <w:topLinePunct w:val="0"/>
        <w:autoSpaceDE/>
        <w:autoSpaceDN/>
        <w:bidi w:val="0"/>
        <w:adjustRightInd w:val="0"/>
        <w:snapToGrid w:val="0"/>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color w:val="auto"/>
          <w:spacing w:val="0"/>
          <w:w w:val="100"/>
          <w:kern w:val="0"/>
          <w:sz w:val="24"/>
          <w:szCs w:val="24"/>
          <w:highlight w:val="none"/>
          <w:lang w:val="en-US" w:eastAsia="zh-CN"/>
        </w:rPr>
        <w:t>1.4.6</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与黑土地保护政策符合性分析</w:t>
      </w:r>
    </w:p>
    <w:p>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1.4-4</w:t>
      </w:r>
      <w:r>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t>与黑土地相关保护政策符合性分析</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
        <w:gridCol w:w="3265"/>
        <w:gridCol w:w="3439"/>
        <w:gridCol w:w="9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tcBorders>
              <w:top w:val="single" w:color="auto" w:sz="12" w:space="0"/>
              <w:left w:val="nil"/>
              <w:bottom w:val="single" w:color="auto" w:sz="6" w:space="0"/>
              <w:right w:val="single" w:color="auto" w:sz="6" w:space="0"/>
            </w:tcBorders>
            <w:vAlign w:val="center"/>
          </w:tcPr>
          <w:p>
            <w:pPr>
              <w:widowControl/>
              <w:spacing w:line="360" w:lineRule="exact"/>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政策文件</w:t>
            </w:r>
          </w:p>
        </w:tc>
        <w:tc>
          <w:tcPr>
            <w:tcW w:w="3265" w:type="dxa"/>
            <w:tcBorders>
              <w:top w:val="single" w:color="auto" w:sz="12" w:space="0"/>
              <w:left w:val="single" w:color="auto" w:sz="6" w:space="0"/>
              <w:bottom w:val="single" w:color="auto" w:sz="6" w:space="0"/>
              <w:right w:val="single" w:color="auto" w:sz="6" w:space="0"/>
            </w:tcBorders>
            <w:vAlign w:val="center"/>
          </w:tcPr>
          <w:p>
            <w:pPr>
              <w:widowControl/>
              <w:spacing w:line="360" w:lineRule="exact"/>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保护条例要求</w:t>
            </w:r>
          </w:p>
        </w:tc>
        <w:tc>
          <w:tcPr>
            <w:tcW w:w="3439" w:type="dxa"/>
            <w:tcBorders>
              <w:top w:val="single" w:color="auto" w:sz="12" w:space="0"/>
              <w:left w:val="single" w:color="auto" w:sz="6" w:space="0"/>
              <w:bottom w:val="single" w:color="auto" w:sz="6" w:space="0"/>
              <w:right w:val="single" w:color="auto" w:sz="6" w:space="0"/>
            </w:tcBorders>
            <w:vAlign w:val="center"/>
          </w:tcPr>
          <w:p>
            <w:pPr>
              <w:widowControl/>
              <w:spacing w:line="360" w:lineRule="exact"/>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本项目</w:t>
            </w:r>
          </w:p>
        </w:tc>
        <w:tc>
          <w:tcPr>
            <w:tcW w:w="989" w:type="dxa"/>
            <w:tcBorders>
              <w:top w:val="single" w:color="auto" w:sz="12" w:space="0"/>
              <w:left w:val="single" w:color="auto" w:sz="6" w:space="0"/>
              <w:bottom w:val="single" w:color="auto" w:sz="6" w:space="0"/>
              <w:right w:val="nil"/>
            </w:tcBorders>
            <w:vAlign w:val="center"/>
          </w:tcPr>
          <w:p>
            <w:pPr>
              <w:widowControl/>
              <w:spacing w:line="360" w:lineRule="exact"/>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vMerge w:val="restart"/>
            <w:tcBorders>
              <w:top w:val="single" w:color="auto" w:sz="6" w:space="0"/>
              <w:left w:val="nil"/>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《中华人民共和国黑土地保护法》（中华人民共和国主席令第一一五号）</w:t>
            </w:r>
          </w:p>
        </w:tc>
        <w:tc>
          <w:tcPr>
            <w:tcW w:w="3265" w:type="dxa"/>
            <w:tcBorders>
              <w:top w:val="single" w:color="auto" w:sz="6" w:space="0"/>
              <w:left w:val="single" w:color="auto" w:sz="6" w:space="0"/>
              <w:bottom w:val="single" w:color="auto" w:sz="6" w:space="0"/>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第二十一条：建设项目不得占用黑土地；确需占用的，应当依法严格审批，并补充数量和质量相当的耕地。建设项目占用黑土地的，应当按照规定的标准对耕作层的土壤进行剥离。剥离的黑土应当就近用于新开垦耕地和劣质耕地改良、被污染耕地的治理、高标准农田建设、土地复垦等。建设项目主体应当制定剥离黑土的再利用方案，报自然资源主管部门备案。具体办法由四省区人民政府分别制定。</w:t>
            </w:r>
          </w:p>
        </w:tc>
        <w:tc>
          <w:tcPr>
            <w:tcW w:w="3439" w:type="dxa"/>
            <w:tcBorders>
              <w:top w:val="single" w:color="auto" w:sz="6" w:space="0"/>
              <w:left w:val="single" w:color="auto" w:sz="6" w:space="0"/>
              <w:bottom w:val="single" w:color="auto" w:sz="6" w:space="0"/>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根据本项目与大庆市划定的三区三线进行对照，项目</w:t>
            </w:r>
            <w:r>
              <w:rPr>
                <w:rFonts w:hint="eastAsia" w:ascii="Times New Roman" w:hAnsi="Times New Roman" w:eastAsia="宋体" w:cs="Times New Roman"/>
                <w:snapToGrid/>
                <w:color w:val="auto"/>
                <w:kern w:val="2"/>
                <w:sz w:val="21"/>
                <w:szCs w:val="21"/>
                <w:highlight w:val="none"/>
                <w:lang w:val="en-US" w:eastAsia="zh-CN" w:bidi="ar-SA"/>
              </w:rPr>
              <w:t>管道建设临时占地占用耕地，其中耕地类型包括一般耕地及永久基本农田。土壤类型主要为腐殖质黑土。</w:t>
            </w:r>
          </w:p>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1.占用的永久基本农田，</w:t>
            </w:r>
            <w:r>
              <w:rPr>
                <w:rFonts w:hint="default" w:ascii="Times New Roman" w:hAnsi="Times New Roman" w:eastAsia="宋体" w:cs="Times New Roman"/>
                <w:snapToGrid/>
                <w:color w:val="auto"/>
                <w:kern w:val="2"/>
                <w:sz w:val="21"/>
                <w:szCs w:val="21"/>
                <w:highlight w:val="none"/>
                <w:lang w:val="en-US" w:eastAsia="zh-CN" w:bidi="ar-SA"/>
              </w:rPr>
              <w:t>已按照</w:t>
            </w:r>
            <w:r>
              <w:rPr>
                <w:rFonts w:hint="eastAsia" w:ascii="Times New Roman" w:hAnsi="Times New Roman" w:eastAsia="宋体" w:cs="Times New Roman"/>
                <w:snapToGrid/>
                <w:color w:val="auto"/>
                <w:kern w:val="2"/>
                <w:sz w:val="21"/>
                <w:szCs w:val="21"/>
                <w:highlight w:val="none"/>
                <w:lang w:val="en-US" w:eastAsia="zh-CN" w:bidi="ar-SA"/>
              </w:rPr>
              <w:t>相关</w:t>
            </w:r>
            <w:r>
              <w:rPr>
                <w:rFonts w:hint="default" w:ascii="Times New Roman" w:hAnsi="Times New Roman" w:eastAsia="宋体" w:cs="Times New Roman"/>
                <w:snapToGrid/>
                <w:color w:val="auto"/>
                <w:kern w:val="2"/>
                <w:sz w:val="21"/>
                <w:szCs w:val="21"/>
                <w:highlight w:val="none"/>
                <w:lang w:val="en-US" w:eastAsia="zh-CN" w:bidi="ar-SA"/>
              </w:rPr>
              <w:t>土地管理办法的要求，逐级上报土地管理部门批准；</w:t>
            </w:r>
          </w:p>
          <w:p>
            <w:pPr>
              <w:widowControl/>
              <w:kinsoku/>
              <w:autoSpaceDE/>
              <w:autoSpaceDN/>
              <w:adjustRightInd/>
              <w:snapToGrid/>
              <w:spacing w:line="360" w:lineRule="exact"/>
              <w:jc w:val="both"/>
              <w:textAlignment w:val="auto"/>
              <w:rPr>
                <w:rFonts w:hint="eastAsia"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2.</w:t>
            </w:r>
            <w:r>
              <w:rPr>
                <w:rFonts w:hint="default" w:ascii="Times New Roman" w:hAnsi="Times New Roman" w:eastAsia="宋体" w:cs="Times New Roman"/>
                <w:snapToGrid/>
                <w:color w:val="auto"/>
                <w:kern w:val="2"/>
                <w:sz w:val="21"/>
                <w:szCs w:val="21"/>
                <w:highlight w:val="none"/>
                <w:lang w:val="en-US" w:eastAsia="zh-CN" w:bidi="ar-SA"/>
              </w:rPr>
              <w:t>建设单位制定表土剥离方案，按照《建设占用耕地耕作层土壤剥离利用技术规范》（DB23/T2913-2021）及《黑龙江省人民政府办公厅关于建设占用耕地耕作层土壤剥离利用工作的指导意见》等规范，表土剥离厚度为30cm</w:t>
            </w:r>
            <w:r>
              <w:rPr>
                <w:rFonts w:hint="eastAsia" w:ascii="Times New Roman" w:hAnsi="Times New Roman" w:eastAsia="宋体" w:cs="Times New Roman"/>
                <w:snapToGrid/>
                <w:color w:val="auto"/>
                <w:kern w:val="2"/>
                <w:sz w:val="21"/>
                <w:szCs w:val="21"/>
                <w:highlight w:val="none"/>
                <w:lang w:val="en-US" w:eastAsia="zh-CN" w:bidi="ar-SA"/>
              </w:rPr>
              <w:t>。</w:t>
            </w:r>
          </w:p>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2.剥离的表土临时堆放在占地范围内，表面覆盖水土保持毯，定期洒水，四周用重物压实，防止土壤流失、肥力降低。施工时，分层开挖，分别堆放，管道铺设完工后，分层回填，最后回填表土。产生的弃土为中心土层产生的渣土，用于服务站站址施工建设。</w:t>
            </w:r>
          </w:p>
        </w:tc>
        <w:tc>
          <w:tcPr>
            <w:tcW w:w="989" w:type="dxa"/>
            <w:tcBorders>
              <w:top w:val="single" w:color="auto" w:sz="6" w:space="0"/>
              <w:left w:val="single" w:color="auto" w:sz="6" w:space="0"/>
              <w:bottom w:val="single" w:color="auto" w:sz="6" w:space="0"/>
              <w:right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vMerge w:val="continue"/>
            <w:tcBorders>
              <w:left w:val="nil"/>
              <w:bottom w:val="single" w:color="auto" w:sz="6" w:space="0"/>
              <w:right w:val="single" w:color="auto" w:sz="6" w:space="0"/>
            </w:tcBorders>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4"/>
                <w:szCs w:val="24"/>
                <w:highlight w:val="none"/>
                <w:lang w:val="en-US" w:eastAsia="zh-CN" w:bidi="ar-SA"/>
              </w:rPr>
            </w:pPr>
          </w:p>
        </w:tc>
        <w:tc>
          <w:tcPr>
            <w:tcW w:w="3265" w:type="dxa"/>
            <w:tcBorders>
              <w:top w:val="single" w:color="auto" w:sz="6" w:space="0"/>
              <w:left w:val="single" w:color="auto" w:sz="6" w:space="0"/>
              <w:bottom w:val="single" w:color="auto" w:sz="6" w:space="0"/>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rPr>
              <w:t>第三十三条 违反本法第二十一条规定，建设项目占用黑土地未对耕作层的土壤实施剥离的，由县级以上地方人民政府自然资源主管部门处每平方米一百元以上二百元以下罚款；未按照规定的标准对耕作层的土壤实施剥离的，处每平方米五十元以上一百元以下罚款。</w:t>
            </w:r>
          </w:p>
        </w:tc>
        <w:tc>
          <w:tcPr>
            <w:tcW w:w="3439" w:type="dxa"/>
            <w:tcBorders>
              <w:top w:val="single" w:color="auto" w:sz="6" w:space="0"/>
              <w:left w:val="single" w:color="auto" w:sz="6" w:space="0"/>
              <w:bottom w:val="single" w:color="auto" w:sz="6" w:space="0"/>
              <w:right w:val="single" w:color="auto" w:sz="6" w:space="0"/>
            </w:tcBorders>
            <w:vAlign w:val="top"/>
          </w:tcPr>
          <w:p>
            <w:pPr>
              <w:widowControl/>
              <w:kinsoku/>
              <w:autoSpaceDE/>
              <w:autoSpaceDN/>
              <w:adjustRightInd/>
              <w:snapToGrid/>
              <w:spacing w:line="360" w:lineRule="exact"/>
              <w:jc w:val="both"/>
              <w:textAlignment w:val="auto"/>
              <w:rPr>
                <w:rFonts w:hint="eastAsia" w:cs="Times New Roman"/>
                <w:snapToGrid/>
                <w:color w:val="auto"/>
                <w:kern w:val="2"/>
                <w:sz w:val="21"/>
                <w:szCs w:val="21"/>
                <w:highlight w:val="none"/>
                <w:lang w:val="en-US" w:eastAsia="zh-CN"/>
              </w:rPr>
            </w:pPr>
            <w:r>
              <w:rPr>
                <w:rFonts w:hint="eastAsia" w:cs="Times New Roman"/>
                <w:snapToGrid/>
                <w:color w:val="auto"/>
                <w:kern w:val="2"/>
                <w:sz w:val="21"/>
                <w:szCs w:val="21"/>
                <w:highlight w:val="none"/>
                <w:lang w:val="en-US" w:eastAsia="zh-CN"/>
              </w:rPr>
              <w:t>1.</w:t>
            </w:r>
            <w:r>
              <w:rPr>
                <w:rFonts w:hint="default" w:ascii="Times New Roman" w:hAnsi="Times New Roman" w:eastAsia="宋体" w:cs="Times New Roman"/>
                <w:snapToGrid/>
                <w:color w:val="auto"/>
                <w:kern w:val="2"/>
                <w:sz w:val="21"/>
                <w:szCs w:val="21"/>
                <w:highlight w:val="none"/>
                <w:lang w:val="en-US" w:eastAsia="zh-CN"/>
              </w:rPr>
              <w:t>建设单位按照《建设占用耕地耕作层土壤剥离利用技术规范》（DB23/T2913-2021）及《黑龙江省人民政府办公厅关于建设占用耕地耕作层土壤剥离利用工作的指导意见》等规范，制定了表土剥离方案，剥离表土厚度为30cm</w:t>
            </w:r>
            <w:r>
              <w:rPr>
                <w:rFonts w:hint="eastAsia" w:cs="Times New Roman"/>
                <w:snapToGrid/>
                <w:color w:val="auto"/>
                <w:kern w:val="2"/>
                <w:sz w:val="21"/>
                <w:szCs w:val="21"/>
                <w:highlight w:val="none"/>
                <w:lang w:val="en-US" w:eastAsia="zh-CN"/>
              </w:rPr>
              <w:t>。</w:t>
            </w:r>
            <w:r>
              <w:rPr>
                <w:rFonts w:hint="default" w:ascii="Times New Roman" w:hAnsi="Times New Roman" w:eastAsia="宋体" w:cs="Times New Roman"/>
                <w:snapToGrid/>
                <w:color w:val="auto"/>
                <w:kern w:val="2"/>
                <w:sz w:val="21"/>
                <w:szCs w:val="21"/>
                <w:highlight w:val="none"/>
                <w:lang w:val="en-US" w:eastAsia="zh-CN"/>
              </w:rPr>
              <w:t>建设单位施工前，严格执行表土剥离方案。</w:t>
            </w:r>
          </w:p>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rPr>
              <w:t>2.剥离的表土</w:t>
            </w:r>
            <w:r>
              <w:rPr>
                <w:rFonts w:hint="eastAsia" w:cs="Times New Roman"/>
                <w:snapToGrid/>
                <w:color w:val="auto"/>
                <w:kern w:val="2"/>
                <w:sz w:val="21"/>
                <w:szCs w:val="21"/>
                <w:highlight w:val="none"/>
                <w:lang w:val="en-US" w:eastAsia="zh-CN" w:bidi="ar-SA"/>
              </w:rPr>
              <w:t>临时堆放在占地范围内，表面覆盖水土保持毯，定期洒水，四周用重物压实，防止土壤流失、肥力降低。施工时，分层开挖，分别堆放，管道铺设完工后，分层回填，最后回填表土。产生的弃土为中心土层产生的渣土，用于服务站站址施工建设。</w:t>
            </w:r>
          </w:p>
        </w:tc>
        <w:tc>
          <w:tcPr>
            <w:tcW w:w="989" w:type="dxa"/>
            <w:tcBorders>
              <w:top w:val="single" w:color="auto" w:sz="6" w:space="0"/>
              <w:left w:val="single" w:color="auto" w:sz="6" w:space="0"/>
              <w:bottom w:val="single" w:color="auto" w:sz="6" w:space="0"/>
              <w:right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4"/>
                <w:szCs w:val="24"/>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9" w:type="dxa"/>
            <w:vMerge w:val="restart"/>
            <w:tcBorders>
              <w:top w:val="single" w:color="auto" w:sz="6" w:space="0"/>
              <w:left w:val="nil"/>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黑龙江省黑土地保护利用条例</w:t>
            </w:r>
          </w:p>
        </w:tc>
        <w:tc>
          <w:tcPr>
            <w:tcW w:w="3265" w:type="dxa"/>
            <w:tcBorders>
              <w:top w:val="single" w:color="auto" w:sz="6" w:space="0"/>
              <w:left w:val="single" w:color="auto" w:sz="6" w:space="0"/>
              <w:bottom w:val="single" w:color="auto" w:sz="6" w:space="0"/>
              <w:right w:val="single" w:color="auto" w:sz="6" w:space="0"/>
            </w:tcBorders>
            <w:vAlign w:val="top"/>
          </w:tcPr>
          <w:p>
            <w:pPr>
              <w:widowControl/>
              <w:kinsoku/>
              <w:autoSpaceDE/>
              <w:autoSpaceDN/>
              <w:adjustRightInd/>
              <w:snapToGrid/>
              <w:spacing w:line="360" w:lineRule="exact"/>
              <w:jc w:val="both"/>
              <w:textAlignment w:val="auto"/>
              <w:rPr>
                <w:rFonts w:hint="eastAsia" w:ascii="Times New Roman" w:hAnsi="Times New Roman" w:eastAsia="宋体" w:cs="Times New Roman"/>
                <w:snapToGrid/>
                <w:color w:val="auto"/>
                <w:kern w:val="2"/>
                <w:sz w:val="21"/>
                <w:szCs w:val="21"/>
                <w:highlight w:val="none"/>
                <w:lang w:eastAsia="zh-CN"/>
              </w:rPr>
            </w:pPr>
            <w:r>
              <w:rPr>
                <w:rFonts w:hint="default" w:ascii="Times New Roman" w:hAnsi="Times New Roman" w:eastAsia="宋体" w:cs="Times New Roman"/>
                <w:snapToGrid/>
                <w:color w:val="auto"/>
                <w:kern w:val="2"/>
                <w:sz w:val="21"/>
                <w:szCs w:val="21"/>
                <w:highlight w:val="none"/>
              </w:rPr>
              <w:t>第</w:t>
            </w:r>
            <w:r>
              <w:rPr>
                <w:rFonts w:hint="eastAsia" w:cs="Times New Roman"/>
                <w:snapToGrid/>
                <w:color w:val="auto"/>
                <w:kern w:val="2"/>
                <w:sz w:val="21"/>
                <w:szCs w:val="21"/>
                <w:highlight w:val="none"/>
                <w:lang w:val="en-US" w:eastAsia="zh-CN"/>
              </w:rPr>
              <w:t>三十三</w:t>
            </w:r>
            <w:r>
              <w:rPr>
                <w:rFonts w:hint="default" w:ascii="Times New Roman" w:hAnsi="Times New Roman" w:eastAsia="宋体" w:cs="Times New Roman"/>
                <w:snapToGrid/>
                <w:color w:val="auto"/>
                <w:kern w:val="2"/>
                <w:sz w:val="21"/>
                <w:szCs w:val="21"/>
                <w:highlight w:val="none"/>
              </w:rPr>
              <w:t>条</w:t>
            </w:r>
            <w:r>
              <w:rPr>
                <w:rFonts w:hint="eastAsia" w:cs="Times New Roman"/>
                <w:snapToGrid/>
                <w:color w:val="auto"/>
                <w:kern w:val="2"/>
                <w:sz w:val="21"/>
                <w:szCs w:val="21"/>
                <w:highlight w:val="none"/>
                <w:lang w:eastAsia="zh-CN"/>
              </w:rPr>
              <w:t>：</w:t>
            </w:r>
            <w:r>
              <w:rPr>
                <w:rFonts w:hint="default" w:ascii="Times New Roman" w:hAnsi="Times New Roman" w:eastAsia="宋体" w:cs="Times New Roman"/>
                <w:snapToGrid/>
                <w:color w:val="auto"/>
                <w:kern w:val="2"/>
                <w:sz w:val="21"/>
                <w:szCs w:val="21"/>
                <w:highlight w:val="none"/>
              </w:rPr>
              <w:t>禁止向黑土地排放重金属或者其他有毒有害物质含量超标的污水、</w:t>
            </w:r>
            <w:r>
              <w:rPr>
                <w:rFonts w:hint="eastAsia" w:cs="Times New Roman"/>
                <w:snapToGrid/>
                <w:color w:val="auto"/>
                <w:kern w:val="2"/>
                <w:sz w:val="21"/>
                <w:szCs w:val="21"/>
                <w:highlight w:val="none"/>
                <w:lang w:val="en-US" w:eastAsia="zh-CN"/>
              </w:rPr>
              <w:t>油泥</w:t>
            </w:r>
            <w:r>
              <w:rPr>
                <w:rFonts w:hint="default" w:ascii="Times New Roman" w:hAnsi="Times New Roman" w:eastAsia="宋体" w:cs="Times New Roman"/>
                <w:snapToGrid/>
                <w:color w:val="auto"/>
                <w:kern w:val="2"/>
                <w:sz w:val="21"/>
                <w:szCs w:val="21"/>
                <w:highlight w:val="none"/>
              </w:rPr>
              <w:t>，以及可能造成土壤污染的清淤底泥、尾矿、矿渣等；禁止将有毒有害废物用作肥料或者用于造田和土地复垦</w:t>
            </w:r>
            <w:r>
              <w:rPr>
                <w:rFonts w:hint="eastAsia" w:cs="Times New Roman"/>
                <w:snapToGrid/>
                <w:color w:val="auto"/>
                <w:kern w:val="2"/>
                <w:sz w:val="21"/>
                <w:szCs w:val="21"/>
                <w:highlight w:val="none"/>
                <w:lang w:eastAsia="zh-CN"/>
              </w:rPr>
              <w:t>。</w:t>
            </w:r>
          </w:p>
        </w:tc>
        <w:tc>
          <w:tcPr>
            <w:tcW w:w="3439" w:type="dxa"/>
            <w:tcBorders>
              <w:top w:val="single" w:color="auto" w:sz="6" w:space="0"/>
              <w:left w:val="single" w:color="auto" w:sz="6" w:space="0"/>
              <w:bottom w:val="single" w:color="auto" w:sz="6" w:space="0"/>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rPr>
            </w:pPr>
            <w:r>
              <w:rPr>
                <w:rFonts w:hint="eastAsia" w:cs="Times New Roman"/>
                <w:snapToGrid/>
                <w:color w:val="auto"/>
                <w:kern w:val="2"/>
                <w:sz w:val="21"/>
                <w:szCs w:val="21"/>
                <w:highlight w:val="none"/>
                <w:lang w:val="en-US" w:eastAsia="zh-CN"/>
              </w:rPr>
              <w:t>本项目施工期废水、固体废物均进入其他单位进行处置，不外排；施工结束后，临时占地施工区域设备进行撤离，保证现场无固体废物残留。项目制定土地复垦方案，复垦范围为临时占用耕地，复垦率100%，复垦后应满足《土地复垦质量控制标准》（TD/T1036-2013）中规定的要求。</w:t>
            </w:r>
          </w:p>
        </w:tc>
        <w:tc>
          <w:tcPr>
            <w:tcW w:w="989" w:type="dxa"/>
            <w:tcBorders>
              <w:top w:val="single" w:color="auto" w:sz="6" w:space="0"/>
              <w:left w:val="single" w:color="auto" w:sz="6" w:space="0"/>
              <w:bottom w:val="single" w:color="auto" w:sz="6" w:space="0"/>
              <w:right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vMerge w:val="continue"/>
            <w:tcBorders>
              <w:left w:val="nil"/>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p>
        </w:tc>
        <w:tc>
          <w:tcPr>
            <w:tcW w:w="3265" w:type="dxa"/>
            <w:tcBorders>
              <w:top w:val="single" w:color="auto" w:sz="6" w:space="0"/>
              <w:left w:val="single" w:color="auto" w:sz="6" w:space="0"/>
              <w:bottom w:val="single" w:color="auto" w:sz="6" w:space="0"/>
              <w:right w:val="single" w:color="auto" w:sz="6" w:space="0"/>
            </w:tcBorders>
            <w:vAlign w:val="top"/>
          </w:tcPr>
          <w:p>
            <w:pPr>
              <w:widowControl/>
              <w:kinsoku/>
              <w:autoSpaceDE/>
              <w:autoSpaceDN/>
              <w:adjustRightInd/>
              <w:snapToGrid/>
              <w:spacing w:line="360" w:lineRule="exact"/>
              <w:jc w:val="both"/>
              <w:textAlignment w:val="auto"/>
              <w:rPr>
                <w:rFonts w:hint="eastAsia" w:ascii="Times New Roman" w:hAnsi="Times New Roman" w:eastAsia="宋体" w:cs="Times New Roman"/>
                <w:snapToGrid/>
                <w:color w:val="auto"/>
                <w:kern w:val="2"/>
                <w:sz w:val="21"/>
                <w:szCs w:val="21"/>
                <w:highlight w:val="none"/>
                <w:lang w:eastAsia="zh-CN"/>
              </w:rPr>
            </w:pPr>
            <w:r>
              <w:rPr>
                <w:rFonts w:hint="default" w:ascii="Times New Roman" w:hAnsi="Times New Roman" w:eastAsia="宋体" w:cs="Times New Roman"/>
                <w:snapToGrid/>
                <w:color w:val="auto"/>
                <w:kern w:val="2"/>
                <w:sz w:val="21"/>
                <w:szCs w:val="21"/>
                <w:highlight w:val="none"/>
              </w:rPr>
              <w:t>第</w:t>
            </w:r>
            <w:r>
              <w:rPr>
                <w:rFonts w:hint="eastAsia" w:cs="Times New Roman"/>
                <w:snapToGrid/>
                <w:color w:val="auto"/>
                <w:kern w:val="2"/>
                <w:sz w:val="21"/>
                <w:szCs w:val="21"/>
                <w:highlight w:val="none"/>
                <w:lang w:val="en-US" w:eastAsia="zh-CN"/>
              </w:rPr>
              <w:t>三十五</w:t>
            </w:r>
            <w:r>
              <w:rPr>
                <w:rFonts w:hint="default" w:ascii="Times New Roman" w:hAnsi="Times New Roman" w:eastAsia="宋体" w:cs="Times New Roman"/>
                <w:snapToGrid/>
                <w:color w:val="auto"/>
                <w:kern w:val="2"/>
                <w:sz w:val="21"/>
                <w:szCs w:val="21"/>
                <w:highlight w:val="none"/>
              </w:rPr>
              <w:t>条</w:t>
            </w:r>
            <w:r>
              <w:rPr>
                <w:rFonts w:hint="eastAsia" w:cs="Times New Roman"/>
                <w:snapToGrid/>
                <w:color w:val="auto"/>
                <w:kern w:val="2"/>
                <w:sz w:val="21"/>
                <w:szCs w:val="21"/>
                <w:highlight w:val="none"/>
                <w:lang w:eastAsia="zh-CN"/>
              </w:rPr>
              <w:t>：</w:t>
            </w:r>
            <w:r>
              <w:rPr>
                <w:rFonts w:hint="default" w:ascii="Times New Roman" w:hAnsi="Times New Roman" w:eastAsia="宋体" w:cs="Times New Roman"/>
                <w:snapToGrid/>
                <w:color w:val="auto"/>
                <w:kern w:val="2"/>
                <w:sz w:val="21"/>
                <w:szCs w:val="21"/>
                <w:highlight w:val="none"/>
              </w:rPr>
              <w:t>黑土地治理修复应当建立政府主导、公众参与、谁受益谁负责、谁损害谁负责的机制</w:t>
            </w:r>
            <w:r>
              <w:rPr>
                <w:rFonts w:hint="eastAsia" w:cs="Times New Roman"/>
                <w:snapToGrid/>
                <w:color w:val="auto"/>
                <w:kern w:val="2"/>
                <w:sz w:val="21"/>
                <w:szCs w:val="21"/>
                <w:highlight w:val="none"/>
                <w:lang w:eastAsia="zh-CN"/>
              </w:rPr>
              <w:t>；县级以上人民政府负责黑土地治理修复工作的组织实施和监督管理；对因生产建设活动和自然灾害损毁的黑土地采取措施，组织治理修复。治理修复应当与农业生产、生态保护等要求协调一致。</w:t>
            </w:r>
          </w:p>
        </w:tc>
        <w:tc>
          <w:tcPr>
            <w:tcW w:w="3439" w:type="dxa"/>
            <w:tcBorders>
              <w:top w:val="single" w:color="auto" w:sz="6" w:space="0"/>
              <w:left w:val="single" w:color="auto" w:sz="6" w:space="0"/>
              <w:bottom w:val="single" w:color="auto" w:sz="6" w:space="0"/>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rPr>
            </w:pPr>
            <w:r>
              <w:rPr>
                <w:rFonts w:hint="default" w:ascii="Times New Roman" w:hAnsi="Times New Roman" w:eastAsia="宋体" w:cs="Times New Roman"/>
                <w:snapToGrid/>
                <w:color w:val="auto"/>
                <w:kern w:val="2"/>
                <w:sz w:val="21"/>
                <w:szCs w:val="21"/>
                <w:highlight w:val="none"/>
                <w:lang w:val="en-US" w:eastAsia="zh-CN"/>
              </w:rPr>
              <w:t>建设单位按照《建设占用耕地耕作层土壤剥离利用技术规范》（DB23/T2913-2021）及《黑龙江省人民政府办公厅关于建设占用耕地耕作层土壤剥离利用工作的指导意见》等规范，制定了表土剥离方案；表面覆盖水土保持毯，定期洒水，施工结束后，临时占地的表土进行回填。</w:t>
            </w:r>
          </w:p>
        </w:tc>
        <w:tc>
          <w:tcPr>
            <w:tcW w:w="989" w:type="dxa"/>
            <w:tcBorders>
              <w:top w:val="single" w:color="auto" w:sz="6" w:space="0"/>
              <w:left w:val="single" w:color="auto" w:sz="6" w:space="0"/>
              <w:bottom w:val="single" w:color="auto" w:sz="6" w:space="0"/>
              <w:right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vMerge w:val="continue"/>
            <w:tcBorders>
              <w:left w:val="nil"/>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p>
        </w:tc>
        <w:tc>
          <w:tcPr>
            <w:tcW w:w="3265" w:type="dxa"/>
            <w:tcBorders>
              <w:top w:val="single" w:color="auto" w:sz="6" w:space="0"/>
              <w:left w:val="single" w:color="auto" w:sz="6" w:space="0"/>
              <w:bottom w:val="single" w:color="auto" w:sz="6" w:space="0"/>
              <w:right w:val="single" w:color="auto" w:sz="6" w:space="0"/>
            </w:tcBorders>
            <w:vAlign w:val="top"/>
          </w:tcPr>
          <w:p>
            <w:pPr>
              <w:widowControl/>
              <w:kinsoku/>
              <w:autoSpaceDE/>
              <w:autoSpaceDN/>
              <w:adjustRightInd/>
              <w:snapToGrid/>
              <w:spacing w:line="360" w:lineRule="exact"/>
              <w:jc w:val="both"/>
              <w:textAlignment w:val="auto"/>
              <w:rPr>
                <w:rFonts w:hint="eastAsia" w:ascii="Times New Roman" w:hAnsi="Times New Roman" w:eastAsia="宋体" w:cs="Times New Roman"/>
                <w:snapToGrid/>
                <w:color w:val="auto"/>
                <w:kern w:val="2"/>
                <w:sz w:val="21"/>
                <w:szCs w:val="21"/>
                <w:highlight w:val="none"/>
                <w:lang w:eastAsia="zh-CN"/>
              </w:rPr>
            </w:pPr>
            <w:r>
              <w:rPr>
                <w:rFonts w:hint="default" w:ascii="Times New Roman" w:hAnsi="Times New Roman" w:eastAsia="宋体" w:cs="Times New Roman"/>
                <w:snapToGrid/>
                <w:color w:val="auto"/>
                <w:kern w:val="2"/>
                <w:sz w:val="21"/>
                <w:szCs w:val="21"/>
                <w:highlight w:val="none"/>
              </w:rPr>
              <w:t>第四十四条</w:t>
            </w:r>
            <w:r>
              <w:rPr>
                <w:rFonts w:hint="eastAsia" w:cs="Times New Roman"/>
                <w:snapToGrid/>
                <w:color w:val="auto"/>
                <w:kern w:val="2"/>
                <w:sz w:val="21"/>
                <w:szCs w:val="21"/>
                <w:highlight w:val="none"/>
                <w:lang w:eastAsia="zh-CN"/>
              </w:rPr>
              <w:t>：</w:t>
            </w:r>
            <w:r>
              <w:rPr>
                <w:rFonts w:hint="default" w:ascii="Times New Roman" w:hAnsi="Times New Roman" w:eastAsia="宋体" w:cs="Times New Roman"/>
                <w:snapToGrid/>
                <w:color w:val="auto"/>
                <w:kern w:val="2"/>
                <w:sz w:val="21"/>
                <w:szCs w:val="21"/>
                <w:highlight w:val="none"/>
              </w:rPr>
              <w:t>建设项目不得占用黑土地；确需占用的，应当依法严格审批，并补充数量和质量相当的耕地</w:t>
            </w:r>
            <w:r>
              <w:rPr>
                <w:rFonts w:hint="eastAsia" w:cs="Times New Roman"/>
                <w:snapToGrid/>
                <w:color w:val="auto"/>
                <w:kern w:val="2"/>
                <w:sz w:val="21"/>
                <w:szCs w:val="21"/>
                <w:highlight w:val="none"/>
                <w:lang w:eastAsia="zh-CN"/>
              </w:rPr>
              <w:t>；基础设施建设应当采取必要措施，避免因建设项目导致水淹耕地或者破坏黑土地生态环境。</w:t>
            </w:r>
          </w:p>
        </w:tc>
        <w:tc>
          <w:tcPr>
            <w:tcW w:w="3439" w:type="dxa"/>
            <w:tcBorders>
              <w:top w:val="single" w:color="auto" w:sz="6" w:space="0"/>
              <w:left w:val="single" w:color="auto" w:sz="6" w:space="0"/>
              <w:bottom w:val="single" w:color="auto" w:sz="6" w:space="0"/>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rPr>
            </w:pPr>
            <w:r>
              <w:rPr>
                <w:rFonts w:hint="eastAsia" w:cs="Times New Roman"/>
                <w:snapToGrid/>
                <w:color w:val="auto"/>
                <w:kern w:val="2"/>
                <w:sz w:val="21"/>
                <w:szCs w:val="21"/>
                <w:highlight w:val="none"/>
                <w:lang w:val="en-US" w:eastAsia="zh-CN"/>
              </w:rPr>
              <w:t>根据现场勘查及对周围区域土地利用现状调查，本项目管道铺设，无法避让黑土地；</w:t>
            </w:r>
            <w:r>
              <w:rPr>
                <w:rFonts w:hint="default" w:ascii="Times New Roman" w:hAnsi="Times New Roman" w:eastAsia="宋体" w:cs="Times New Roman"/>
                <w:snapToGrid/>
                <w:color w:val="auto"/>
                <w:kern w:val="2"/>
                <w:sz w:val="21"/>
                <w:szCs w:val="21"/>
                <w:highlight w:val="none"/>
                <w:lang w:val="en-US" w:eastAsia="zh-CN"/>
              </w:rPr>
              <w:t>管道施工前表土剥离作业；表面覆盖水土保持毯，定期洒水，堆高不超过3m，边坡比可按1：0.75设置，周围设置围挡，周边修筑人工排水沟；</w:t>
            </w:r>
            <w:r>
              <w:rPr>
                <w:rFonts w:hint="eastAsia" w:cs="Times New Roman"/>
                <w:snapToGrid/>
                <w:color w:val="auto"/>
                <w:kern w:val="2"/>
                <w:sz w:val="21"/>
                <w:szCs w:val="21"/>
                <w:highlight w:val="none"/>
                <w:lang w:val="en-US" w:eastAsia="zh-CN"/>
              </w:rPr>
              <w:t>施工结束后，及时回填，</w:t>
            </w:r>
            <w:r>
              <w:rPr>
                <w:rFonts w:hint="eastAsia" w:ascii="Times New Roman" w:hAnsi="Times New Roman" w:cs="Times New Roman"/>
                <w:color w:val="auto"/>
                <w:sz w:val="21"/>
                <w:szCs w:val="21"/>
                <w:highlight w:val="none"/>
                <w:vertAlign w:val="baseline"/>
                <w:lang w:val="en-US" w:eastAsia="zh-CN"/>
              </w:rPr>
              <w:t>对临时占用的耕地进行土地平整、翻耕、复垦；复垦率为100%，复垦质量满足《土地复垦质量控制标准》（TD/T1036-2013）中规定的要求，农田农作物生态量恢复至施工前原有水平</w:t>
            </w:r>
            <w:r>
              <w:rPr>
                <w:rFonts w:hint="eastAsia" w:cs="Times New Roman"/>
                <w:color w:val="auto"/>
                <w:sz w:val="21"/>
                <w:szCs w:val="21"/>
                <w:highlight w:val="none"/>
                <w:vertAlign w:val="baseline"/>
                <w:lang w:val="en-US" w:eastAsia="zh-CN"/>
              </w:rPr>
              <w:t>。</w:t>
            </w:r>
          </w:p>
        </w:tc>
        <w:tc>
          <w:tcPr>
            <w:tcW w:w="989" w:type="dxa"/>
            <w:tcBorders>
              <w:top w:val="single" w:color="auto" w:sz="6" w:space="0"/>
              <w:left w:val="single" w:color="auto" w:sz="6" w:space="0"/>
              <w:bottom w:val="single" w:color="auto" w:sz="6" w:space="0"/>
              <w:right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vMerge w:val="continue"/>
            <w:tcBorders>
              <w:left w:val="nil"/>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p>
        </w:tc>
        <w:tc>
          <w:tcPr>
            <w:tcW w:w="3265" w:type="dxa"/>
            <w:tcBorders>
              <w:top w:val="single" w:color="auto" w:sz="6" w:space="0"/>
              <w:left w:val="single" w:color="auto" w:sz="6" w:space="0"/>
              <w:bottom w:val="single" w:color="auto" w:sz="6" w:space="0"/>
              <w:right w:val="single" w:color="auto" w:sz="6" w:space="0"/>
            </w:tcBorders>
            <w:vAlign w:val="top"/>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rPr>
            </w:pPr>
            <w:r>
              <w:rPr>
                <w:rFonts w:hint="default" w:ascii="Times New Roman" w:hAnsi="Times New Roman" w:eastAsia="宋体" w:cs="Times New Roman"/>
                <w:snapToGrid/>
                <w:color w:val="auto"/>
                <w:kern w:val="2"/>
                <w:sz w:val="21"/>
                <w:szCs w:val="21"/>
                <w:highlight w:val="none"/>
              </w:rPr>
              <w:t>第四十五条</w:t>
            </w:r>
            <w:r>
              <w:rPr>
                <w:rFonts w:hint="eastAsia" w:cs="Times New Roman"/>
                <w:snapToGrid/>
                <w:color w:val="auto"/>
                <w:kern w:val="2"/>
                <w:sz w:val="21"/>
                <w:szCs w:val="21"/>
                <w:highlight w:val="none"/>
                <w:lang w:eastAsia="zh-CN"/>
              </w:rPr>
              <w:t>：</w:t>
            </w:r>
            <w:r>
              <w:rPr>
                <w:rFonts w:hint="default" w:ascii="Times New Roman" w:hAnsi="Times New Roman" w:eastAsia="宋体" w:cs="Times New Roman"/>
                <w:snapToGrid/>
                <w:color w:val="auto"/>
                <w:kern w:val="2"/>
                <w:sz w:val="21"/>
                <w:szCs w:val="21"/>
                <w:highlight w:val="none"/>
              </w:rPr>
              <w:t>建设项目占用黑土地的，应当按照规定的标准对耕作层的土壤进行剥离。剥离的黑土应当就近用于新开垦耕地和低质耕地改良、被污染耕地的治理、高标准农田建设、土地复垦等。建设项目主体应当制定剥离黑土的再利用方案，报自然资源主管部门备案。</w:t>
            </w:r>
          </w:p>
        </w:tc>
        <w:tc>
          <w:tcPr>
            <w:tcW w:w="3439" w:type="dxa"/>
            <w:tcBorders>
              <w:top w:val="single" w:color="auto" w:sz="6" w:space="0"/>
              <w:left w:val="single" w:color="auto" w:sz="6" w:space="0"/>
              <w:bottom w:val="single" w:color="auto" w:sz="6" w:space="0"/>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rPr>
            </w:pPr>
            <w:r>
              <w:rPr>
                <w:rFonts w:hint="default" w:ascii="Times New Roman" w:hAnsi="Times New Roman" w:eastAsia="宋体" w:cs="Times New Roman"/>
                <w:snapToGrid/>
                <w:color w:val="auto"/>
                <w:kern w:val="2"/>
                <w:sz w:val="21"/>
                <w:szCs w:val="21"/>
                <w:highlight w:val="none"/>
                <w:lang w:val="en-US" w:eastAsia="zh-CN"/>
              </w:rPr>
              <w:t>建设单位按照《建设占用耕地耕作层土壤剥离利用技术规范》（DB23/T2913-2021）及《黑龙江省人民政府办公厅关于建设占用耕地耕作层土壤剥离利用工作的指导意见》等规范，制定了表土剥离方案；表面覆盖水土保持毯，定期洒水，施工结束后，临时占地的表土进行回填。</w:t>
            </w:r>
            <w:r>
              <w:rPr>
                <w:rFonts w:hint="eastAsia" w:ascii="Times New Roman" w:hAnsi="Times New Roman" w:cs="Times New Roman"/>
                <w:color w:val="auto"/>
                <w:sz w:val="21"/>
                <w:szCs w:val="21"/>
                <w:highlight w:val="none"/>
                <w:vertAlign w:val="baseline"/>
                <w:lang w:val="en-US" w:eastAsia="zh-CN"/>
              </w:rPr>
              <w:t>对临时占用的耕地进行土地平整、翻耕、复垦；复垦率为100%，复垦质量满足《土地复垦质量控制标准》（TD/T1036-2013）中规定的要求，农田农作物生态量恢复至施工前原有水平</w:t>
            </w:r>
            <w:r>
              <w:rPr>
                <w:rFonts w:hint="eastAsia" w:cs="Times New Roman"/>
                <w:color w:val="auto"/>
                <w:sz w:val="21"/>
                <w:szCs w:val="21"/>
                <w:highlight w:val="none"/>
                <w:vertAlign w:val="baseline"/>
                <w:lang w:val="en-US" w:eastAsia="zh-CN"/>
              </w:rPr>
              <w:t>。</w:t>
            </w:r>
          </w:p>
        </w:tc>
        <w:tc>
          <w:tcPr>
            <w:tcW w:w="989" w:type="dxa"/>
            <w:tcBorders>
              <w:top w:val="single" w:color="auto" w:sz="6" w:space="0"/>
              <w:left w:val="single" w:color="auto" w:sz="6" w:space="0"/>
              <w:bottom w:val="single" w:color="auto" w:sz="6" w:space="0"/>
              <w:right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vMerge w:val="continue"/>
            <w:tcBorders>
              <w:left w:val="nil"/>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p>
        </w:tc>
        <w:tc>
          <w:tcPr>
            <w:tcW w:w="3265" w:type="dxa"/>
            <w:tcBorders>
              <w:top w:val="single" w:color="auto" w:sz="6" w:space="0"/>
              <w:left w:val="single" w:color="auto" w:sz="6" w:space="0"/>
              <w:bottom w:val="single" w:color="auto" w:sz="6" w:space="0"/>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rPr>
            </w:pPr>
            <w:r>
              <w:rPr>
                <w:rFonts w:hint="default" w:ascii="Times New Roman" w:hAnsi="Times New Roman" w:eastAsia="宋体" w:cs="Times New Roman"/>
                <w:snapToGrid/>
                <w:color w:val="auto"/>
                <w:kern w:val="2"/>
                <w:sz w:val="21"/>
                <w:szCs w:val="21"/>
                <w:highlight w:val="none"/>
              </w:rPr>
              <w:t>占用黑土地耕作层土壤剥离、运输、存储、利用等费用纳入建设项目开发成本</w:t>
            </w:r>
          </w:p>
        </w:tc>
        <w:tc>
          <w:tcPr>
            <w:tcW w:w="3439" w:type="dxa"/>
            <w:tcBorders>
              <w:top w:val="single" w:color="auto" w:sz="6" w:space="0"/>
              <w:left w:val="single" w:color="auto" w:sz="6" w:space="0"/>
              <w:bottom w:val="single" w:color="auto" w:sz="6" w:space="0"/>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rPr>
            </w:pPr>
            <w:r>
              <w:rPr>
                <w:rFonts w:hint="eastAsia" w:cs="Times New Roman"/>
                <w:snapToGrid/>
                <w:color w:val="auto"/>
                <w:kern w:val="2"/>
                <w:sz w:val="21"/>
                <w:szCs w:val="21"/>
                <w:highlight w:val="none"/>
                <w:lang w:val="en-US" w:eastAsia="zh-CN"/>
              </w:rPr>
              <w:t>项目已将表土剥离、土地复垦纳入环保投资中</w:t>
            </w:r>
          </w:p>
        </w:tc>
        <w:tc>
          <w:tcPr>
            <w:tcW w:w="989" w:type="dxa"/>
            <w:tcBorders>
              <w:top w:val="single" w:color="auto" w:sz="6" w:space="0"/>
              <w:left w:val="single" w:color="auto" w:sz="6" w:space="0"/>
              <w:bottom w:val="single" w:color="auto" w:sz="6" w:space="0"/>
              <w:right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vMerge w:val="continue"/>
            <w:tcBorders>
              <w:left w:val="nil"/>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p>
        </w:tc>
        <w:tc>
          <w:tcPr>
            <w:tcW w:w="3265" w:type="dxa"/>
            <w:tcBorders>
              <w:top w:val="single" w:color="auto" w:sz="6" w:space="0"/>
              <w:left w:val="single" w:color="auto" w:sz="6" w:space="0"/>
              <w:bottom w:val="single" w:color="auto" w:sz="6" w:space="0"/>
              <w:right w:val="single" w:color="auto" w:sz="6" w:space="0"/>
            </w:tcBorders>
            <w:vAlign w:val="center"/>
          </w:tcPr>
          <w:p>
            <w:pPr>
              <w:widowControl/>
              <w:kinsoku/>
              <w:autoSpaceDE/>
              <w:autoSpaceDN/>
              <w:adjustRightInd/>
              <w:snapToGrid/>
              <w:spacing w:line="360" w:lineRule="exact"/>
              <w:jc w:val="both"/>
              <w:textAlignment w:val="auto"/>
              <w:rPr>
                <w:rFonts w:hint="eastAsia" w:ascii="Times New Roman" w:hAnsi="Times New Roman" w:eastAsia="宋体" w:cs="Times New Roman"/>
                <w:snapToGrid/>
                <w:color w:val="auto"/>
                <w:kern w:val="2"/>
                <w:sz w:val="21"/>
                <w:szCs w:val="21"/>
                <w:highlight w:val="none"/>
                <w:lang w:eastAsia="zh-CN"/>
              </w:rPr>
            </w:pPr>
            <w:r>
              <w:rPr>
                <w:rFonts w:hint="default" w:ascii="Times New Roman" w:hAnsi="Times New Roman" w:eastAsia="宋体" w:cs="Times New Roman"/>
                <w:snapToGrid/>
                <w:color w:val="auto"/>
                <w:kern w:val="2"/>
                <w:sz w:val="21"/>
                <w:szCs w:val="21"/>
                <w:highlight w:val="none"/>
              </w:rPr>
              <w:t>占用黑土地耕作层剥离土壤的收益应当用于黑土地保护</w:t>
            </w:r>
            <w:r>
              <w:rPr>
                <w:rFonts w:hint="eastAsia" w:cs="Times New Roman"/>
                <w:snapToGrid/>
                <w:color w:val="auto"/>
                <w:kern w:val="2"/>
                <w:sz w:val="21"/>
                <w:szCs w:val="21"/>
                <w:highlight w:val="none"/>
                <w:lang w:eastAsia="zh-CN"/>
              </w:rPr>
              <w:t>。</w:t>
            </w:r>
          </w:p>
        </w:tc>
        <w:tc>
          <w:tcPr>
            <w:tcW w:w="3439" w:type="dxa"/>
            <w:tcBorders>
              <w:top w:val="single" w:color="auto" w:sz="6" w:space="0"/>
              <w:left w:val="single" w:color="auto" w:sz="6" w:space="0"/>
              <w:bottom w:val="single" w:color="auto" w:sz="6" w:space="0"/>
              <w:right w:val="single" w:color="auto" w:sz="6" w:space="0"/>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rPr>
            </w:pPr>
            <w:r>
              <w:rPr>
                <w:rFonts w:hint="eastAsia" w:cs="Times New Roman"/>
                <w:snapToGrid/>
                <w:color w:val="auto"/>
                <w:kern w:val="2"/>
                <w:sz w:val="21"/>
                <w:szCs w:val="21"/>
                <w:highlight w:val="none"/>
                <w:lang w:val="en-US" w:eastAsia="zh-CN"/>
              </w:rPr>
              <w:t>本项目临时占用黑土地，施工过程，表土与其他层土壤分开堆放；</w:t>
            </w:r>
            <w:r>
              <w:rPr>
                <w:rFonts w:hint="default" w:ascii="Times New Roman" w:hAnsi="Times New Roman" w:eastAsia="宋体" w:cs="Times New Roman"/>
                <w:snapToGrid/>
                <w:color w:val="auto"/>
                <w:kern w:val="2"/>
                <w:sz w:val="21"/>
                <w:szCs w:val="21"/>
                <w:highlight w:val="none"/>
                <w:lang w:val="en-US" w:eastAsia="zh-CN"/>
              </w:rPr>
              <w:t>表面覆盖水土保持毯，定期洒水，施工结束后，临时占地的表土进行回填。</w:t>
            </w:r>
          </w:p>
        </w:tc>
        <w:tc>
          <w:tcPr>
            <w:tcW w:w="989" w:type="dxa"/>
            <w:tcBorders>
              <w:top w:val="single" w:color="auto" w:sz="6" w:space="0"/>
              <w:left w:val="single" w:color="auto" w:sz="6" w:space="0"/>
              <w:bottom w:val="single" w:color="auto" w:sz="6" w:space="0"/>
              <w:right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符合</w:t>
            </w:r>
          </w:p>
        </w:tc>
      </w:tr>
    </w:tbl>
    <w:p>
      <w:pPr>
        <w:pStyle w:val="2"/>
        <w:keepNext w:val="0"/>
        <w:keepLines w:val="0"/>
        <w:pageBreakBefore w:val="0"/>
        <w:widowControl w:val="0"/>
        <w:kinsoku/>
        <w:wordWrap/>
        <w:overflowPunct/>
        <w:topLinePunct w:val="0"/>
        <w:autoSpaceDE/>
        <w:autoSpaceDN/>
        <w:bidi w:val="0"/>
        <w:spacing w:line="500" w:lineRule="exact"/>
        <w:ind w:left="0" w:leftChars="0" w:firstLine="0" w:firstLineChars="0"/>
        <w:textAlignment w:val="auto"/>
        <w:rPr>
          <w:rFonts w:hint="default"/>
          <w:color w:val="auto"/>
          <w:highlight w:val="none"/>
          <w:lang w:val="en-US" w:eastAsia="zh-CN"/>
        </w:rPr>
      </w:pPr>
      <w:r>
        <w:rPr>
          <w:rFonts w:hint="default" w:cs="Times New Roman"/>
          <w:caps w:val="0"/>
          <w:smallCaps w:val="0"/>
          <w:color w:val="auto"/>
          <w:spacing w:val="0"/>
          <w:w w:val="100"/>
          <w:kern w:val="0"/>
          <w:sz w:val="24"/>
          <w:szCs w:val="24"/>
          <w:highlight w:val="none"/>
          <w:lang w:val="en-US" w:eastAsia="zh-CN"/>
        </w:rPr>
        <w:t>1</w:t>
      </w:r>
      <w:r>
        <w:rPr>
          <w:rFonts w:hint="default"/>
          <w:color w:val="auto"/>
          <w:highlight w:val="none"/>
          <w:lang w:val="en-US" w:eastAsia="zh-CN"/>
        </w:rPr>
        <w:t>.</w:t>
      </w:r>
      <w:r>
        <w:rPr>
          <w:rFonts w:hint="eastAsia"/>
          <w:color w:val="auto"/>
          <w:highlight w:val="none"/>
          <w:lang w:val="en-US" w:eastAsia="zh-CN"/>
        </w:rPr>
        <w:t>4</w:t>
      </w:r>
      <w:r>
        <w:rPr>
          <w:rFonts w:hint="default"/>
          <w:color w:val="auto"/>
          <w:highlight w:val="none"/>
          <w:lang w:val="en-US" w:eastAsia="zh-CN"/>
        </w:rPr>
        <w:t>.</w:t>
      </w:r>
      <w:r>
        <w:rPr>
          <w:rFonts w:hint="eastAsia"/>
          <w:color w:val="auto"/>
          <w:highlight w:val="none"/>
          <w:lang w:val="en-US" w:eastAsia="zh-CN"/>
        </w:rPr>
        <w:t>7</w:t>
      </w:r>
      <w:r>
        <w:rPr>
          <w:rFonts w:hint="default"/>
          <w:color w:val="auto"/>
          <w:highlight w:val="none"/>
          <w:lang w:val="en-US" w:eastAsia="zh-CN"/>
        </w:rPr>
        <w:t>与</w:t>
      </w:r>
      <w:r>
        <w:rPr>
          <w:rFonts w:hint="eastAsia"/>
          <w:color w:val="auto"/>
          <w:highlight w:val="none"/>
          <w:lang w:val="en-US" w:eastAsia="zh-CN"/>
        </w:rPr>
        <w:t>《</w:t>
      </w:r>
      <w:r>
        <w:rPr>
          <w:rFonts w:hint="default"/>
          <w:color w:val="auto"/>
          <w:highlight w:val="none"/>
          <w:lang w:val="en-US" w:eastAsia="zh-CN"/>
        </w:rPr>
        <w:t>大庆市</w:t>
      </w:r>
      <w:r>
        <w:rPr>
          <w:rFonts w:hint="eastAsia"/>
          <w:color w:val="auto"/>
          <w:highlight w:val="none"/>
          <w:lang w:val="en-US" w:eastAsia="zh-CN"/>
        </w:rPr>
        <w:t>“</w:t>
      </w:r>
      <w:r>
        <w:rPr>
          <w:rFonts w:hint="default"/>
          <w:color w:val="auto"/>
          <w:highlight w:val="none"/>
          <w:lang w:val="en-US" w:eastAsia="zh-CN"/>
        </w:rPr>
        <w:t>十四五</w:t>
      </w:r>
      <w:r>
        <w:rPr>
          <w:rFonts w:hint="eastAsia"/>
          <w:color w:val="auto"/>
          <w:highlight w:val="none"/>
          <w:lang w:val="en-US" w:eastAsia="zh-CN"/>
        </w:rPr>
        <w:t>”</w:t>
      </w:r>
      <w:r>
        <w:rPr>
          <w:rFonts w:hint="default"/>
          <w:color w:val="auto"/>
          <w:highlight w:val="none"/>
          <w:lang w:val="en-US" w:eastAsia="zh-CN"/>
        </w:rPr>
        <w:t>生态环境保护规划</w:t>
      </w:r>
      <w:r>
        <w:rPr>
          <w:rFonts w:hint="eastAsia"/>
          <w:color w:val="auto"/>
          <w:highlight w:val="none"/>
          <w:lang w:val="en-US" w:eastAsia="zh-CN"/>
        </w:rPr>
        <w:t>》</w:t>
      </w:r>
      <w:r>
        <w:rPr>
          <w:rFonts w:hint="default"/>
          <w:color w:val="auto"/>
          <w:highlight w:val="none"/>
          <w:lang w:val="en-US" w:eastAsia="zh-CN"/>
        </w:rPr>
        <w:t>符合性分析</w:t>
      </w:r>
    </w:p>
    <w:p>
      <w:pPr>
        <w:pStyle w:val="2"/>
        <w:keepNext w:val="0"/>
        <w:keepLines w:val="0"/>
        <w:pageBreakBefore w:val="0"/>
        <w:widowControl w:val="0"/>
        <w:kinsoku/>
        <w:wordWrap/>
        <w:overflowPunct/>
        <w:topLinePunct w:val="0"/>
        <w:autoSpaceDE/>
        <w:autoSpaceDN/>
        <w:bidi w:val="0"/>
        <w:spacing w:line="500" w:lineRule="exact"/>
        <w:textAlignment w:val="auto"/>
        <w:rPr>
          <w:rFonts w:hint="eastAsia"/>
          <w:color w:val="auto"/>
          <w:highlight w:val="none"/>
          <w:lang w:val="en-US" w:eastAsia="zh-CN"/>
        </w:rPr>
      </w:pPr>
      <w:r>
        <w:rPr>
          <w:rFonts w:hint="eastAsia"/>
          <w:color w:val="auto"/>
          <w:highlight w:val="none"/>
          <w:lang w:val="en-US" w:eastAsia="zh-CN"/>
        </w:rPr>
        <w:t>本项目为页岩油开采的配套工程。本项目接收并处理页岩油试验区开采过程中产生的压裂返排液。采用“</w:t>
      </w:r>
      <w:r>
        <w:rPr>
          <w:rFonts w:hint="eastAsia" w:cs="Times New Roman"/>
          <w:caps w:val="0"/>
          <w:smallCaps w:val="0"/>
          <w:color w:val="auto"/>
          <w:spacing w:val="0"/>
          <w:w w:val="100"/>
          <w:kern w:val="0"/>
          <w:sz w:val="24"/>
          <w:szCs w:val="24"/>
          <w:highlight w:val="none"/>
          <w:lang w:val="en-US" w:eastAsia="zh-CN"/>
        </w:rPr>
        <w:t>均质+隔油沉沙+</w:t>
      </w:r>
      <w:r>
        <w:rPr>
          <w:rFonts w:hint="eastAsia" w:ascii="Times New Roman" w:hAnsi="Times New Roman" w:eastAsia="宋体" w:cs="Times New Roman"/>
          <w:bCs/>
          <w:color w:val="auto"/>
          <w:kern w:val="0"/>
          <w:sz w:val="24"/>
          <w:szCs w:val="24"/>
          <w:highlight w:val="none"/>
          <w:lang w:val="en-US" w:eastAsia="zh-CN"/>
        </w:rPr>
        <w:t>混凝絮凝沉淀</w:t>
      </w:r>
      <w:r>
        <w:rPr>
          <w:rFonts w:hint="eastAsia" w:cs="Times New Roman"/>
          <w:caps w:val="0"/>
          <w:smallCaps w:val="0"/>
          <w:color w:val="auto"/>
          <w:spacing w:val="0"/>
          <w:w w:val="100"/>
          <w:kern w:val="0"/>
          <w:sz w:val="24"/>
          <w:szCs w:val="24"/>
          <w:highlight w:val="none"/>
          <w:lang w:val="en-US" w:eastAsia="zh-CN"/>
        </w:rPr>
        <w:t>+气浮”处理工艺，处理后水满足《大庆油田地面工程建设设计规定》（Q/SYDQ 0639-2015）“含油量≤20mg/L、悬浮固体含量≤20mg/L”，临时暂存在站址内储液池中，回用于</w:t>
      </w:r>
      <w:r>
        <w:rPr>
          <w:rFonts w:hint="eastAsia" w:ascii="Times New Roman" w:hAnsi="Times New Roman" w:eastAsia="宋体" w:cs="Times New Roman"/>
          <w:caps w:val="0"/>
          <w:smallCaps w:val="0"/>
          <w:color w:val="auto"/>
          <w:spacing w:val="0"/>
          <w:w w:val="100"/>
          <w:kern w:val="0"/>
          <w:sz w:val="24"/>
          <w:szCs w:val="24"/>
          <w:highlight w:val="none"/>
          <w:lang w:val="en-US" w:eastAsia="zh-CN"/>
        </w:rPr>
        <w:t>页岩油试验区</w:t>
      </w:r>
      <w:r>
        <w:rPr>
          <w:rFonts w:hint="eastAsia" w:cs="Times New Roman"/>
          <w:caps w:val="0"/>
          <w:smallCaps w:val="0"/>
          <w:color w:val="auto"/>
          <w:spacing w:val="0"/>
          <w:w w:val="100"/>
          <w:kern w:val="0"/>
          <w:sz w:val="24"/>
          <w:szCs w:val="24"/>
          <w:highlight w:val="none"/>
          <w:lang w:val="en-US" w:eastAsia="zh-CN"/>
        </w:rPr>
        <w:t>压裂复配。</w:t>
      </w:r>
      <w:r>
        <w:rPr>
          <w:rFonts w:hint="eastAsia"/>
          <w:color w:val="auto"/>
          <w:highlight w:val="none"/>
          <w:lang w:val="en-US" w:eastAsia="zh-CN"/>
        </w:rPr>
        <w:t>项目与大庆市“</w:t>
      </w:r>
      <w:r>
        <w:rPr>
          <w:rFonts w:hint="default"/>
          <w:color w:val="auto"/>
          <w:highlight w:val="none"/>
          <w:lang w:val="en-US" w:eastAsia="zh-CN"/>
        </w:rPr>
        <w:t>十四五</w:t>
      </w:r>
      <w:r>
        <w:rPr>
          <w:rFonts w:hint="eastAsia"/>
          <w:color w:val="auto"/>
          <w:highlight w:val="none"/>
          <w:lang w:val="en-US" w:eastAsia="zh-CN"/>
        </w:rPr>
        <w:t>”</w:t>
      </w:r>
      <w:r>
        <w:rPr>
          <w:rFonts w:hint="default"/>
          <w:color w:val="auto"/>
          <w:highlight w:val="none"/>
          <w:lang w:val="en-US" w:eastAsia="zh-CN"/>
        </w:rPr>
        <w:t>生态环境保护规划</w:t>
      </w:r>
      <w:r>
        <w:rPr>
          <w:rFonts w:hint="eastAsia"/>
          <w:color w:val="auto"/>
          <w:highlight w:val="none"/>
          <w:lang w:val="en-US" w:eastAsia="zh-CN"/>
        </w:rPr>
        <w:t>符合性分析见下表。</w:t>
      </w:r>
    </w:p>
    <w:p>
      <w:pPr>
        <w:pStyle w:val="2"/>
        <w:keepNext w:val="0"/>
        <w:keepLines w:val="0"/>
        <w:pageBreakBefore w:val="0"/>
        <w:widowControl w:val="0"/>
        <w:kinsoku/>
        <w:wordWrap/>
        <w:overflowPunct/>
        <w:topLinePunct w:val="0"/>
        <w:autoSpaceDE/>
        <w:autoSpaceDN/>
        <w:bidi w:val="0"/>
        <w:spacing w:line="500" w:lineRule="exact"/>
        <w:jc w:val="center"/>
        <w:textAlignment w:val="auto"/>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表1.4-5与大庆市“十四五”生态环境保护规划符合性分析</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85"/>
        <w:gridCol w:w="3375"/>
        <w:gridCol w:w="3171"/>
        <w:gridCol w:w="10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4260" w:type="dxa"/>
            <w:gridSpan w:val="2"/>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cs="Times New Roman"/>
                <w:color w:val="auto"/>
                <w:kern w:val="0"/>
                <w:sz w:val="21"/>
                <w:szCs w:val="21"/>
                <w:highlight w:val="none"/>
              </w:rPr>
              <w:t>保护规划要求</w:t>
            </w:r>
          </w:p>
        </w:tc>
        <w:tc>
          <w:tcPr>
            <w:tcW w:w="3171"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cs="Times New Roman"/>
                <w:color w:val="auto"/>
                <w:kern w:val="0"/>
                <w:sz w:val="21"/>
                <w:szCs w:val="21"/>
                <w:highlight w:val="none"/>
              </w:rPr>
              <w:t>本项目</w:t>
            </w:r>
          </w:p>
        </w:tc>
        <w:tc>
          <w:tcPr>
            <w:tcW w:w="1091"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cs="Times New Roman"/>
                <w:color w:val="auto"/>
                <w:kern w:val="0"/>
                <w:sz w:val="21"/>
                <w:szCs w:val="21"/>
                <w:highlight w:val="none"/>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85"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推进多污染物协同减排</w:t>
            </w:r>
          </w:p>
        </w:tc>
        <w:tc>
          <w:tcPr>
            <w:tcW w:w="3375"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开展VOCs全过程综合整治。持续开展石化、化工、包装印刷、工业涂装等重点行业VOCs全过程综合整治。提高VOCs含量低（无）的绿色原辅材料替代比例，开展原油、成品油、有机化学品等涉VOCs物质储罐排查，按规定逐步取消炼油、石化、化工、工业涂装、制药、农药等企业非必要VOCs废气排放系统旁路</w:t>
            </w:r>
          </w:p>
        </w:tc>
        <w:tc>
          <w:tcPr>
            <w:tcW w:w="3171" w:type="dxa"/>
            <w:tcBorders>
              <w:tl2br w:val="nil"/>
              <w:tr2bl w:val="nil"/>
            </w:tcBorders>
            <w:vAlign w:val="center"/>
          </w:tcPr>
          <w:p>
            <w:pPr>
              <w:widowControl/>
              <w:kinsoku/>
              <w:autoSpaceDE/>
              <w:autoSpaceDN/>
              <w:adjustRightInd/>
              <w:snapToGrid/>
              <w:spacing w:line="360" w:lineRule="exact"/>
              <w:jc w:val="both"/>
              <w:textAlignment w:val="auto"/>
              <w:rPr>
                <w:rFonts w:hint="default"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项目废水处置过程中，均在密闭车间及构建物中进行；站内废水采取密封管道输送，减少挥发性气体逸散。</w:t>
            </w:r>
          </w:p>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站内达标水储液池采取密闭池体；同时为减少站内处理达标水存放时间，处理达标后的尾水应立即回用，不可过长时间贮存。本评价要求，冬季存储期间，储液池区域处理达标的废水不能超过1周，夏季存储时间不超过3天。若储液池区域水体存储期间较长，在储液池区域周围及顶部假设钢板及顶棚，设置为密封式区域。</w:t>
            </w:r>
          </w:p>
        </w:tc>
        <w:tc>
          <w:tcPr>
            <w:tcW w:w="1091"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85"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强化噪声污染防治</w:t>
            </w:r>
          </w:p>
        </w:tc>
        <w:tc>
          <w:tcPr>
            <w:tcW w:w="3375"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在制定国土空间规划及交通运输等相关规划时，合理划定防噪声距离，明确规划设计要求。因特殊需要必须连续作业的，必须按照法律规定取得证明，并公告附近居民。鼓励采用低噪声施工设备和工艺。依法将工业企业噪声纳入排污许可管理，严厉查处工业企业噪声排放超标扰民行为。加强对文化娱乐、商业经营中社会生活噪声热点问题日常监管和集中整治。到2025年，全面实现功能区声环境质量自动监测，声环境功能区夜间达标率达到国家要求</w:t>
            </w:r>
          </w:p>
        </w:tc>
        <w:tc>
          <w:tcPr>
            <w:tcW w:w="3171"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项目施工期间，合理安排施工时间，避免高噪设备同时施工，定期对施工机械进行维护；禁止夜间施工，物料运输车辆在路过周围村屯时，禁止鸣笛；运行期，在满足正常生产处置前提条件下，应选用先进的低噪设备，设备安装减振垫，减少共振的发生；项目建设不会改变区域声环境功能区</w:t>
            </w:r>
          </w:p>
        </w:tc>
        <w:tc>
          <w:tcPr>
            <w:tcW w:w="1091"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85"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提升黑土区资源利用的可持续性</w:t>
            </w:r>
          </w:p>
        </w:tc>
        <w:tc>
          <w:tcPr>
            <w:tcW w:w="3375"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严控耕地保护红线。实行最严格的耕地保护制度，对黑土耕地全面进行管控。落实</w:t>
            </w:r>
            <w:r>
              <w:rPr>
                <w:rFonts w:hint="eastAsia" w:ascii="Times New Roman" w:hAnsi="Times New Roman" w:eastAsia="宋体" w:cs="Times New Roman"/>
                <w:snapToGrid/>
                <w:color w:val="auto"/>
                <w:kern w:val="2"/>
                <w:sz w:val="21"/>
                <w:szCs w:val="21"/>
                <w:highlight w:val="none"/>
                <w:lang w:val="en-US" w:eastAsia="zh-CN" w:bidi="ar-SA"/>
              </w:rPr>
              <w:t>“</w:t>
            </w:r>
            <w:r>
              <w:rPr>
                <w:rFonts w:hint="default" w:ascii="Times New Roman" w:hAnsi="Times New Roman" w:eastAsia="宋体" w:cs="Times New Roman"/>
                <w:snapToGrid/>
                <w:color w:val="auto"/>
                <w:kern w:val="2"/>
                <w:sz w:val="21"/>
                <w:szCs w:val="21"/>
                <w:highlight w:val="none"/>
                <w:lang w:val="en-US" w:eastAsia="zh-CN" w:bidi="ar-SA"/>
              </w:rPr>
              <w:t>三线一单</w:t>
            </w:r>
            <w:r>
              <w:rPr>
                <w:rFonts w:hint="eastAsia" w:ascii="Times New Roman" w:hAnsi="Times New Roman" w:eastAsia="宋体" w:cs="Times New Roman"/>
                <w:snapToGrid/>
                <w:color w:val="auto"/>
                <w:kern w:val="2"/>
                <w:sz w:val="21"/>
                <w:szCs w:val="21"/>
                <w:highlight w:val="none"/>
                <w:lang w:val="en-US" w:eastAsia="zh-CN" w:bidi="ar-SA"/>
              </w:rPr>
              <w:t>”</w:t>
            </w:r>
            <w:r>
              <w:rPr>
                <w:rFonts w:hint="default" w:ascii="Times New Roman" w:hAnsi="Times New Roman" w:eastAsia="宋体" w:cs="Times New Roman"/>
                <w:snapToGrid/>
                <w:color w:val="auto"/>
                <w:kern w:val="2"/>
                <w:sz w:val="21"/>
                <w:szCs w:val="21"/>
                <w:highlight w:val="none"/>
                <w:lang w:val="en-US" w:eastAsia="zh-CN" w:bidi="ar-SA"/>
              </w:rPr>
              <w:t>生态环境分区中与耕地相关管控要求。推广保护性耕作模式。强化黑土耕地保护的监督管理。落实属地监督管理责任，实行黑土耕地动态监管、日常巡查。加快耕地水土流失综合治理。坚持山水林田湖草沙冰系统治理、综合治理，减轻风蚀水蚀，防治水土流失</w:t>
            </w:r>
          </w:p>
        </w:tc>
        <w:tc>
          <w:tcPr>
            <w:tcW w:w="3171"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本项目</w:t>
            </w:r>
            <w:r>
              <w:rPr>
                <w:rFonts w:hint="eastAsia" w:cs="Times New Roman"/>
                <w:snapToGrid/>
                <w:color w:val="auto"/>
                <w:kern w:val="2"/>
                <w:sz w:val="21"/>
                <w:szCs w:val="21"/>
                <w:highlight w:val="none"/>
                <w:lang w:val="en-US" w:eastAsia="zh-CN" w:bidi="ar-SA"/>
              </w:rPr>
              <w:t>服务站</w:t>
            </w:r>
            <w:r>
              <w:rPr>
                <w:rFonts w:hint="eastAsia" w:ascii="Times New Roman" w:hAnsi="Times New Roman" w:eastAsia="宋体" w:cs="Times New Roman"/>
                <w:snapToGrid/>
                <w:color w:val="auto"/>
                <w:kern w:val="2"/>
                <w:sz w:val="21"/>
                <w:szCs w:val="21"/>
                <w:highlight w:val="none"/>
                <w:lang w:val="en-US" w:eastAsia="zh-CN" w:bidi="ar-SA"/>
              </w:rPr>
              <w:t>站址</w:t>
            </w:r>
            <w:r>
              <w:rPr>
                <w:rFonts w:hint="eastAsia" w:cs="Times New Roman"/>
                <w:snapToGrid/>
                <w:color w:val="auto"/>
                <w:kern w:val="2"/>
                <w:sz w:val="21"/>
                <w:szCs w:val="21"/>
                <w:highlight w:val="none"/>
                <w:lang w:val="en-US" w:eastAsia="zh-CN" w:bidi="ar-SA"/>
              </w:rPr>
              <w:t>、管道路径</w:t>
            </w:r>
            <w:r>
              <w:rPr>
                <w:rFonts w:hint="default" w:ascii="Times New Roman" w:hAnsi="Times New Roman" w:eastAsia="宋体" w:cs="Times New Roman"/>
                <w:snapToGrid/>
                <w:color w:val="auto"/>
                <w:kern w:val="2"/>
                <w:sz w:val="21"/>
                <w:szCs w:val="21"/>
                <w:highlight w:val="none"/>
                <w:lang w:val="en-US" w:eastAsia="zh-CN" w:bidi="ar-SA"/>
              </w:rPr>
              <w:t>与大庆市三区三线划定成果进行对照，</w:t>
            </w:r>
            <w:r>
              <w:rPr>
                <w:rFonts w:hint="eastAsia" w:ascii="Times New Roman" w:hAnsi="Times New Roman" w:eastAsia="宋体" w:cs="Times New Roman"/>
                <w:snapToGrid/>
                <w:color w:val="auto"/>
                <w:kern w:val="2"/>
                <w:sz w:val="21"/>
                <w:szCs w:val="21"/>
                <w:highlight w:val="none"/>
                <w:lang w:val="en-US" w:eastAsia="zh-CN" w:bidi="ar-SA"/>
              </w:rPr>
              <w:t>项目</w:t>
            </w:r>
            <w:r>
              <w:rPr>
                <w:rFonts w:hint="eastAsia" w:cs="Times New Roman"/>
                <w:snapToGrid/>
                <w:color w:val="auto"/>
                <w:kern w:val="2"/>
                <w:sz w:val="21"/>
                <w:szCs w:val="21"/>
                <w:highlight w:val="none"/>
                <w:lang w:val="en-US" w:eastAsia="zh-CN" w:bidi="ar-SA"/>
              </w:rPr>
              <w:t>服务站站址</w:t>
            </w:r>
            <w:r>
              <w:rPr>
                <w:rFonts w:hint="eastAsia" w:ascii="Times New Roman" w:hAnsi="Times New Roman" w:eastAsia="宋体" w:cs="Times New Roman"/>
                <w:snapToGrid/>
                <w:color w:val="auto"/>
                <w:kern w:val="2"/>
                <w:sz w:val="21"/>
                <w:szCs w:val="21"/>
                <w:highlight w:val="none"/>
                <w:lang w:val="en-US" w:eastAsia="zh-CN" w:bidi="ar-SA"/>
              </w:rPr>
              <w:t>不占用</w:t>
            </w:r>
            <w:r>
              <w:rPr>
                <w:rFonts w:hint="eastAsia" w:cs="Times New Roman"/>
                <w:snapToGrid/>
                <w:color w:val="auto"/>
                <w:kern w:val="2"/>
                <w:sz w:val="21"/>
                <w:szCs w:val="21"/>
                <w:highlight w:val="none"/>
                <w:lang w:val="en-US" w:eastAsia="zh-CN" w:bidi="ar-SA"/>
              </w:rPr>
              <w:t>永久</w:t>
            </w:r>
            <w:r>
              <w:rPr>
                <w:rFonts w:hint="eastAsia" w:ascii="Times New Roman" w:hAnsi="Times New Roman" w:eastAsia="宋体" w:cs="Times New Roman"/>
                <w:snapToGrid/>
                <w:color w:val="auto"/>
                <w:kern w:val="2"/>
                <w:sz w:val="21"/>
                <w:szCs w:val="21"/>
                <w:highlight w:val="none"/>
                <w:lang w:val="en-US" w:eastAsia="zh-CN" w:bidi="ar-SA"/>
              </w:rPr>
              <w:t>基本农田</w:t>
            </w:r>
            <w:r>
              <w:rPr>
                <w:rFonts w:hint="eastAsia" w:cs="Times New Roman"/>
                <w:snapToGrid/>
                <w:color w:val="auto"/>
                <w:kern w:val="2"/>
                <w:sz w:val="21"/>
                <w:szCs w:val="21"/>
                <w:highlight w:val="none"/>
                <w:lang w:val="en-US" w:eastAsia="zh-CN" w:bidi="ar-SA"/>
              </w:rPr>
              <w:t>，管道施工临时占地占用永久基本农田。对于临时占用的永久基本农田，按照永久基本农田及黑土地保护法及条例进行管理。施工前进行表土剥离，剥离的表土单独堆放在施工占地内，表面覆盖水土保持毯，定期洒水，四周用重物压实，防止土壤流失。施工结束后，表土回填，对临时占用耕地进行土地压实，翻松，进行复垦。对复垦耕地进行验收，复垦率为100%，复垦质量满足《土地复垦质量控制标准》（TD/T1036-2013）中规定的要求。</w:t>
            </w:r>
          </w:p>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施工期间尽量避开雨天施工，对施工开挖土方采取临时拦挡及雨天覆盖等措施，以减小水土流失；严格控制</w:t>
            </w:r>
            <w:r>
              <w:rPr>
                <w:rFonts w:hint="eastAsia" w:ascii="Times New Roman" w:hAnsi="Times New Roman" w:eastAsia="宋体" w:cs="Times New Roman"/>
                <w:snapToGrid/>
                <w:color w:val="auto"/>
                <w:kern w:val="2"/>
                <w:sz w:val="21"/>
                <w:szCs w:val="21"/>
                <w:highlight w:val="none"/>
                <w:lang w:val="en-US" w:eastAsia="zh-CN" w:bidi="ar-SA"/>
              </w:rPr>
              <w:t>施工占地，</w:t>
            </w:r>
            <w:r>
              <w:rPr>
                <w:rFonts w:hint="default" w:ascii="Times New Roman" w:hAnsi="Times New Roman" w:eastAsia="宋体" w:cs="Times New Roman"/>
                <w:snapToGrid/>
                <w:color w:val="auto"/>
                <w:kern w:val="2"/>
                <w:sz w:val="21"/>
                <w:szCs w:val="21"/>
                <w:highlight w:val="none"/>
                <w:lang w:val="en-US" w:eastAsia="zh-CN" w:bidi="ar-SA"/>
              </w:rPr>
              <w:t>以减少土壤扰动，减少裸地和土方暴露面积，施工过程中产生</w:t>
            </w:r>
            <w:r>
              <w:rPr>
                <w:rFonts w:hint="eastAsia" w:ascii="Times New Roman" w:hAnsi="Times New Roman" w:eastAsia="宋体" w:cs="Times New Roman"/>
                <w:snapToGrid/>
                <w:color w:val="auto"/>
                <w:kern w:val="2"/>
                <w:sz w:val="21"/>
                <w:szCs w:val="21"/>
                <w:highlight w:val="none"/>
                <w:lang w:val="en-US" w:eastAsia="zh-CN" w:bidi="ar-SA"/>
              </w:rPr>
              <w:t>的</w:t>
            </w:r>
            <w:r>
              <w:rPr>
                <w:rFonts w:hint="eastAsia" w:cs="Times New Roman"/>
                <w:snapToGrid/>
                <w:color w:val="auto"/>
                <w:kern w:val="2"/>
                <w:sz w:val="21"/>
                <w:szCs w:val="21"/>
                <w:highlight w:val="none"/>
                <w:lang w:val="en-US" w:eastAsia="zh-CN" w:bidi="ar-SA"/>
              </w:rPr>
              <w:t>土渣</w:t>
            </w:r>
            <w:r>
              <w:rPr>
                <w:rFonts w:hint="default" w:ascii="Times New Roman" w:hAnsi="Times New Roman" w:eastAsia="宋体" w:cs="Times New Roman"/>
                <w:snapToGrid/>
                <w:color w:val="auto"/>
                <w:kern w:val="2"/>
                <w:sz w:val="21"/>
                <w:szCs w:val="21"/>
                <w:highlight w:val="none"/>
                <w:lang w:val="en-US" w:eastAsia="zh-CN" w:bidi="ar-SA"/>
              </w:rPr>
              <w:t>及时利用，减少堆放时间</w:t>
            </w:r>
            <w:r>
              <w:rPr>
                <w:rFonts w:hint="eastAsia" w:ascii="Times New Roman" w:hAnsi="Times New Roman" w:eastAsia="宋体" w:cs="Times New Roman"/>
                <w:snapToGrid/>
                <w:color w:val="auto"/>
                <w:kern w:val="2"/>
                <w:sz w:val="21"/>
                <w:szCs w:val="21"/>
                <w:highlight w:val="none"/>
                <w:lang w:val="en-US" w:eastAsia="zh-CN" w:bidi="ar-SA"/>
              </w:rPr>
              <w:t>。</w:t>
            </w:r>
          </w:p>
        </w:tc>
        <w:tc>
          <w:tcPr>
            <w:tcW w:w="1091"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bl>
    <w:p>
      <w:pPr>
        <w:pStyle w:val="2"/>
        <w:keepNext w:val="0"/>
        <w:keepLines w:val="0"/>
        <w:pageBreakBefore w:val="0"/>
        <w:widowControl w:val="0"/>
        <w:kinsoku/>
        <w:wordWrap/>
        <w:overflowPunct/>
        <w:topLinePunct w:val="0"/>
        <w:autoSpaceDE/>
        <w:autoSpaceDN/>
        <w:bidi w:val="0"/>
        <w:spacing w:line="500" w:lineRule="exact"/>
        <w:ind w:left="0" w:leftChars="0" w:firstLine="0" w:firstLineChars="0"/>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w:t>
      </w:r>
      <w:r>
        <w:rPr>
          <w:rFonts w:hint="eastAsia" w:cs="Times New Roman"/>
          <w:caps w:val="0"/>
          <w:smallCaps w:val="0"/>
          <w:color w:val="auto"/>
          <w:spacing w:val="0"/>
          <w:w w:val="100"/>
          <w:kern w:val="0"/>
          <w:sz w:val="24"/>
          <w:szCs w:val="24"/>
          <w:highlight w:val="none"/>
          <w:lang w:val="en-US" w:eastAsia="zh-CN"/>
        </w:rPr>
        <w:t>4</w:t>
      </w:r>
      <w:r>
        <w:rPr>
          <w:rFonts w:hint="default" w:cs="Times New Roman"/>
          <w:caps w:val="0"/>
          <w:smallCaps w:val="0"/>
          <w:color w:val="auto"/>
          <w:spacing w:val="0"/>
          <w:w w:val="100"/>
          <w:kern w:val="0"/>
          <w:sz w:val="24"/>
          <w:szCs w:val="24"/>
          <w:highlight w:val="none"/>
          <w:lang w:val="en-US" w:eastAsia="zh-CN"/>
        </w:rPr>
        <w:t>.</w:t>
      </w:r>
      <w:r>
        <w:rPr>
          <w:rFonts w:hint="eastAsia" w:cs="Times New Roman"/>
          <w:caps w:val="0"/>
          <w:smallCaps w:val="0"/>
          <w:color w:val="auto"/>
          <w:spacing w:val="0"/>
          <w:w w:val="100"/>
          <w:kern w:val="0"/>
          <w:sz w:val="24"/>
          <w:szCs w:val="24"/>
          <w:highlight w:val="none"/>
          <w:lang w:val="en-US" w:eastAsia="zh-CN"/>
        </w:rPr>
        <w:t>8</w:t>
      </w:r>
      <w:r>
        <w:rPr>
          <w:rFonts w:hint="default" w:cs="Times New Roman"/>
          <w:caps w:val="0"/>
          <w:smallCaps w:val="0"/>
          <w:color w:val="auto"/>
          <w:spacing w:val="0"/>
          <w:w w:val="100"/>
          <w:kern w:val="0"/>
          <w:sz w:val="24"/>
          <w:szCs w:val="24"/>
          <w:highlight w:val="none"/>
          <w:lang w:val="en-US" w:eastAsia="zh-CN"/>
        </w:rPr>
        <w:t>与《肇源县生态环境保护</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十四五</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规划》符合性分析</w:t>
      </w:r>
    </w:p>
    <w:p>
      <w:pPr>
        <w:pStyle w:val="2"/>
        <w:keepNext w:val="0"/>
        <w:keepLines w:val="0"/>
        <w:pageBreakBefore w:val="0"/>
        <w:widowControl w:val="0"/>
        <w:kinsoku/>
        <w:wordWrap/>
        <w:overflowPunct/>
        <w:topLinePunct w:val="0"/>
        <w:autoSpaceDE/>
        <w:autoSpaceDN/>
        <w:bidi w:val="0"/>
        <w:spacing w:line="500" w:lineRule="exact"/>
        <w:ind w:left="0" w:leftChars="0" w:firstLine="480" w:firstLineChars="20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项目与</w:t>
      </w:r>
      <w:r>
        <w:rPr>
          <w:rFonts w:hint="default" w:cs="Times New Roman"/>
          <w:caps w:val="0"/>
          <w:smallCaps w:val="0"/>
          <w:color w:val="auto"/>
          <w:spacing w:val="0"/>
          <w:w w:val="100"/>
          <w:kern w:val="0"/>
          <w:sz w:val="24"/>
          <w:szCs w:val="24"/>
          <w:highlight w:val="none"/>
          <w:lang w:val="en-US" w:eastAsia="zh-CN"/>
        </w:rPr>
        <w:t>肇源县生态环境保护</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十四五</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规划</w:t>
      </w:r>
      <w:r>
        <w:rPr>
          <w:rFonts w:hint="eastAsia" w:cs="Times New Roman"/>
          <w:caps w:val="0"/>
          <w:smallCaps w:val="0"/>
          <w:color w:val="auto"/>
          <w:spacing w:val="0"/>
          <w:w w:val="100"/>
          <w:kern w:val="0"/>
          <w:sz w:val="24"/>
          <w:szCs w:val="24"/>
          <w:highlight w:val="none"/>
          <w:lang w:val="en-US" w:eastAsia="zh-CN"/>
        </w:rPr>
        <w:t>符合性分析见下表。</w:t>
      </w:r>
    </w:p>
    <w:p>
      <w:pPr>
        <w:pStyle w:val="2"/>
        <w:keepNext w:val="0"/>
        <w:keepLines w:val="0"/>
        <w:pageBreakBefore w:val="0"/>
        <w:widowControl w:val="0"/>
        <w:kinsoku/>
        <w:wordWrap/>
        <w:overflowPunct/>
        <w:topLinePunct w:val="0"/>
        <w:autoSpaceDE/>
        <w:autoSpaceDN/>
        <w:bidi w:val="0"/>
        <w:spacing w:line="500" w:lineRule="exact"/>
        <w:ind w:left="0" w:leftChars="0" w:firstLine="0" w:firstLineChars="0"/>
        <w:jc w:val="center"/>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b/>
          <w:bCs/>
          <w:caps w:val="0"/>
          <w:smallCaps w:val="0"/>
          <w:color w:val="auto"/>
          <w:spacing w:val="0"/>
          <w:w w:val="100"/>
          <w:kern w:val="0"/>
          <w:sz w:val="21"/>
          <w:szCs w:val="21"/>
          <w:highlight w:val="none"/>
          <w:lang w:val="en-US" w:eastAsia="zh-CN"/>
        </w:rPr>
        <w:t>表1.4-6与肇源县生态环境保护“十四五”规划符合性</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18"/>
        <w:gridCol w:w="3088"/>
        <w:gridCol w:w="3487"/>
        <w:gridCol w:w="9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06" w:type="dxa"/>
            <w:gridSpan w:val="2"/>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cs="Times New Roman"/>
                <w:color w:val="auto"/>
                <w:kern w:val="0"/>
                <w:sz w:val="21"/>
                <w:szCs w:val="21"/>
                <w:highlight w:val="none"/>
              </w:rPr>
              <w:t>保护规划要求</w:t>
            </w:r>
          </w:p>
        </w:tc>
        <w:tc>
          <w:tcPr>
            <w:tcW w:w="3487"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cs="Times New Roman"/>
                <w:color w:val="auto"/>
                <w:kern w:val="0"/>
                <w:sz w:val="21"/>
                <w:szCs w:val="21"/>
                <w:highlight w:val="none"/>
              </w:rPr>
              <w:t>本项目</w:t>
            </w:r>
          </w:p>
        </w:tc>
        <w:tc>
          <w:tcPr>
            <w:tcW w:w="929"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cs="Times New Roman"/>
                <w:color w:val="auto"/>
                <w:kern w:val="0"/>
                <w:sz w:val="21"/>
                <w:szCs w:val="21"/>
                <w:highlight w:val="none"/>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8" w:type="dxa"/>
            <w:vMerge w:val="restart"/>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加强分类管理，保障土壤生态安全</w:t>
            </w:r>
          </w:p>
        </w:tc>
        <w:tc>
          <w:tcPr>
            <w:tcW w:w="3088"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加强建设用地和农用地土壤环境管理。持续动态更新全县疑似污染地块，建立污染地块负面清单和部门土壤污染防治责任清单，实施污染地块再开发利用准入等全过程监管。做好农用地土壤环境质量管理，对已经存在污染的耕地分类管控</w:t>
            </w:r>
          </w:p>
        </w:tc>
        <w:tc>
          <w:tcPr>
            <w:tcW w:w="3487" w:type="dxa"/>
            <w:vMerge w:val="restart"/>
            <w:tcBorders>
              <w:tl2br w:val="nil"/>
              <w:tr2bl w:val="nil"/>
            </w:tcBorders>
            <w:vAlign w:val="center"/>
          </w:tcPr>
          <w:p>
            <w:pPr>
              <w:widowControl/>
              <w:kinsoku/>
              <w:autoSpaceDE/>
              <w:autoSpaceDN/>
              <w:adjustRightInd/>
              <w:snapToGrid/>
              <w:spacing w:line="360" w:lineRule="exact"/>
              <w:jc w:val="both"/>
              <w:textAlignment w:val="auto"/>
              <w:rPr>
                <w:rFonts w:hint="default"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本项目服务站永久占地及管道临时施工占地类型均为农用地及未利用地。</w:t>
            </w:r>
          </w:p>
          <w:p>
            <w:pPr>
              <w:widowControl/>
              <w:kinsoku/>
              <w:autoSpaceDE/>
              <w:autoSpaceDN/>
              <w:adjustRightInd/>
              <w:snapToGrid/>
              <w:spacing w:line="360" w:lineRule="exact"/>
              <w:jc w:val="both"/>
              <w:textAlignment w:val="auto"/>
              <w:rPr>
                <w:rFonts w:hint="eastAsia"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站址及输送</w:t>
            </w:r>
            <w:r>
              <w:rPr>
                <w:rFonts w:hint="eastAsia" w:cs="Times New Roman"/>
                <w:snapToGrid/>
                <w:color w:val="auto"/>
                <w:kern w:val="2"/>
                <w:sz w:val="21"/>
                <w:szCs w:val="21"/>
                <w:highlight w:val="none"/>
                <w:lang w:val="en-US" w:eastAsia="zh-CN" w:bidi="ar-SA"/>
              </w:rPr>
              <w:t>管道</w:t>
            </w:r>
            <w:r>
              <w:rPr>
                <w:rFonts w:hint="eastAsia" w:ascii="Times New Roman" w:hAnsi="Times New Roman" w:eastAsia="宋体" w:cs="Times New Roman"/>
                <w:snapToGrid/>
                <w:color w:val="auto"/>
                <w:kern w:val="2"/>
                <w:sz w:val="21"/>
                <w:szCs w:val="21"/>
                <w:highlight w:val="none"/>
                <w:lang w:val="en-US" w:eastAsia="zh-CN" w:bidi="ar-SA"/>
              </w:rPr>
              <w:t>采取相应防渗措施。3#服务站分区防渗</w:t>
            </w:r>
            <w:r>
              <w:rPr>
                <w:rFonts w:hint="eastAsia" w:cs="Times New Roman"/>
                <w:snapToGrid/>
                <w:color w:val="auto"/>
                <w:kern w:val="2"/>
                <w:sz w:val="21"/>
                <w:szCs w:val="21"/>
                <w:highlight w:val="none"/>
                <w:lang w:val="en-US" w:eastAsia="zh-CN" w:bidi="ar-SA"/>
              </w:rPr>
              <w:t>；卸车平台、危废暂存间、预处理车间、污油储罐区、储液池区域、事故池、初期雨水收集池，采取重点防渗措施；危废暂存间防渗性能满足《危险废物贮存污染控制标准》（GB18597-2023）防渗要求，其余区域满足《环境影响评价技术导则 地下水环境》（HJ610-2018）重点防渗性能要求。</w:t>
            </w:r>
          </w:p>
          <w:p>
            <w:pPr>
              <w:widowControl/>
              <w:kinsoku/>
              <w:autoSpaceDE/>
              <w:autoSpaceDN/>
              <w:adjustRightInd/>
              <w:snapToGrid/>
              <w:spacing w:line="360" w:lineRule="exact"/>
              <w:jc w:val="both"/>
              <w:textAlignment w:val="auto"/>
              <w:rPr>
                <w:rFonts w:hint="eastAsia"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库房、配电间、值班室、消防水罐区、办公用房采取一般防渗措施，满足《环境影响评价技术导则 地下水环境》（HJ610-2018）一般防渗性能要求。</w:t>
            </w:r>
          </w:p>
          <w:p>
            <w:pPr>
              <w:widowControl/>
              <w:kinsoku/>
              <w:autoSpaceDE/>
              <w:autoSpaceDN/>
              <w:adjustRightInd/>
              <w:snapToGrid/>
              <w:spacing w:line="360" w:lineRule="exact"/>
              <w:jc w:val="both"/>
              <w:textAlignment w:val="auto"/>
              <w:rPr>
                <w:rFonts w:hint="eastAsia"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其他区域进行简单防渗，满足《环境影响评价技术导则 地下水环境》（HJ610-2018）简单防渗性能要求。</w:t>
            </w:r>
          </w:p>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新建输液管道采用钢丝网骨架塑料（聚乙烯）复合管，耐磨耐腐蚀；管道防腐性能较好，无需进行额外的防腐工程，管道铺设区域防渗性能满足《环境影响评价技术导则 地下水环境》（HJ610-2018）重点防渗性能要求。</w:t>
            </w:r>
          </w:p>
        </w:tc>
        <w:tc>
          <w:tcPr>
            <w:tcW w:w="929"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8" w:type="dxa"/>
            <w:vMerge w:val="continue"/>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p>
        </w:tc>
        <w:tc>
          <w:tcPr>
            <w:tcW w:w="3088"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加强地下水生态环境保护和污染防治</w:t>
            </w:r>
            <w:r>
              <w:rPr>
                <w:rFonts w:hint="eastAsia" w:ascii="Times New Roman" w:hAnsi="Times New Roman" w:eastAsia="宋体" w:cs="Times New Roman"/>
                <w:snapToGrid/>
                <w:color w:val="auto"/>
                <w:kern w:val="2"/>
                <w:sz w:val="21"/>
                <w:szCs w:val="21"/>
                <w:highlight w:val="none"/>
                <w:lang w:val="en-US" w:eastAsia="zh-CN" w:bidi="ar-SA"/>
              </w:rPr>
              <w:t>，推进地下水污染综合防治。加强地下水污染与地表水、土壤等共生环境协同防治。全面开展地下水污染分区防治，提出地下水污染分区防治措施，实施地下水污染源分类监管</w:t>
            </w:r>
          </w:p>
        </w:tc>
        <w:tc>
          <w:tcPr>
            <w:tcW w:w="3487" w:type="dxa"/>
            <w:vMerge w:val="continue"/>
            <w:tcBorders>
              <w:tl2br w:val="nil"/>
              <w:tr2bl w:val="nil"/>
            </w:tcBorders>
            <w:vAlign w:val="center"/>
          </w:tcPr>
          <w:p>
            <w:pPr>
              <w:widowControl/>
              <w:kinsoku/>
              <w:autoSpaceDE/>
              <w:autoSpaceDN/>
              <w:adjustRightInd/>
              <w:snapToGrid/>
              <w:spacing w:line="360" w:lineRule="exact"/>
              <w:jc w:val="both"/>
              <w:textAlignment w:val="auto"/>
              <w:rPr>
                <w:rFonts w:hint="eastAsia" w:cs="Times New Roman"/>
                <w:snapToGrid/>
                <w:color w:val="auto"/>
                <w:kern w:val="2"/>
                <w:sz w:val="21"/>
                <w:szCs w:val="21"/>
                <w:highlight w:val="none"/>
                <w:lang w:val="en-US" w:eastAsia="zh-CN" w:bidi="ar-SA"/>
              </w:rPr>
            </w:pPr>
          </w:p>
        </w:tc>
        <w:tc>
          <w:tcPr>
            <w:tcW w:w="929" w:type="dxa"/>
            <w:tcBorders>
              <w:tl2br w:val="nil"/>
              <w:tr2bl w:val="nil"/>
            </w:tcBorders>
            <w:vAlign w:val="center"/>
          </w:tcPr>
          <w:p>
            <w:pPr>
              <w:widowControl/>
              <w:kinsoku/>
              <w:autoSpaceDE/>
              <w:autoSpaceDN/>
              <w:adjustRightInd/>
              <w:snapToGrid/>
              <w:spacing w:line="360" w:lineRule="exact"/>
              <w:jc w:val="center"/>
              <w:textAlignment w:val="auto"/>
              <w:rPr>
                <w:rFonts w:hint="eastAsia"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8" w:type="dxa"/>
            <w:vMerge w:val="continue"/>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p>
        </w:tc>
        <w:tc>
          <w:tcPr>
            <w:tcW w:w="3088"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提升黑土区资源利用的可持续性。严控耕地保护红线。实行最严格的耕地保护制度，对黑土耕地全面进行管控。落实“三线一单”生态环境分区中与耕地相关管控要求。推广保护性耕作模式。强化黑土耕地保护的监督管理。落实属地监督管理责任，实行黑土耕地动态监管、日常巡查。加快耕地水土流失综合治理。坚持山水林田湖草沙系统治理、综合治理，减轻风蚀水蚀，防治水土流失</w:t>
            </w:r>
          </w:p>
        </w:tc>
        <w:tc>
          <w:tcPr>
            <w:tcW w:w="3487"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本项目</w:t>
            </w:r>
            <w:r>
              <w:rPr>
                <w:rFonts w:hint="eastAsia" w:ascii="Times New Roman" w:hAnsi="Times New Roman" w:eastAsia="宋体" w:cs="Times New Roman"/>
                <w:snapToGrid/>
                <w:color w:val="auto"/>
                <w:kern w:val="2"/>
                <w:sz w:val="21"/>
                <w:szCs w:val="21"/>
                <w:highlight w:val="none"/>
                <w:lang w:val="en-US" w:eastAsia="zh-CN" w:bidi="ar-SA"/>
              </w:rPr>
              <w:t>站址</w:t>
            </w:r>
            <w:r>
              <w:rPr>
                <w:rFonts w:hint="eastAsia" w:cs="Times New Roman"/>
                <w:snapToGrid/>
                <w:color w:val="auto"/>
                <w:kern w:val="2"/>
                <w:sz w:val="21"/>
                <w:szCs w:val="21"/>
                <w:highlight w:val="none"/>
                <w:lang w:val="en-US" w:eastAsia="zh-CN" w:bidi="ar-SA"/>
              </w:rPr>
              <w:t>、管道路径</w:t>
            </w:r>
            <w:r>
              <w:rPr>
                <w:rFonts w:hint="default" w:ascii="Times New Roman" w:hAnsi="Times New Roman" w:eastAsia="宋体" w:cs="Times New Roman"/>
                <w:snapToGrid/>
                <w:color w:val="auto"/>
                <w:kern w:val="2"/>
                <w:sz w:val="21"/>
                <w:szCs w:val="21"/>
                <w:highlight w:val="none"/>
                <w:lang w:val="en-US" w:eastAsia="zh-CN" w:bidi="ar-SA"/>
              </w:rPr>
              <w:t>与大庆市三区三线划定成果进行对照，</w:t>
            </w:r>
            <w:r>
              <w:rPr>
                <w:rFonts w:hint="eastAsia" w:ascii="Times New Roman" w:hAnsi="Times New Roman" w:eastAsia="宋体" w:cs="Times New Roman"/>
                <w:snapToGrid/>
                <w:color w:val="auto"/>
                <w:kern w:val="2"/>
                <w:sz w:val="21"/>
                <w:szCs w:val="21"/>
                <w:highlight w:val="none"/>
                <w:lang w:val="en-US" w:eastAsia="zh-CN" w:bidi="ar-SA"/>
              </w:rPr>
              <w:t>项目</w:t>
            </w:r>
            <w:r>
              <w:rPr>
                <w:rFonts w:hint="eastAsia" w:cs="Times New Roman"/>
                <w:snapToGrid/>
                <w:color w:val="auto"/>
                <w:kern w:val="2"/>
                <w:sz w:val="21"/>
                <w:szCs w:val="21"/>
                <w:highlight w:val="none"/>
                <w:lang w:val="en-US" w:eastAsia="zh-CN" w:bidi="ar-SA"/>
              </w:rPr>
              <w:t>服务站站址</w:t>
            </w:r>
            <w:r>
              <w:rPr>
                <w:rFonts w:hint="eastAsia" w:ascii="Times New Roman" w:hAnsi="Times New Roman" w:eastAsia="宋体" w:cs="Times New Roman"/>
                <w:snapToGrid/>
                <w:color w:val="auto"/>
                <w:kern w:val="2"/>
                <w:sz w:val="21"/>
                <w:szCs w:val="21"/>
                <w:highlight w:val="none"/>
                <w:lang w:val="en-US" w:eastAsia="zh-CN" w:bidi="ar-SA"/>
              </w:rPr>
              <w:t>不占用</w:t>
            </w:r>
            <w:r>
              <w:rPr>
                <w:rFonts w:hint="eastAsia" w:cs="Times New Roman"/>
                <w:snapToGrid/>
                <w:color w:val="auto"/>
                <w:kern w:val="2"/>
                <w:sz w:val="21"/>
                <w:szCs w:val="21"/>
                <w:highlight w:val="none"/>
                <w:lang w:val="en-US" w:eastAsia="zh-CN" w:bidi="ar-SA"/>
              </w:rPr>
              <w:t>永久</w:t>
            </w:r>
            <w:r>
              <w:rPr>
                <w:rFonts w:hint="eastAsia" w:ascii="Times New Roman" w:hAnsi="Times New Roman" w:eastAsia="宋体" w:cs="Times New Roman"/>
                <w:snapToGrid/>
                <w:color w:val="auto"/>
                <w:kern w:val="2"/>
                <w:sz w:val="21"/>
                <w:szCs w:val="21"/>
                <w:highlight w:val="none"/>
                <w:lang w:val="en-US" w:eastAsia="zh-CN" w:bidi="ar-SA"/>
              </w:rPr>
              <w:t>基本农田</w:t>
            </w:r>
            <w:r>
              <w:rPr>
                <w:rFonts w:hint="eastAsia" w:cs="Times New Roman"/>
                <w:snapToGrid/>
                <w:color w:val="auto"/>
                <w:kern w:val="2"/>
                <w:sz w:val="21"/>
                <w:szCs w:val="21"/>
                <w:highlight w:val="none"/>
                <w:lang w:val="en-US" w:eastAsia="zh-CN" w:bidi="ar-SA"/>
              </w:rPr>
              <w:t>；管道施工临时占地占用永久基本农田。对于临时占用的永久基本农田，按照永久基本农田及黑土地保护法及条例进行管理。施工前进行表土剥离，剥离的表土单独堆放在施工占地内，表面覆盖水土保持毯，定期洒水，四周用重物压实，防止土壤流失。</w:t>
            </w:r>
          </w:p>
        </w:tc>
        <w:tc>
          <w:tcPr>
            <w:tcW w:w="929"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18"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严密防控风险，守住生态环境底线</w:t>
            </w:r>
          </w:p>
        </w:tc>
        <w:tc>
          <w:tcPr>
            <w:tcW w:w="3088"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加强危险废物监管和重金属污染环境防控</w:t>
            </w:r>
            <w:r>
              <w:rPr>
                <w:rFonts w:hint="eastAsia" w:ascii="Times New Roman" w:hAnsi="Times New Roman" w:eastAsia="宋体" w:cs="Times New Roman"/>
                <w:snapToGrid/>
                <w:color w:val="auto"/>
                <w:kern w:val="2"/>
                <w:sz w:val="21"/>
                <w:szCs w:val="21"/>
                <w:highlight w:val="none"/>
                <w:lang w:val="en-US" w:eastAsia="zh-CN" w:bidi="ar-SA"/>
              </w:rPr>
              <w:t>，强化危险废物环境监管，建立危险废物重点监管清单，实施全过程监管。强化环境风险预警防控与应急，进一步规范危险废物贮存设施，推进重点产废单位新建规范的集中贮存场所</w:t>
            </w:r>
          </w:p>
        </w:tc>
        <w:tc>
          <w:tcPr>
            <w:tcW w:w="3487"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项目建设的危废暂存间按照《危险废物贮存污染控制标准》（GB18597-2023）中的贮存点及相关要求进行建设及管理。运行期间，制定危险废物管理台账，使用危废品专用运输车辆进行转运，拉运时严格执行《危险废物转移管理办法》等相关规定，转移危险废物时，填写、运行危险废物电子转移联单，按照制定路线进行运输，运输车辆应密闭，严禁途中擅自倾倒、堆放、丢弃、遗撒危险废物。</w:t>
            </w:r>
          </w:p>
        </w:tc>
        <w:tc>
          <w:tcPr>
            <w:tcW w:w="929"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w:t>
      </w:r>
      <w:r>
        <w:rPr>
          <w:rFonts w:hint="eastAsia" w:cs="Times New Roman"/>
          <w:caps w:val="0"/>
          <w:smallCaps w:val="0"/>
          <w:color w:val="auto"/>
          <w:spacing w:val="0"/>
          <w:w w:val="100"/>
          <w:kern w:val="0"/>
          <w:sz w:val="24"/>
          <w:szCs w:val="24"/>
          <w:highlight w:val="none"/>
          <w:lang w:val="en-US" w:eastAsia="zh-CN"/>
        </w:rPr>
        <w:t>4</w:t>
      </w:r>
      <w:r>
        <w:rPr>
          <w:rFonts w:hint="default" w:cs="Times New Roman"/>
          <w:caps w:val="0"/>
          <w:smallCaps w:val="0"/>
          <w:color w:val="auto"/>
          <w:spacing w:val="0"/>
          <w:w w:val="100"/>
          <w:kern w:val="0"/>
          <w:sz w:val="24"/>
          <w:szCs w:val="24"/>
          <w:highlight w:val="none"/>
          <w:lang w:val="en-US" w:eastAsia="zh-CN"/>
        </w:rPr>
        <w:t>.</w:t>
      </w:r>
      <w:r>
        <w:rPr>
          <w:rFonts w:hint="eastAsia" w:cs="Times New Roman"/>
          <w:caps w:val="0"/>
          <w:smallCaps w:val="0"/>
          <w:color w:val="auto"/>
          <w:spacing w:val="0"/>
          <w:w w:val="100"/>
          <w:kern w:val="0"/>
          <w:sz w:val="24"/>
          <w:szCs w:val="24"/>
          <w:highlight w:val="none"/>
          <w:lang w:val="en-US" w:eastAsia="zh-CN"/>
        </w:rPr>
        <w:t>9</w:t>
      </w:r>
      <w:r>
        <w:rPr>
          <w:rFonts w:hint="default" w:cs="Times New Roman"/>
          <w:caps w:val="0"/>
          <w:smallCaps w:val="0"/>
          <w:color w:val="auto"/>
          <w:spacing w:val="0"/>
          <w:w w:val="100"/>
          <w:kern w:val="0"/>
          <w:sz w:val="24"/>
          <w:szCs w:val="24"/>
          <w:highlight w:val="none"/>
          <w:lang w:val="en-US" w:eastAsia="zh-CN"/>
        </w:rPr>
        <w:t>与《大庆市水土保规划（2015~2030）》的符合性分析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项目服务站站址位于黑龙江省大庆市肇源县发展村东侧空地处，其中新建的3条管道由服务站西北角出线，沿西北向北布设，管道整体呈南北走向，管道终点由西南侧接入风瀚环保科技有限公司已建的2#服务站。剩余2条由已建的2#服务站站址西北侧出线，向北侧铺设，与1#服务站已建的输液管道连接，管道并列铺设，长度均为4km。</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对照</w:t>
      </w:r>
      <w:r>
        <w:rPr>
          <w:rFonts w:hint="default" w:cs="Times New Roman"/>
          <w:caps w:val="0"/>
          <w:smallCaps w:val="0"/>
          <w:color w:val="auto"/>
          <w:spacing w:val="0"/>
          <w:w w:val="100"/>
          <w:kern w:val="0"/>
          <w:sz w:val="24"/>
          <w:szCs w:val="24"/>
          <w:highlight w:val="none"/>
          <w:lang w:val="en-US" w:eastAsia="zh-CN"/>
        </w:rPr>
        <w:t>《大庆市水土保规划（2015~2030）》</w:t>
      </w:r>
      <w:r>
        <w:rPr>
          <w:rFonts w:hint="eastAsia" w:cs="Times New Roman"/>
          <w:caps w:val="0"/>
          <w:smallCaps w:val="0"/>
          <w:color w:val="auto"/>
          <w:spacing w:val="0"/>
          <w:w w:val="100"/>
          <w:kern w:val="0"/>
          <w:sz w:val="24"/>
          <w:szCs w:val="24"/>
          <w:highlight w:val="none"/>
          <w:lang w:val="en-US" w:eastAsia="zh-CN"/>
        </w:rPr>
        <w:t>，项目位于重点治理区内。属于中部漫川漫岗土壤保持区，南部低平原轻中度风水蚀治理区，地貌类型以松花江高漫滩和平川漫岗为。土壤主要为黑钙土和盐碱土。</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该区域存在土壤退化、盐渍化、水体污染等水土流失较严重等现状，易对当地和下游易造成较大危害，该区域的工作重点是采取工程、林草、封育治理和耕作等措施，进行水、田、林、草、路统一规划、综合治理，增强防洪排涝、抗御干旱等自然灾害的能力。推广先进适用的科技成果，加快治理进度。治理后应强化监督管理和管护，巩固治理成果。</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符合性：本项目为页岩油开采的配套工程，永久占地主要占用其他草地，属于未利用地，永久占地土壤类型为草甸土。管道施工临时占用耕地（一般耕地+永久基本农田），临时占用土壤类型为腐殖质黑土。</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施工过程采取相应的水土保持措施，严格控制施工占地，施工期间采取水土保持措施，施工期间尽量避开雨天施工，对施工开挖土方采取临时拦挡及雨天覆盖等措施，以减小水土流失；严格控制施工占地，以减少土壤扰动，减少裸地和土方暴露面积，施工过程中产生的弃渣及时利用，减少堆放时间；施工周围设置排水沟，做好基面及基坑排水工作，收集的雨水排入临时沉淀池进行沉淀，用于施工区域洒水抑尘，不外排。项目建设不会造成区域土壤风蚀化、沙漠化，符合</w:t>
      </w:r>
      <w:r>
        <w:rPr>
          <w:rFonts w:hint="default" w:cs="Times New Roman"/>
          <w:caps w:val="0"/>
          <w:smallCaps w:val="0"/>
          <w:color w:val="auto"/>
          <w:spacing w:val="0"/>
          <w:w w:val="100"/>
          <w:kern w:val="0"/>
          <w:sz w:val="24"/>
          <w:szCs w:val="24"/>
          <w:highlight w:val="none"/>
          <w:lang w:val="en-US" w:eastAsia="zh-CN"/>
        </w:rPr>
        <w:t>《大庆市水土保规划（2015~2030）》</w:t>
      </w:r>
      <w:r>
        <w:rPr>
          <w:rFonts w:hint="eastAsia" w:cs="Times New Roman"/>
          <w:caps w:val="0"/>
          <w:smallCaps w:val="0"/>
          <w:color w:val="auto"/>
          <w:spacing w:val="0"/>
          <w:w w:val="100"/>
          <w:kern w:val="0"/>
          <w:sz w:val="24"/>
          <w:szCs w:val="24"/>
          <w:highlight w:val="none"/>
          <w:lang w:val="en-US" w:eastAsia="zh-CN"/>
        </w:rPr>
        <w:t>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w:t>
      </w:r>
      <w:r>
        <w:rPr>
          <w:rFonts w:hint="eastAsia" w:cs="Times New Roman"/>
          <w:caps w:val="0"/>
          <w:smallCaps w:val="0"/>
          <w:color w:val="auto"/>
          <w:spacing w:val="0"/>
          <w:w w:val="100"/>
          <w:kern w:val="0"/>
          <w:sz w:val="24"/>
          <w:szCs w:val="24"/>
          <w:highlight w:val="none"/>
          <w:lang w:val="en-US" w:eastAsia="zh-CN"/>
        </w:rPr>
        <w:t>4</w:t>
      </w:r>
      <w:r>
        <w:rPr>
          <w:rFonts w:hint="default" w:cs="Times New Roman"/>
          <w:caps w:val="0"/>
          <w:smallCaps w:val="0"/>
          <w:color w:val="auto"/>
          <w:spacing w:val="0"/>
          <w:w w:val="100"/>
          <w:kern w:val="0"/>
          <w:sz w:val="24"/>
          <w:szCs w:val="24"/>
          <w:highlight w:val="none"/>
          <w:lang w:val="en-US" w:eastAsia="zh-CN"/>
        </w:rPr>
        <w:t>.</w:t>
      </w:r>
      <w:r>
        <w:rPr>
          <w:rFonts w:hint="eastAsia" w:cs="Times New Roman"/>
          <w:caps w:val="0"/>
          <w:smallCaps w:val="0"/>
          <w:color w:val="auto"/>
          <w:spacing w:val="0"/>
          <w:w w:val="100"/>
          <w:kern w:val="0"/>
          <w:sz w:val="24"/>
          <w:szCs w:val="24"/>
          <w:highlight w:val="none"/>
          <w:lang w:val="en-US" w:eastAsia="zh-CN"/>
        </w:rPr>
        <w:t>10</w:t>
      </w:r>
      <w:r>
        <w:rPr>
          <w:rFonts w:hint="default" w:cs="Times New Roman"/>
          <w:caps w:val="0"/>
          <w:smallCaps w:val="0"/>
          <w:color w:val="auto"/>
          <w:spacing w:val="0"/>
          <w:w w:val="100"/>
          <w:kern w:val="0"/>
          <w:sz w:val="24"/>
          <w:szCs w:val="24"/>
          <w:highlight w:val="none"/>
          <w:lang w:val="en-US" w:eastAsia="zh-CN"/>
        </w:rPr>
        <w:t>与《挥发性有机物无组织排放控制标准》（GB37822-2019）</w:t>
      </w:r>
      <w:r>
        <w:rPr>
          <w:rFonts w:hint="eastAsia" w:cs="Times New Roman"/>
          <w:caps w:val="0"/>
          <w:smallCaps w:val="0"/>
          <w:color w:val="auto"/>
          <w:spacing w:val="0"/>
          <w:w w:val="100"/>
          <w:kern w:val="0"/>
          <w:sz w:val="24"/>
          <w:szCs w:val="24"/>
          <w:highlight w:val="none"/>
          <w:lang w:val="en-US" w:eastAsia="zh-CN"/>
        </w:rPr>
        <w:t>符合性分析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22" w:firstLineChars="200"/>
        <w:jc w:val="center"/>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b/>
          <w:bCs/>
          <w:caps w:val="0"/>
          <w:smallCaps w:val="0"/>
          <w:color w:val="auto"/>
          <w:spacing w:val="0"/>
          <w:w w:val="100"/>
          <w:kern w:val="0"/>
          <w:sz w:val="21"/>
          <w:szCs w:val="21"/>
          <w:highlight w:val="none"/>
          <w:lang w:val="en-US" w:eastAsia="zh-CN"/>
        </w:rPr>
        <w:t>表1.4-7与挥发性有机物无组织排放控制标准符合性分析</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928"/>
        <w:gridCol w:w="3640"/>
        <w:gridCol w:w="95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928"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标准要求</w:t>
            </w:r>
          </w:p>
        </w:tc>
        <w:tc>
          <w:tcPr>
            <w:tcW w:w="3640"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本项目</w:t>
            </w:r>
          </w:p>
        </w:tc>
        <w:tc>
          <w:tcPr>
            <w:tcW w:w="954"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928" w:type="dxa"/>
            <w:tcBorders>
              <w:tl2br w:val="nil"/>
              <w:tr2bl w:val="nil"/>
            </w:tcBorders>
            <w:vAlign w:val="center"/>
          </w:tcPr>
          <w:p>
            <w:pPr>
              <w:pStyle w:val="18"/>
              <w:spacing w:line="360" w:lineRule="exact"/>
              <w:ind w:firstLine="0" w:firstLineChars="0"/>
              <w:jc w:val="both"/>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VOCs物料应储存于密闭的容器、包装袋、储罐、储库、料仓中。盛装VOCs物料的容器或包装袋应存放于室内、或存放于设置有雨棚、遮阳和防渗设施的专用场地。盛装VOCs物料的容器或包装袋在非取用状态时应加盖、封口，保持密闭。</w:t>
            </w:r>
          </w:p>
        </w:tc>
        <w:tc>
          <w:tcPr>
            <w:tcW w:w="3640" w:type="dxa"/>
            <w:tcBorders>
              <w:tl2br w:val="nil"/>
              <w:tr2bl w:val="nil"/>
            </w:tcBorders>
            <w:vAlign w:val="center"/>
          </w:tcPr>
          <w:p>
            <w:pPr>
              <w:widowControl/>
              <w:kinsoku/>
              <w:autoSpaceDE/>
              <w:autoSpaceDN/>
              <w:adjustRightInd/>
              <w:snapToGrid/>
              <w:spacing w:line="360" w:lineRule="exact"/>
              <w:jc w:val="both"/>
              <w:textAlignment w:val="auto"/>
              <w:rPr>
                <w:rFonts w:hint="eastAsia"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本项目运行期间产生的污油通过管输、泵送的方式进入污油储罐区暂存，均为密闭输送，减少废水、污油输送产生的挥发性气体；污泥、废机油、罐底油泥均</w:t>
            </w:r>
            <w:r>
              <w:rPr>
                <w:rFonts w:hint="eastAsia" w:cs="Times New Roman"/>
                <w:snapToGrid/>
                <w:color w:val="auto"/>
                <w:kern w:val="2"/>
                <w:sz w:val="21"/>
                <w:szCs w:val="21"/>
                <w:highlight w:val="none"/>
                <w:lang w:val="en-US" w:eastAsia="zh-CN" w:bidi="ar-SA"/>
              </w:rPr>
              <w:t>密封暂存在危废暂存间内；同时污油、含油类危险废物在进行外输、拉运时，均采取密闭罐车或者厢式车辆进行运输。</w:t>
            </w:r>
          </w:p>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预处理车间内储油池、储泥池及小型储液池平时均加</w:t>
            </w:r>
            <w:r>
              <w:rPr>
                <w:rFonts w:hint="eastAsia" w:ascii="Times New Roman" w:hAnsi="Times New Roman" w:eastAsia="宋体" w:cs="Times New Roman"/>
                <w:snapToGrid/>
                <w:color w:val="auto"/>
                <w:kern w:val="2"/>
                <w:sz w:val="21"/>
                <w:szCs w:val="21"/>
                <w:highlight w:val="none"/>
                <w:lang w:val="en-US" w:eastAsia="zh-CN" w:bidi="ar-SA"/>
              </w:rPr>
              <w:t>盖密封设置。</w:t>
            </w:r>
          </w:p>
        </w:tc>
        <w:tc>
          <w:tcPr>
            <w:tcW w:w="954"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928" w:type="dxa"/>
            <w:tcBorders>
              <w:tl2br w:val="nil"/>
              <w:tr2bl w:val="nil"/>
            </w:tcBorders>
            <w:vAlign w:val="center"/>
          </w:tcPr>
          <w:p>
            <w:pPr>
              <w:pStyle w:val="18"/>
              <w:spacing w:line="360" w:lineRule="exact"/>
              <w:ind w:firstLine="0" w:firstLineChars="0"/>
              <w:jc w:val="both"/>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采用非管道输送方式转移液态VOCs物料时，应采用密闭容器、罐车。</w:t>
            </w:r>
          </w:p>
        </w:tc>
        <w:tc>
          <w:tcPr>
            <w:tcW w:w="3640"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3#页岩油试验区</w:t>
            </w:r>
            <w:r>
              <w:rPr>
                <w:rFonts w:hint="eastAsia" w:ascii="Times New Roman" w:hAnsi="Times New Roman" w:eastAsia="宋体" w:cs="Times New Roman"/>
                <w:snapToGrid/>
                <w:color w:val="auto"/>
                <w:kern w:val="2"/>
                <w:sz w:val="21"/>
                <w:szCs w:val="21"/>
                <w:highlight w:val="none"/>
                <w:lang w:val="en-US" w:eastAsia="zh-CN" w:bidi="ar-SA"/>
              </w:rPr>
              <w:t>产生的待处理的</w:t>
            </w:r>
            <w:r>
              <w:rPr>
                <w:rFonts w:hint="eastAsia" w:cs="Times New Roman"/>
                <w:snapToGrid/>
                <w:color w:val="auto"/>
                <w:kern w:val="2"/>
                <w:sz w:val="21"/>
                <w:szCs w:val="21"/>
                <w:highlight w:val="none"/>
                <w:lang w:val="en-US" w:eastAsia="zh-CN" w:bidi="ar-SA"/>
              </w:rPr>
              <w:t>油田废水</w:t>
            </w:r>
            <w:r>
              <w:rPr>
                <w:rFonts w:hint="eastAsia" w:ascii="Times New Roman" w:hAnsi="Times New Roman" w:eastAsia="宋体" w:cs="Times New Roman"/>
                <w:snapToGrid/>
                <w:color w:val="auto"/>
                <w:kern w:val="2"/>
                <w:sz w:val="21"/>
                <w:szCs w:val="21"/>
                <w:highlight w:val="none"/>
                <w:lang w:val="en-US" w:eastAsia="zh-CN" w:bidi="ar-SA"/>
              </w:rPr>
              <w:t>由密封罐车拉运至站内进行处理</w:t>
            </w:r>
            <w:r>
              <w:rPr>
                <w:rFonts w:hint="eastAsia" w:cs="Times New Roman"/>
                <w:snapToGrid/>
                <w:color w:val="auto"/>
                <w:kern w:val="2"/>
                <w:sz w:val="21"/>
                <w:szCs w:val="21"/>
                <w:highlight w:val="none"/>
                <w:lang w:val="en-US" w:eastAsia="zh-CN" w:bidi="ar-SA"/>
              </w:rPr>
              <w:t>；污油、含油类危险废物在进行外输、拉运时，均采取密闭罐车或者厢式车辆进行运输。</w:t>
            </w:r>
          </w:p>
        </w:tc>
        <w:tc>
          <w:tcPr>
            <w:tcW w:w="954"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928" w:type="dxa"/>
            <w:tcBorders>
              <w:tl2br w:val="nil"/>
              <w:tr2bl w:val="nil"/>
            </w:tcBorders>
            <w:vAlign w:val="center"/>
          </w:tcPr>
          <w:p>
            <w:pPr>
              <w:pStyle w:val="18"/>
              <w:spacing w:line="360" w:lineRule="exact"/>
              <w:ind w:firstLine="0" w:firstLineChars="0"/>
              <w:jc w:val="both"/>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VOCs质量占比大于等于10%的含VOCs产品，其使用过程应采用密闭设备或在密闭空间内操作，废气应排至VOCs废气收集处理系统；无法密闭的，应采取局部气体收集措施，废气应排至VOCs废气收集处理系统。</w:t>
            </w:r>
          </w:p>
        </w:tc>
        <w:tc>
          <w:tcPr>
            <w:tcW w:w="3640"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站址内建设2个大型储液池，存储处理达标后待使用水，存储量较大，存储期间会逸散挥发性气体（以非甲烷总烃计）及恶臭气体，本评价建议储液池区采取“曝气+密闭收集工艺”，增加池内水体中氧含量，减少恶臭气体的产生。同时为减少站内处理达标水存放时间，处理达标后的尾水应立即回用，不可过长时间贮存。</w:t>
            </w:r>
          </w:p>
        </w:tc>
        <w:tc>
          <w:tcPr>
            <w:tcW w:w="954"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928" w:type="dxa"/>
            <w:tcBorders>
              <w:tl2br w:val="nil"/>
              <w:tr2bl w:val="nil"/>
            </w:tcBorders>
            <w:vAlign w:val="center"/>
          </w:tcPr>
          <w:p>
            <w:pPr>
              <w:pStyle w:val="18"/>
              <w:spacing w:line="360" w:lineRule="exact"/>
              <w:ind w:firstLine="0" w:firstLineChars="0"/>
              <w:jc w:val="both"/>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其他要求：建立台账，记录含VOCs原辅材料的名称、使用量、回收量、废弃量、去向以及VOCs含量等信息。台账保存期限不少于3年。工艺过程产生的含VOCs废料（渣、液）应按照相关要求进行储存、转移和输送，盛装过VOCs物料的废包装容器应加盖密闭。</w:t>
            </w:r>
          </w:p>
        </w:tc>
        <w:tc>
          <w:tcPr>
            <w:tcW w:w="3640" w:type="dxa"/>
            <w:tcBorders>
              <w:tl2br w:val="nil"/>
              <w:tr2bl w:val="nil"/>
            </w:tcBorders>
            <w:vAlign w:val="center"/>
          </w:tcPr>
          <w:p>
            <w:pPr>
              <w:widowControl/>
              <w:kinsoku/>
              <w:autoSpaceDE/>
              <w:autoSpaceDN/>
              <w:adjustRightInd/>
              <w:snapToGrid/>
              <w:spacing w:line="360" w:lineRule="exact"/>
              <w:jc w:val="both"/>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建设单位建立台账，设置环保专员，对每批次进站的</w:t>
            </w:r>
            <w:r>
              <w:rPr>
                <w:rFonts w:hint="eastAsia" w:cs="Times New Roman"/>
                <w:color w:val="auto"/>
                <w:kern w:val="0"/>
                <w:sz w:val="21"/>
                <w:szCs w:val="21"/>
                <w:highlight w:val="none"/>
                <w:lang w:val="en-US" w:eastAsia="zh-CN"/>
              </w:rPr>
              <w:t>废水</w:t>
            </w:r>
            <w:r>
              <w:rPr>
                <w:rFonts w:hint="eastAsia" w:ascii="Times New Roman" w:hAnsi="Times New Roman" w:cs="Times New Roman"/>
                <w:color w:val="auto"/>
                <w:kern w:val="0"/>
                <w:sz w:val="21"/>
                <w:szCs w:val="21"/>
                <w:highlight w:val="none"/>
                <w:lang w:val="en-US" w:eastAsia="zh-CN"/>
              </w:rPr>
              <w:t>进站时间、待处理量、暂存时长；每次</w:t>
            </w:r>
            <w:r>
              <w:rPr>
                <w:rFonts w:hint="eastAsia" w:cs="Times New Roman"/>
                <w:color w:val="auto"/>
                <w:kern w:val="0"/>
                <w:sz w:val="21"/>
                <w:szCs w:val="21"/>
                <w:highlight w:val="none"/>
                <w:lang w:val="en-US" w:eastAsia="zh-CN"/>
              </w:rPr>
              <w:t>油泥</w:t>
            </w:r>
            <w:r>
              <w:rPr>
                <w:rFonts w:hint="eastAsia" w:ascii="Times New Roman" w:hAnsi="Times New Roman" w:cs="Times New Roman"/>
                <w:color w:val="auto"/>
                <w:kern w:val="0"/>
                <w:sz w:val="21"/>
                <w:szCs w:val="21"/>
                <w:highlight w:val="none"/>
                <w:lang w:val="en-US" w:eastAsia="zh-CN"/>
              </w:rPr>
              <w:t>、污油</w:t>
            </w:r>
            <w:r>
              <w:rPr>
                <w:rFonts w:hint="eastAsia" w:cs="Times New Roman"/>
                <w:color w:val="auto"/>
                <w:kern w:val="0"/>
                <w:sz w:val="21"/>
                <w:szCs w:val="21"/>
                <w:highlight w:val="none"/>
                <w:lang w:val="en-US" w:eastAsia="zh-CN"/>
              </w:rPr>
              <w:t>、废机油、罐底油泥</w:t>
            </w:r>
            <w:r>
              <w:rPr>
                <w:rFonts w:hint="eastAsia" w:ascii="Times New Roman" w:hAnsi="Times New Roman" w:cs="Times New Roman"/>
                <w:color w:val="auto"/>
                <w:kern w:val="0"/>
                <w:sz w:val="21"/>
                <w:szCs w:val="21"/>
                <w:highlight w:val="none"/>
                <w:lang w:val="en-US" w:eastAsia="zh-CN"/>
              </w:rPr>
              <w:t>产生量，产生时间，存放时间；每批次处理后</w:t>
            </w:r>
            <w:r>
              <w:rPr>
                <w:rFonts w:hint="eastAsia" w:cs="Times New Roman"/>
                <w:color w:val="auto"/>
                <w:kern w:val="0"/>
                <w:sz w:val="21"/>
                <w:szCs w:val="21"/>
                <w:highlight w:val="none"/>
                <w:lang w:val="en-US" w:eastAsia="zh-CN"/>
              </w:rPr>
              <w:t>废液</w:t>
            </w:r>
            <w:r>
              <w:rPr>
                <w:rFonts w:hint="eastAsia" w:ascii="Times New Roman" w:hAnsi="Times New Roman" w:cs="Times New Roman"/>
                <w:color w:val="auto"/>
                <w:kern w:val="0"/>
                <w:sz w:val="21"/>
                <w:szCs w:val="21"/>
                <w:highlight w:val="none"/>
                <w:lang w:val="en-US" w:eastAsia="zh-CN"/>
              </w:rPr>
              <w:t>输送量；危废单位上门回收时间、回收量等进行记录。</w:t>
            </w:r>
            <w:r>
              <w:rPr>
                <w:rFonts w:hint="eastAsia" w:cs="Times New Roman"/>
                <w:snapToGrid/>
                <w:color w:val="auto"/>
                <w:kern w:val="2"/>
                <w:sz w:val="21"/>
                <w:szCs w:val="21"/>
                <w:highlight w:val="none"/>
                <w:lang w:val="en-US" w:eastAsia="zh-CN" w:bidi="ar-SA"/>
              </w:rPr>
              <w:t>本项目污油、含油类危险废物在进行外输、拉运时，均采取密闭罐车或者厢式车辆进行运输。</w:t>
            </w:r>
          </w:p>
        </w:tc>
        <w:tc>
          <w:tcPr>
            <w:tcW w:w="954"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1.4.11与《黑龙江省重点行业挥发性有机物综合治理行动方案》（黑环发〔2019〕153号）符合性分析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cs="Times New Roman"/>
          <w:b/>
          <w:bCs/>
          <w:caps w:val="0"/>
          <w:smallCaps w:val="0"/>
          <w:color w:val="auto"/>
          <w:spacing w:val="0"/>
          <w:w w:val="100"/>
          <w:kern w:val="0"/>
          <w:sz w:val="21"/>
          <w:szCs w:val="21"/>
          <w:highlight w:val="none"/>
          <w:lang w:val="en-US" w:eastAsia="zh-CN"/>
        </w:rPr>
      </w:pPr>
      <w:r>
        <w:rPr>
          <w:rFonts w:hint="eastAsia" w:cs="Times New Roman"/>
          <w:b/>
          <w:bCs/>
          <w:caps w:val="0"/>
          <w:smallCaps w:val="0"/>
          <w:color w:val="auto"/>
          <w:spacing w:val="0"/>
          <w:w w:val="100"/>
          <w:kern w:val="0"/>
          <w:sz w:val="21"/>
          <w:szCs w:val="21"/>
          <w:highlight w:val="none"/>
          <w:lang w:val="en-US" w:eastAsia="zh-CN"/>
        </w:rPr>
        <w:t>表1.4-8与挥发性有机物综合治理行动方案符合性分析</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08"/>
        <w:gridCol w:w="3552"/>
        <w:gridCol w:w="3143"/>
        <w:gridCol w:w="11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4260" w:type="dxa"/>
            <w:gridSpan w:val="2"/>
            <w:tcBorders>
              <w:tl2br w:val="nil"/>
              <w:tr2bl w:val="nil"/>
            </w:tcBorders>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治理行动方案</w:t>
            </w:r>
            <w:r>
              <w:rPr>
                <w:rFonts w:hint="eastAsia" w:ascii="Times New Roman" w:hAnsi="Times New Roman" w:eastAsia="宋体" w:cs="Times New Roman"/>
                <w:snapToGrid/>
                <w:color w:val="auto"/>
                <w:kern w:val="2"/>
                <w:sz w:val="21"/>
                <w:szCs w:val="21"/>
                <w:highlight w:val="none"/>
                <w:lang w:val="en-US" w:eastAsia="zh-CN" w:bidi="ar-SA"/>
              </w:rPr>
              <w:t>要求</w:t>
            </w:r>
          </w:p>
        </w:tc>
        <w:tc>
          <w:tcPr>
            <w:tcW w:w="3143" w:type="dxa"/>
            <w:tcBorders>
              <w:tl2br w:val="nil"/>
              <w:tr2bl w:val="nil"/>
            </w:tcBorders>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本项目</w:t>
            </w:r>
          </w:p>
        </w:tc>
        <w:tc>
          <w:tcPr>
            <w:tcW w:w="1119" w:type="dxa"/>
            <w:tcBorders>
              <w:tl2br w:val="nil"/>
              <w:tr2bl w:val="nil"/>
            </w:tcBorders>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highlight w:val="none"/>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08"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综合治理行动方案</w:t>
            </w:r>
          </w:p>
        </w:tc>
        <w:tc>
          <w:tcPr>
            <w:tcW w:w="3552" w:type="dxa"/>
            <w:tcBorders>
              <w:tl2br w:val="nil"/>
              <w:tr2bl w:val="nil"/>
            </w:tcBorders>
          </w:tcPr>
          <w:p>
            <w:pPr>
              <w:widowControl/>
              <w:kinsoku/>
              <w:autoSpaceDE/>
              <w:autoSpaceDN/>
              <w:adjustRightInd/>
              <w:snapToGrid/>
              <w:spacing w:line="360" w:lineRule="exact"/>
              <w:jc w:val="both"/>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p>
            <w:pPr>
              <w:widowControl/>
              <w:kinsoku/>
              <w:autoSpaceDE/>
              <w:autoSpaceDN/>
              <w:adjustRightInd/>
              <w:snapToGrid/>
              <w:spacing w:line="360" w:lineRule="exact"/>
              <w:jc w:val="both"/>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加强设备与场所密闭管理。含VOCs物料应储存于密闭容器、包装袋，高效密封储罐，封闭式储库、料仓等。含VOCs物料转移和输送，应采用密闭管道或密闭容器、罐车等。高VOCs含量废水(废水液面上方100毫米处VOCs检测浓度超过200ppm,其中，重点区域超过100ppm,以碳计)的集输、储存和处理过程，应加盖密闭。含VOCs物料生产和使用过程，应采取有效收集措施或在密闭空间中操作。</w:t>
            </w:r>
          </w:p>
        </w:tc>
        <w:tc>
          <w:tcPr>
            <w:tcW w:w="3143" w:type="dxa"/>
            <w:tcBorders>
              <w:tl2br w:val="nil"/>
              <w:tr2bl w:val="nil"/>
            </w:tcBorders>
            <w:vAlign w:val="center"/>
          </w:tcPr>
          <w:p>
            <w:pPr>
              <w:widowControl/>
              <w:kinsoku/>
              <w:autoSpaceDE/>
              <w:autoSpaceDN/>
              <w:adjustRightInd/>
              <w:snapToGrid/>
              <w:spacing w:line="360" w:lineRule="exact"/>
              <w:jc w:val="both"/>
              <w:textAlignment w:val="auto"/>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本项目运行期间产生的污油通过管输、泵送的方式进入污油储罐区暂存，均为密闭输送，减少废水、污油输送产生的挥发性气体；污泥、废机油、罐底油泥均密封暂存在危废暂存间内；同时污油、含油类危险废物在进行外输、拉运时，均采取密闭罐车或者厢式车量进行运输。</w:t>
            </w:r>
          </w:p>
          <w:p>
            <w:pPr>
              <w:widowControl/>
              <w:kinsoku/>
              <w:autoSpaceDE/>
              <w:autoSpaceDN/>
              <w:adjustRightInd/>
              <w:snapToGrid/>
              <w:spacing w:line="360" w:lineRule="exact"/>
              <w:jc w:val="both"/>
              <w:textAlignment w:val="auto"/>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预处理车间内储油池、储泥池及小型储液池平时均加盖密封设置。</w:t>
            </w:r>
          </w:p>
          <w:p>
            <w:pPr>
              <w:widowControl/>
              <w:kinsoku/>
              <w:autoSpaceDE/>
              <w:autoSpaceDN/>
              <w:adjustRightInd/>
              <w:snapToGrid/>
              <w:spacing w:line="360" w:lineRule="exact"/>
              <w:jc w:val="both"/>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站址内建设2个大型储液池，存储处理达标后待使用水，存储量较大，存储期间会逸散挥发性气体（以非甲烷总烃计）及恶臭气体，本评价建议储液池区采取“曝气+密闭收集工艺”，增加池内水体中氧含量，减少恶臭气体的产生。同时为减少站内处理达标水存放时间，处理达标后的尾水应立即回用，不可过长时间贮存。</w:t>
            </w:r>
          </w:p>
        </w:tc>
        <w:tc>
          <w:tcPr>
            <w:tcW w:w="1119" w:type="dxa"/>
            <w:tcBorders>
              <w:tl2br w:val="nil"/>
              <w:tr2bl w:val="nil"/>
            </w:tcBorders>
            <w:vAlign w:val="center"/>
          </w:tcPr>
          <w:p>
            <w:pPr>
              <w:widowControl/>
              <w:kinsoku/>
              <w:autoSpaceDE/>
              <w:autoSpaceDN/>
              <w:adjustRightInd/>
              <w:snapToGrid/>
              <w:spacing w:line="360" w:lineRule="exact"/>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符合</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w:t>
      </w:r>
      <w:r>
        <w:rPr>
          <w:rFonts w:hint="eastAsia" w:cs="Times New Roman"/>
          <w:caps w:val="0"/>
          <w:smallCaps w:val="0"/>
          <w:color w:val="auto"/>
          <w:spacing w:val="0"/>
          <w:w w:val="100"/>
          <w:kern w:val="0"/>
          <w:sz w:val="24"/>
          <w:szCs w:val="24"/>
          <w:highlight w:val="none"/>
          <w:lang w:val="en-US" w:eastAsia="zh-CN"/>
        </w:rPr>
        <w:t>4</w:t>
      </w:r>
      <w:r>
        <w:rPr>
          <w:rFonts w:hint="default" w:cs="Times New Roman"/>
          <w:caps w:val="0"/>
          <w:smallCaps w:val="0"/>
          <w:color w:val="auto"/>
          <w:spacing w:val="0"/>
          <w:w w:val="100"/>
          <w:kern w:val="0"/>
          <w:sz w:val="24"/>
          <w:szCs w:val="24"/>
          <w:highlight w:val="none"/>
          <w:lang w:val="en-US" w:eastAsia="zh-CN"/>
        </w:rPr>
        <w:t>.</w:t>
      </w:r>
      <w:r>
        <w:rPr>
          <w:rFonts w:hint="eastAsia" w:cs="Times New Roman"/>
          <w:caps w:val="0"/>
          <w:smallCaps w:val="0"/>
          <w:color w:val="auto"/>
          <w:spacing w:val="0"/>
          <w:w w:val="100"/>
          <w:kern w:val="0"/>
          <w:sz w:val="24"/>
          <w:szCs w:val="24"/>
          <w:highlight w:val="none"/>
          <w:lang w:val="en-US" w:eastAsia="zh-CN"/>
        </w:rPr>
        <w:t>12</w:t>
      </w:r>
      <w:r>
        <w:rPr>
          <w:rFonts w:hint="default" w:cs="Times New Roman"/>
          <w:caps w:val="0"/>
          <w:smallCaps w:val="0"/>
          <w:color w:val="auto"/>
          <w:spacing w:val="0"/>
          <w:w w:val="100"/>
          <w:kern w:val="0"/>
          <w:sz w:val="24"/>
          <w:szCs w:val="24"/>
          <w:highlight w:val="none"/>
          <w:lang w:val="en-US" w:eastAsia="zh-CN"/>
        </w:rPr>
        <w:t>与</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三线一单</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符合性分析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根据《关于印发</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三线一单</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更新成果的通知》（黑区域环评办〔2023〕1号）规定，对照《大庆市国土空间总体规划》（2021-2035）、《黑龙江省</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三线一单</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生态环境分区管控成果动态更新报告》及《大庆市生态环境准入清单》（2022年12月），</w:t>
      </w:r>
      <w:r>
        <w:rPr>
          <w:rFonts w:hint="eastAsia" w:cs="Times New Roman"/>
          <w:caps w:val="0"/>
          <w:smallCaps w:val="0"/>
          <w:color w:val="auto"/>
          <w:spacing w:val="0"/>
          <w:w w:val="100"/>
          <w:kern w:val="0"/>
          <w:sz w:val="24"/>
          <w:szCs w:val="24"/>
          <w:highlight w:val="none"/>
          <w:lang w:val="en-US" w:eastAsia="zh-CN"/>
        </w:rPr>
        <w:t>本项目服务站位于黑龙江省大庆市肇源县发展村东侧空地处；其中新建的3条输液管道由本次新建的3#服务站西北角出线，沿西北向北布设，管道整体呈南北走向，管道终点由西南侧接入风瀚环保科技有限公司已建的2#服务站，途径道宝村、鸭木蛋格屯及古龙镇等，剩余2条由已建的2#服务站站址西北侧出线，向北侧铺设，与1#服务站已建的输液管道连接，管道并列铺设，长度均为4km。对照大庆市环境管控单元分布图，3#服务站站址及管道途径区域均位于一般</w:t>
      </w:r>
      <w:r>
        <w:rPr>
          <w:rFonts w:hint="default" w:cs="Times New Roman"/>
          <w:caps w:val="0"/>
          <w:smallCaps w:val="0"/>
          <w:color w:val="auto"/>
          <w:spacing w:val="0"/>
          <w:w w:val="100"/>
          <w:kern w:val="0"/>
          <w:sz w:val="24"/>
          <w:szCs w:val="24"/>
          <w:highlight w:val="none"/>
          <w:lang w:val="en-US" w:eastAsia="zh-CN"/>
        </w:rPr>
        <w:t>管控单元内</w:t>
      </w:r>
      <w:r>
        <w:rPr>
          <w:rFonts w:hint="eastAsia" w:cs="Times New Roman"/>
          <w:caps w:val="0"/>
          <w:smallCaps w:val="0"/>
          <w:color w:val="auto"/>
          <w:spacing w:val="0"/>
          <w:w w:val="100"/>
          <w:kern w:val="0"/>
          <w:sz w:val="24"/>
          <w:szCs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（1）生态保护红线</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对照大庆市三区三线划定成果，本项目选址</w:t>
      </w:r>
      <w:r>
        <w:rPr>
          <w:rFonts w:hint="eastAsia" w:cs="Times New Roman"/>
          <w:caps w:val="0"/>
          <w:smallCaps w:val="0"/>
          <w:color w:val="auto"/>
          <w:spacing w:val="0"/>
          <w:w w:val="100"/>
          <w:kern w:val="0"/>
          <w:sz w:val="24"/>
          <w:szCs w:val="24"/>
          <w:highlight w:val="none"/>
          <w:lang w:val="en-US" w:eastAsia="zh-CN"/>
        </w:rPr>
        <w:t>、选线</w:t>
      </w:r>
      <w:r>
        <w:rPr>
          <w:rFonts w:hint="default" w:cs="Times New Roman"/>
          <w:caps w:val="0"/>
          <w:smallCaps w:val="0"/>
          <w:color w:val="auto"/>
          <w:spacing w:val="0"/>
          <w:w w:val="100"/>
          <w:kern w:val="0"/>
          <w:sz w:val="24"/>
          <w:szCs w:val="24"/>
          <w:highlight w:val="none"/>
          <w:lang w:val="en-US" w:eastAsia="zh-CN"/>
        </w:rPr>
        <w:t>不涉及生态保护红线</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远离城镇开发边界，不涉及国家、省、市级自然保护区、自然文化遗产、风景名胜区、文物古迹、生态红线、饮用水水源保护区、重要湿地、森林公园、水产种质资源保护区等区域。</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（2）环境质量底线</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①环境空气：</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项目所在区域位于环境空气2类区。</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根据《2022年大庆市生态环境状况公报》，项目所在区域环境空气基本项目污染物浓度满足《环境空气质量标准》（GB3095-2012）及其修改单中二级标准要求。项目施工期间产生的施工废气为</w:t>
      </w:r>
      <w:r>
        <w:rPr>
          <w:rFonts w:hint="eastAsia" w:cs="Times New Roman"/>
          <w:caps w:val="0"/>
          <w:smallCaps w:val="0"/>
          <w:color w:val="auto"/>
          <w:spacing w:val="0"/>
          <w:w w:val="100"/>
          <w:kern w:val="0"/>
          <w:sz w:val="24"/>
          <w:szCs w:val="24"/>
          <w:highlight w:val="none"/>
          <w:lang w:val="en-US" w:eastAsia="zh-CN"/>
        </w:rPr>
        <w:t>施工</w:t>
      </w:r>
      <w:r>
        <w:rPr>
          <w:rFonts w:hint="default" w:cs="Times New Roman"/>
          <w:caps w:val="0"/>
          <w:smallCaps w:val="0"/>
          <w:color w:val="auto"/>
          <w:spacing w:val="0"/>
          <w:w w:val="100"/>
          <w:kern w:val="0"/>
          <w:sz w:val="24"/>
          <w:szCs w:val="24"/>
          <w:highlight w:val="none"/>
          <w:lang w:val="en-US" w:eastAsia="zh-CN"/>
        </w:rPr>
        <w:t>扬尘</w:t>
      </w:r>
      <w:r>
        <w:rPr>
          <w:rFonts w:hint="eastAsia" w:cs="Times New Roman"/>
          <w:caps w:val="0"/>
          <w:smallCaps w:val="0"/>
          <w:color w:val="auto"/>
          <w:spacing w:val="0"/>
          <w:w w:val="100"/>
          <w:kern w:val="0"/>
          <w:sz w:val="24"/>
          <w:szCs w:val="24"/>
          <w:highlight w:val="none"/>
          <w:lang w:val="en-US" w:eastAsia="zh-CN"/>
        </w:rPr>
        <w:t>、设备及车辆尾气、焊接烟尘</w:t>
      </w:r>
      <w:r>
        <w:rPr>
          <w:rFonts w:hint="default" w:cs="Times New Roman"/>
          <w:caps w:val="0"/>
          <w:smallCaps w:val="0"/>
          <w:color w:val="auto"/>
          <w:spacing w:val="0"/>
          <w:w w:val="100"/>
          <w:kern w:val="0"/>
          <w:sz w:val="24"/>
          <w:szCs w:val="24"/>
          <w:highlight w:val="none"/>
          <w:lang w:val="en-US" w:eastAsia="zh-CN"/>
        </w:rPr>
        <w:t>，施工结束后，对环境空气的影响随即消失</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项目运行期间，</w:t>
      </w:r>
      <w:r>
        <w:rPr>
          <w:rFonts w:hint="eastAsia" w:cs="Times New Roman"/>
          <w:caps w:val="0"/>
          <w:smallCaps w:val="0"/>
          <w:color w:val="auto"/>
          <w:spacing w:val="0"/>
          <w:w w:val="100"/>
          <w:kern w:val="0"/>
          <w:sz w:val="24"/>
          <w:szCs w:val="24"/>
          <w:highlight w:val="none"/>
          <w:lang w:val="en-US" w:eastAsia="zh-CN"/>
        </w:rPr>
        <w:t>对废水及污泥处置过程产生的恶臭气体，负压收集，进入离子除臭装置进行处理，通过15m排气筒排放；运行过程中产生的挥发性气体（非甲烷总烃）无组织逸散。根据预测，站址厂界污染物浓度满足相应污染物排放标准。</w:t>
      </w:r>
      <w:r>
        <w:rPr>
          <w:rFonts w:hint="default" w:cs="Times New Roman"/>
          <w:caps w:val="0"/>
          <w:smallCaps w:val="0"/>
          <w:color w:val="auto"/>
          <w:spacing w:val="0"/>
          <w:w w:val="100"/>
          <w:kern w:val="0"/>
          <w:sz w:val="24"/>
          <w:szCs w:val="24"/>
          <w:highlight w:val="none"/>
          <w:lang w:val="en-US" w:eastAsia="zh-CN"/>
        </w:rPr>
        <w:t>项目建设不会改变所在区域环境空气功能划分。</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ascii="Times New Roman" w:hAnsi="Times New Roman" w:cs="Times New Roman"/>
          <w:caps w:val="0"/>
          <w:smallCaps w:val="0"/>
          <w:color w:val="auto"/>
          <w:spacing w:val="0"/>
          <w:w w:val="100"/>
          <w:kern w:val="0"/>
          <w:sz w:val="24"/>
          <w:szCs w:val="24"/>
          <w:highlight w:val="none"/>
          <w:lang w:val="en-US" w:eastAsia="zh-CN"/>
        </w:rPr>
      </w:pPr>
      <w:r>
        <w:rPr>
          <w:rFonts w:hint="default" w:ascii="Times New Roman" w:hAnsi="Times New Roman" w:cs="Times New Roman"/>
          <w:caps w:val="0"/>
          <w:smallCaps w:val="0"/>
          <w:color w:val="auto"/>
          <w:spacing w:val="0"/>
          <w:w w:val="100"/>
          <w:kern w:val="0"/>
          <w:sz w:val="24"/>
          <w:szCs w:val="24"/>
          <w:highlight w:val="none"/>
          <w:lang w:val="en-US" w:eastAsia="zh-CN"/>
        </w:rPr>
        <w:t>②声环境</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ascii="Times New Roman" w:hAnsi="Times New Roman" w:cs="Times New Roman"/>
          <w:caps w:val="0"/>
          <w:smallCaps w:val="0"/>
          <w:color w:val="auto"/>
          <w:spacing w:val="0"/>
          <w:w w:val="100"/>
          <w:kern w:val="0"/>
          <w:sz w:val="24"/>
          <w:szCs w:val="24"/>
          <w:highlight w:val="none"/>
          <w:lang w:val="en-US" w:eastAsia="zh-CN"/>
        </w:rPr>
      </w:pPr>
      <w:r>
        <w:rPr>
          <w:rFonts w:hint="default" w:ascii="Times New Roman" w:hAnsi="Times New Roman" w:cs="Times New Roman"/>
          <w:caps w:val="0"/>
          <w:smallCaps w:val="0"/>
          <w:color w:val="auto"/>
          <w:spacing w:val="0"/>
          <w:w w:val="100"/>
          <w:kern w:val="0"/>
          <w:sz w:val="24"/>
          <w:szCs w:val="24"/>
          <w:highlight w:val="none"/>
          <w:lang w:val="en-US" w:eastAsia="zh-CN"/>
        </w:rPr>
        <w:t>本项目</w:t>
      </w:r>
      <w:r>
        <w:rPr>
          <w:rFonts w:hint="eastAsia" w:ascii="Times New Roman" w:hAnsi="Times New Roman" w:cs="Times New Roman"/>
          <w:caps w:val="0"/>
          <w:smallCaps w:val="0"/>
          <w:color w:val="auto"/>
          <w:spacing w:val="0"/>
          <w:w w:val="100"/>
          <w:kern w:val="0"/>
          <w:sz w:val="24"/>
          <w:szCs w:val="24"/>
          <w:highlight w:val="none"/>
          <w:lang w:val="en-US" w:eastAsia="zh-CN"/>
        </w:rPr>
        <w:t>服务站站址北侧紧邻G232国道，所在区域为</w:t>
      </w:r>
      <w:r>
        <w:rPr>
          <w:rFonts w:hint="default" w:ascii="Times New Roman" w:hAnsi="Times New Roman" w:cs="Times New Roman"/>
          <w:caps w:val="0"/>
          <w:smallCaps w:val="0"/>
          <w:color w:val="auto"/>
          <w:spacing w:val="0"/>
          <w:w w:val="100"/>
          <w:kern w:val="0"/>
          <w:sz w:val="24"/>
          <w:szCs w:val="24"/>
          <w:highlight w:val="none"/>
          <w:lang w:val="en-US" w:eastAsia="zh-CN"/>
        </w:rPr>
        <w:t>声环境2类功能区</w:t>
      </w:r>
      <w:r>
        <w:rPr>
          <w:rFonts w:hint="eastAsia" w:ascii="Times New Roman" w:hAnsi="Times New Roman" w:cs="Times New Roman"/>
          <w:caps w:val="0"/>
          <w:smallCaps w:val="0"/>
          <w:color w:val="auto"/>
          <w:spacing w:val="0"/>
          <w:w w:val="100"/>
          <w:kern w:val="0"/>
          <w:sz w:val="24"/>
          <w:szCs w:val="24"/>
          <w:highlight w:val="none"/>
          <w:lang w:val="en-US" w:eastAsia="zh-CN"/>
        </w:rPr>
        <w:t>；管道途径道宝村、鸭木蛋格屯及古龙镇等。</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ascii="Times New Roman" w:hAnsi="Times New Roman" w:cs="Times New Roman"/>
          <w:caps w:val="0"/>
          <w:smallCaps w:val="0"/>
          <w:color w:val="auto"/>
          <w:spacing w:val="0"/>
          <w:w w:val="100"/>
          <w:kern w:val="0"/>
          <w:sz w:val="24"/>
          <w:szCs w:val="24"/>
          <w:highlight w:val="none"/>
          <w:lang w:val="en-US" w:eastAsia="zh-CN"/>
        </w:rPr>
      </w:pPr>
      <w:r>
        <w:rPr>
          <w:rFonts w:hint="eastAsia" w:ascii="Times New Roman" w:hAnsi="Times New Roman" w:cs="Times New Roman"/>
          <w:caps w:val="0"/>
          <w:smallCaps w:val="0"/>
          <w:color w:val="auto"/>
          <w:spacing w:val="0"/>
          <w:w w:val="100"/>
          <w:kern w:val="0"/>
          <w:sz w:val="24"/>
          <w:szCs w:val="24"/>
          <w:highlight w:val="none"/>
          <w:lang w:val="en-US" w:eastAsia="zh-CN"/>
        </w:rPr>
        <w:t>项目施工期间，合理安排施工时间，施工进度，避免高噪设备同时施工，定期对施工机械进行维护；禁止夜间施工，物料运输车辆在路过周围村屯时，禁止鸣笛；运行期，在满足正常生产处置前提条件下，应选用先进的低噪设备，设备安装减振垫，减少共振的发生；项目建设不会改变区域声环境功能区。</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ascii="Times New Roman" w:hAnsi="Times New Roman" w:cs="Times New Roman"/>
          <w:caps w:val="0"/>
          <w:smallCaps w:val="0"/>
          <w:color w:val="auto"/>
          <w:spacing w:val="0"/>
          <w:w w:val="100"/>
          <w:kern w:val="0"/>
          <w:sz w:val="24"/>
          <w:szCs w:val="24"/>
          <w:highlight w:val="none"/>
          <w:lang w:val="en-US" w:eastAsia="zh-CN"/>
        </w:rPr>
      </w:pPr>
      <w:r>
        <w:rPr>
          <w:rFonts w:hint="default" w:ascii="Times New Roman" w:hAnsi="Times New Roman" w:cs="Times New Roman"/>
          <w:caps w:val="0"/>
          <w:smallCaps w:val="0"/>
          <w:color w:val="auto"/>
          <w:spacing w:val="0"/>
          <w:w w:val="100"/>
          <w:kern w:val="0"/>
          <w:sz w:val="24"/>
          <w:szCs w:val="24"/>
          <w:highlight w:val="none"/>
          <w:lang w:val="en-US" w:eastAsia="zh-CN"/>
        </w:rPr>
        <w:t>③</w:t>
      </w:r>
      <w:r>
        <w:rPr>
          <w:rFonts w:hint="eastAsia" w:ascii="Times New Roman" w:hAnsi="Times New Roman" w:cs="Times New Roman"/>
          <w:caps w:val="0"/>
          <w:smallCaps w:val="0"/>
          <w:color w:val="auto"/>
          <w:spacing w:val="0"/>
          <w:w w:val="100"/>
          <w:kern w:val="0"/>
          <w:sz w:val="24"/>
          <w:szCs w:val="24"/>
          <w:highlight w:val="none"/>
          <w:lang w:val="en-US" w:eastAsia="zh-CN"/>
        </w:rPr>
        <w:t>地下水</w:t>
      </w:r>
      <w:r>
        <w:rPr>
          <w:rFonts w:hint="default" w:ascii="Times New Roman" w:hAnsi="Times New Roman" w:cs="Times New Roman"/>
          <w:caps w:val="0"/>
          <w:smallCaps w:val="0"/>
          <w:color w:val="auto"/>
          <w:spacing w:val="0"/>
          <w:w w:val="100"/>
          <w:kern w:val="0"/>
          <w:sz w:val="24"/>
          <w:szCs w:val="24"/>
          <w:highlight w:val="none"/>
          <w:lang w:val="en-US" w:eastAsia="zh-CN"/>
        </w:rPr>
        <w:t>环境</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ascii="Times New Roman" w:hAnsi="Times New Roman" w:cs="Times New Roman"/>
          <w:caps w:val="0"/>
          <w:smallCaps w:val="0"/>
          <w:color w:val="auto"/>
          <w:spacing w:val="0"/>
          <w:w w:val="100"/>
          <w:kern w:val="0"/>
          <w:sz w:val="24"/>
          <w:szCs w:val="24"/>
          <w:highlight w:val="none"/>
          <w:lang w:val="en-US" w:eastAsia="zh-CN"/>
        </w:rPr>
      </w:pPr>
      <w:r>
        <w:rPr>
          <w:rFonts w:hint="eastAsia" w:ascii="Times New Roman" w:hAnsi="Times New Roman" w:cs="Times New Roman"/>
          <w:caps w:val="0"/>
          <w:smallCaps w:val="0"/>
          <w:color w:val="auto"/>
          <w:spacing w:val="0"/>
          <w:w w:val="100"/>
          <w:kern w:val="0"/>
          <w:sz w:val="24"/>
          <w:szCs w:val="24"/>
          <w:highlight w:val="none"/>
          <w:lang w:val="en-US" w:eastAsia="zh-CN"/>
        </w:rPr>
        <w:t>区域水井功能主要为分散式饮用供水及农业用水，区域地下水执行《地下水质量标准》（GB/T14848-2017）中的III类标准。</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cs="Times New Roman"/>
          <w:caps w:val="0"/>
          <w:smallCaps w:val="0"/>
          <w:color w:val="auto"/>
          <w:spacing w:val="0"/>
          <w:w w:val="100"/>
          <w:kern w:val="0"/>
          <w:sz w:val="24"/>
          <w:szCs w:val="24"/>
          <w:highlight w:val="none"/>
          <w:lang w:val="en-US" w:eastAsia="zh-CN"/>
        </w:rPr>
        <w:t>项目站址及输液管道采取防渗措施。其中站址采取分区防渗的措施；卸车平台、危废暂存间、预处理车间、污油储罐区、储液池区域、事故池、初期雨水收集池，采取重点防渗措施；危废暂存间防渗性能满足《危险废物贮存污染控制标准》（GB18597-2023）防渗要求，其余区域</w:t>
      </w:r>
      <w:r>
        <w:rPr>
          <w:rFonts w:hint="eastAsia" w:cs="Times New Roman"/>
          <w:caps w:val="0"/>
          <w:smallCaps w:val="0"/>
          <w:snapToGrid/>
          <w:color w:val="auto"/>
          <w:spacing w:val="0"/>
          <w:w w:val="100"/>
          <w:kern w:val="0"/>
          <w:sz w:val="24"/>
          <w:szCs w:val="24"/>
          <w:highlight w:val="none"/>
          <w:vertAlign w:val="baseline"/>
          <w:lang w:val="en-US" w:eastAsia="zh-CN" w:bidi="ar-SA"/>
        </w:rPr>
        <w:t>满足《环境影响评价技术导则 地下水环境》（HJ610-2018）重点防渗性能要求。</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库房、配电间、值班室、消防水罐区、办公用房采取一般防渗措施，满足《环境影响评价技术导则 地下水环境》（HJ610-2018）一般防渗性能要求。</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其他区域进行简单防渗，满足《环境影响评价技术导则 地下水环境》（HJ610-2018）简单防渗性能要求。</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输液管道采用钢丝网骨架塑料（聚乙烯）复合管，耐磨耐腐蚀；管道防腐性能较好，无需进行额外的防腐工程，管道铺设区域防渗性能满足《环境影响评价技术导则 地下水环境》（HJ610-2018）重点防渗性能要求。同时制定地下水跟踪监测计划，运行期间定期对服务站区域及管道铺设区域地下水环境进行跟踪监测。</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④</w:t>
      </w:r>
      <w:r>
        <w:rPr>
          <w:rFonts w:hint="eastAsia" w:cs="Times New Roman"/>
          <w:caps w:val="0"/>
          <w:smallCaps w:val="0"/>
          <w:snapToGrid/>
          <w:color w:val="auto"/>
          <w:spacing w:val="0"/>
          <w:w w:val="100"/>
          <w:kern w:val="0"/>
          <w:sz w:val="24"/>
          <w:szCs w:val="24"/>
          <w:highlight w:val="none"/>
          <w:vertAlign w:val="baseline"/>
          <w:lang w:val="en-US" w:eastAsia="zh-CN" w:bidi="ar-SA"/>
        </w:rPr>
        <w:t>地表水</w:t>
      </w:r>
      <w:r>
        <w:rPr>
          <w:rFonts w:hint="default" w:cs="Times New Roman"/>
          <w:caps w:val="0"/>
          <w:smallCaps w:val="0"/>
          <w:snapToGrid/>
          <w:color w:val="auto"/>
          <w:spacing w:val="0"/>
          <w:w w:val="100"/>
          <w:kern w:val="0"/>
          <w:sz w:val="24"/>
          <w:szCs w:val="24"/>
          <w:highlight w:val="none"/>
          <w:vertAlign w:val="baseline"/>
          <w:lang w:val="en-US" w:eastAsia="zh-CN" w:bidi="ar-SA"/>
        </w:rPr>
        <w:t>环境</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项目站址及管道铺设区附近地表水体有鸭木格蛋泡子、葫芦代泡、河北村南侧及大五家子屯东北侧沟渠。其中距离项目最近的地表水体为鸭木格蛋泡子，距离站外输液管道最近距离为50m。</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鸭木格蛋泡子水面面积约为15.76平方千米，属于东北平原。它的一级流域为黑龙江流域，二级流域为松花江水系。葫芦代泡位于输液管道东侧，最近距离为367m，水面面积约为1.02平方千米，属于封闭性水泡。管道穿越沟渠均为农用地沟渠，用于养殖使用。</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对照《大庆市人民政府关于印发大庆市声环境功能区划分、大庆市环境空气质量功能区划分、大庆市地表水环境功能区划分的通知》（庆政发〔2019〕11号），项目附近地表水体为乡级河湖，按照河湖保护要求，保持水体、水面和堤岸保洁，暂不执行《地表水环境质量标准》（GB3838-2002）标准。</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项目施工期间产生的废水均进入其他单位，不外排。管道采用压缩空气试压，无试压废水产生。</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运行期间产生的废水为服务站接收处理后达标的水、站内人员生活污水、初期雨水、</w:t>
      </w:r>
      <w:r>
        <w:rPr>
          <w:rFonts w:hint="eastAsia" w:cs="Times New Roman"/>
          <w:caps w:val="0"/>
          <w:smallCaps w:val="0"/>
          <w:color w:val="auto"/>
          <w:spacing w:val="0"/>
          <w:w w:val="100"/>
          <w:kern w:val="0"/>
          <w:sz w:val="24"/>
          <w:szCs w:val="24"/>
          <w:highlight w:val="none"/>
          <w:lang w:val="en-US" w:eastAsia="zh-CN"/>
        </w:rPr>
        <w:t>污泥</w:t>
      </w:r>
      <w:r>
        <w:rPr>
          <w:rFonts w:hint="eastAsia" w:cs="Times New Roman"/>
          <w:caps w:val="0"/>
          <w:smallCaps w:val="0"/>
          <w:snapToGrid/>
          <w:color w:val="auto"/>
          <w:spacing w:val="0"/>
          <w:w w:val="100"/>
          <w:kern w:val="0"/>
          <w:sz w:val="24"/>
          <w:szCs w:val="24"/>
          <w:highlight w:val="none"/>
          <w:vertAlign w:val="baseline"/>
          <w:lang w:val="en-US" w:eastAsia="zh-CN" w:bidi="ar-SA"/>
        </w:rPr>
        <w:t>离心浓缩废水及事故废水。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站内人员生活污水排入化粪池内，定期清掏，拉运至新站镇生活污水处理厂处理。初期雨水经收集，排入站内初期雨水收集池内，进入站内废水处理系统，经处置达标后，回用于页岩油试验区压裂作业复配。</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color w:val="auto"/>
          <w:spacing w:val="0"/>
          <w:w w:val="100"/>
          <w:kern w:val="0"/>
          <w:sz w:val="24"/>
          <w:szCs w:val="24"/>
          <w:highlight w:val="none"/>
          <w:lang w:val="en-US" w:eastAsia="zh-CN"/>
        </w:rPr>
        <w:t>污泥</w:t>
      </w:r>
      <w:r>
        <w:rPr>
          <w:rFonts w:hint="eastAsia" w:cs="Times New Roman"/>
          <w:caps w:val="0"/>
          <w:smallCaps w:val="0"/>
          <w:snapToGrid/>
          <w:color w:val="auto"/>
          <w:spacing w:val="0"/>
          <w:w w:val="100"/>
          <w:kern w:val="0"/>
          <w:sz w:val="24"/>
          <w:szCs w:val="24"/>
          <w:highlight w:val="none"/>
          <w:vertAlign w:val="baseline"/>
          <w:lang w:val="en-US" w:eastAsia="zh-CN" w:bidi="ar-SA"/>
        </w:rPr>
        <w:t>离心浓缩废水进入站内废水处理系统，经处置达标后，回用于页岩油试验区压裂作业复配。事故废水排入站内事故池内，交由有资质单位拉运处置。</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站内废水处理系统处理后，满足《大庆油田地面工程建设设计规定》（Q/SYDQ 0639-2015）“含油量≤20mg/L、悬浮固体含量≤20mg/L”，回用于页岩油试验区压裂作业复配。</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项目施工期及运行期废水均不外排，对周围地表水环境的影响可被接受。</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⑤</w:t>
      </w:r>
      <w:r>
        <w:rPr>
          <w:rFonts w:hint="eastAsia" w:cs="Times New Roman"/>
          <w:caps w:val="0"/>
          <w:smallCaps w:val="0"/>
          <w:snapToGrid/>
          <w:color w:val="auto"/>
          <w:spacing w:val="0"/>
          <w:w w:val="100"/>
          <w:kern w:val="0"/>
          <w:sz w:val="24"/>
          <w:szCs w:val="24"/>
          <w:highlight w:val="none"/>
          <w:vertAlign w:val="baseline"/>
          <w:lang w:val="en-US" w:eastAsia="zh-CN" w:bidi="ar-SA"/>
        </w:rPr>
        <w:t>土壤环境</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本项目占地为临时占地及永久占地。</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输液管道施工为临时占地，占用农用地（旱田、水田、坑塘水面、沟渠）。其中涉及永久基本农田为环境敏感区，以按照相关土地管理法、永久基本农田保护法及条例、黑土地保护法及条例，办理临时占地许可手续。施工前，进行表土剥离，管道施工严格控制施工作业带，分层开挖，分别堆放，分层回填。施工结束后，剥离的表土回填至土层表面。恢复植被，管道施工对土壤环境影响，可被接受。</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项目永久占地为服务站站址建设，根据建设单位提供的资料，站址建设主要占用未利用地，占地类型为其他草地、坑塘水面及沟渠。</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根据</w:t>
      </w:r>
      <w:r>
        <w:rPr>
          <w:rFonts w:hint="eastAsia" w:cs="Times New Roman"/>
          <w:caps w:val="0"/>
          <w:smallCaps w:val="0"/>
          <w:snapToGrid/>
          <w:color w:val="auto"/>
          <w:spacing w:val="0"/>
          <w:w w:val="100"/>
          <w:kern w:val="0"/>
          <w:sz w:val="24"/>
          <w:szCs w:val="24"/>
          <w:highlight w:val="none"/>
          <w:vertAlign w:val="baseline"/>
          <w:lang w:val="en-US" w:eastAsia="zh-CN" w:bidi="ar-SA"/>
        </w:rPr>
        <w:t>土壤</w:t>
      </w:r>
      <w:r>
        <w:rPr>
          <w:rFonts w:hint="default" w:cs="Times New Roman"/>
          <w:caps w:val="0"/>
          <w:smallCaps w:val="0"/>
          <w:snapToGrid/>
          <w:color w:val="auto"/>
          <w:spacing w:val="0"/>
          <w:w w:val="100"/>
          <w:kern w:val="0"/>
          <w:sz w:val="24"/>
          <w:szCs w:val="24"/>
          <w:highlight w:val="none"/>
          <w:vertAlign w:val="baseline"/>
          <w:lang w:val="en-US" w:eastAsia="zh-CN" w:bidi="ar-SA"/>
        </w:rPr>
        <w:t>现状监测</w:t>
      </w:r>
      <w:r>
        <w:rPr>
          <w:rFonts w:hint="eastAsia" w:cs="Times New Roman"/>
          <w:caps w:val="0"/>
          <w:smallCaps w:val="0"/>
          <w:snapToGrid/>
          <w:color w:val="auto"/>
          <w:spacing w:val="0"/>
          <w:w w:val="100"/>
          <w:kern w:val="0"/>
          <w:sz w:val="24"/>
          <w:szCs w:val="24"/>
          <w:highlight w:val="none"/>
          <w:vertAlign w:val="baseline"/>
          <w:lang w:val="en-US" w:eastAsia="zh-CN" w:bidi="ar-SA"/>
        </w:rPr>
        <w:t>数据</w:t>
      </w:r>
      <w:r>
        <w:rPr>
          <w:rFonts w:hint="default" w:cs="Times New Roman"/>
          <w:caps w:val="0"/>
          <w:smallCaps w:val="0"/>
          <w:snapToGrid/>
          <w:color w:val="auto"/>
          <w:spacing w:val="0"/>
          <w:w w:val="100"/>
          <w:kern w:val="0"/>
          <w:sz w:val="24"/>
          <w:szCs w:val="24"/>
          <w:highlight w:val="none"/>
          <w:vertAlign w:val="baseline"/>
          <w:lang w:val="en-US" w:eastAsia="zh-CN" w:bidi="ar-SA"/>
        </w:rPr>
        <w:t>，</w:t>
      </w:r>
      <w:r>
        <w:rPr>
          <w:rFonts w:hint="eastAsia" w:cs="Times New Roman"/>
          <w:caps w:val="0"/>
          <w:smallCaps w:val="0"/>
          <w:snapToGrid/>
          <w:color w:val="auto"/>
          <w:spacing w:val="0"/>
          <w:w w:val="100"/>
          <w:kern w:val="0"/>
          <w:sz w:val="24"/>
          <w:szCs w:val="24"/>
          <w:highlight w:val="none"/>
          <w:vertAlign w:val="baseline"/>
          <w:lang w:val="en-US" w:eastAsia="zh-CN" w:bidi="ar-SA"/>
        </w:rPr>
        <w:t>拟建站址永久占地内土壤满足《土壤环境质量 建设用地土壤污染风险管控标准（试行）》（GB36600-2018）中表1建设用地土壤污染风险筛选值要求，占地外农用地土壤均满足《土壤环境质量 农用地土壤污染风险管控标准》（GB15618-2018）表1中农用地土壤污染风险筛选值要求。</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项目运行期间，站区采取分区防渗措施，防渗性能满足相应防渗标准要求。输液管道耐磨耐防腐，定期巡线，若发生管道泄漏情况，及时处置。项目建设对周围土壤环境的影响可被接受。</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（3）资源利用上线</w:t>
      </w:r>
    </w:p>
    <w:p>
      <w:pPr>
        <w:pStyle w:val="2"/>
        <w:ind w:left="0" w:leftChars="0" w:firstLine="480" w:firstLineChars="200"/>
        <w:rPr>
          <w:rFonts w:hint="default" w:ascii="Times New Roman" w:hAnsi="Times New Roman" w:eastAsia="宋体" w:cs="Times New Roman"/>
          <w:caps w:val="0"/>
          <w:smallCaps w:val="0"/>
          <w:color w:val="auto"/>
          <w:spacing w:val="0"/>
          <w:w w:val="100"/>
          <w:kern w:val="0"/>
          <w:sz w:val="24"/>
          <w:szCs w:val="24"/>
          <w:highlight w:val="none"/>
          <w:lang w:val="en-US" w:eastAsia="zh-CN"/>
        </w:rPr>
      </w:pPr>
      <w:r>
        <w:rPr>
          <w:rFonts w:hint="eastAsia" w:ascii="Times New Roman" w:hAnsi="Times New Roman" w:eastAsia="宋体" w:cs="Times New Roman"/>
          <w:caps w:val="0"/>
          <w:smallCaps w:val="0"/>
          <w:color w:val="auto"/>
          <w:spacing w:val="0"/>
          <w:w w:val="100"/>
          <w:kern w:val="0"/>
          <w:sz w:val="24"/>
          <w:szCs w:val="24"/>
          <w:highlight w:val="none"/>
          <w:lang w:val="en-US" w:eastAsia="zh-CN"/>
        </w:rPr>
        <w:t>本项目建设主要消耗的资源为水资源和土地资源。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color w:val="auto"/>
          <w:spacing w:val="0"/>
          <w:w w:val="100"/>
          <w:kern w:val="0"/>
          <w:sz w:val="24"/>
          <w:szCs w:val="24"/>
          <w:highlight w:val="none"/>
          <w:lang w:val="en-US" w:eastAsia="zh-CN"/>
        </w:rPr>
        <w:t>本次建设</w:t>
      </w:r>
      <w:r>
        <w:rPr>
          <w:rFonts w:hint="eastAsia" w:cs="Times New Roman"/>
          <w:caps w:val="0"/>
          <w:smallCaps w:val="0"/>
          <w:color w:val="auto"/>
          <w:spacing w:val="0"/>
          <w:w w:val="100"/>
          <w:kern w:val="0"/>
          <w:sz w:val="24"/>
          <w:szCs w:val="24"/>
          <w:highlight w:val="none"/>
          <w:lang w:val="en-US" w:eastAsia="zh-CN"/>
        </w:rPr>
        <w:t>3#</w:t>
      </w:r>
      <w:r>
        <w:rPr>
          <w:rFonts w:hint="eastAsia" w:ascii="Times New Roman" w:hAnsi="Times New Roman" w:eastAsia="宋体" w:cs="Times New Roman"/>
          <w:caps w:val="0"/>
          <w:smallCaps w:val="0"/>
          <w:color w:val="auto"/>
          <w:spacing w:val="0"/>
          <w:w w:val="100"/>
          <w:kern w:val="0"/>
          <w:sz w:val="24"/>
          <w:szCs w:val="24"/>
          <w:highlight w:val="none"/>
          <w:lang w:val="en-US" w:eastAsia="zh-CN"/>
        </w:rPr>
        <w:t>服务站内设置12口取水井，</w:t>
      </w:r>
      <w:r>
        <w:rPr>
          <w:rFonts w:hint="eastAsia" w:cs="Times New Roman"/>
          <w:caps w:val="0"/>
          <w:smallCaps w:val="0"/>
          <w:color w:val="auto"/>
          <w:spacing w:val="0"/>
          <w:w w:val="100"/>
          <w:kern w:val="0"/>
          <w:sz w:val="24"/>
          <w:szCs w:val="24"/>
          <w:highlight w:val="none"/>
          <w:lang w:val="en-US" w:eastAsia="zh-CN"/>
        </w:rPr>
        <w:t>取水</w:t>
      </w:r>
      <w:r>
        <w:rPr>
          <w:rFonts w:hint="eastAsia" w:ascii="Times New Roman" w:hAnsi="Times New Roman" w:eastAsia="宋体" w:cs="Times New Roman"/>
          <w:caps w:val="0"/>
          <w:smallCaps w:val="0"/>
          <w:color w:val="auto"/>
          <w:spacing w:val="0"/>
          <w:w w:val="100"/>
          <w:kern w:val="0"/>
          <w:sz w:val="24"/>
          <w:szCs w:val="24"/>
          <w:highlight w:val="none"/>
          <w:lang w:val="en-US" w:eastAsia="zh-CN"/>
        </w:rPr>
        <w:t>用于3#页岩油试验区</w:t>
      </w:r>
      <w:r>
        <w:rPr>
          <w:rFonts w:hint="eastAsia" w:cs="Times New Roman"/>
          <w:caps w:val="0"/>
          <w:smallCaps w:val="0"/>
          <w:color w:val="auto"/>
          <w:spacing w:val="0"/>
          <w:w w:val="100"/>
          <w:kern w:val="0"/>
          <w:sz w:val="24"/>
          <w:szCs w:val="24"/>
          <w:highlight w:val="none"/>
          <w:lang w:val="en-US" w:eastAsia="zh-CN"/>
        </w:rPr>
        <w:t>压裂前期</w:t>
      </w:r>
      <w:r>
        <w:rPr>
          <w:rFonts w:hint="eastAsia" w:cs="Times New Roman"/>
          <w:caps w:val="0"/>
          <w:smallCaps w:val="0"/>
          <w:snapToGrid/>
          <w:color w:val="auto"/>
          <w:spacing w:val="0"/>
          <w:w w:val="100"/>
          <w:kern w:val="0"/>
          <w:sz w:val="24"/>
          <w:szCs w:val="24"/>
          <w:highlight w:val="none"/>
          <w:vertAlign w:val="baseline"/>
          <w:lang w:val="en-US" w:eastAsia="zh-CN" w:bidi="ar-SA"/>
        </w:rPr>
        <w:t>压裂作业使用。当3#页岩油试验区产生压裂返排液，由罐车拉运至3#服务站处置，处理达标的水回用于页岩油试验区压裂作业复配，提高了水资源的重复利用率。</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本项目已进行取水论证，肇源县地下水资源较为丰富，地下水多年平均总补给量为61964×10</w:t>
      </w:r>
      <w:r>
        <w:rPr>
          <w:rFonts w:hint="eastAsia" w:cs="Times New Roman"/>
          <w:caps w:val="0"/>
          <w:smallCaps w:val="0"/>
          <w:snapToGrid/>
          <w:color w:val="auto"/>
          <w:spacing w:val="0"/>
          <w:w w:val="100"/>
          <w:kern w:val="0"/>
          <w:sz w:val="24"/>
          <w:szCs w:val="24"/>
          <w:highlight w:val="none"/>
          <w:vertAlign w:val="superscript"/>
          <w:lang w:val="en-US" w:eastAsia="zh-CN" w:bidi="ar-SA"/>
        </w:rPr>
        <w:t>4</w:t>
      </w:r>
      <w:r>
        <w:rPr>
          <w:rFonts w:hint="eastAsia" w:cs="Times New Roman"/>
          <w:caps w:val="0"/>
          <w:smallCaps w:val="0"/>
          <w:snapToGrid/>
          <w:color w:val="auto"/>
          <w:spacing w:val="0"/>
          <w:w w:val="100"/>
          <w:kern w:val="0"/>
          <w:sz w:val="24"/>
          <w:szCs w:val="24"/>
          <w:highlight w:val="none"/>
          <w:vertAlign w:val="baseline"/>
          <w:lang w:val="en-US" w:eastAsia="zh-CN" w:bidi="ar-SA"/>
        </w:rPr>
        <w:t>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，可开采量为50300×10</w:t>
      </w:r>
      <w:r>
        <w:rPr>
          <w:rFonts w:hint="eastAsia" w:cs="Times New Roman"/>
          <w:caps w:val="0"/>
          <w:smallCaps w:val="0"/>
          <w:snapToGrid/>
          <w:color w:val="auto"/>
          <w:spacing w:val="0"/>
          <w:w w:val="100"/>
          <w:kern w:val="0"/>
          <w:sz w:val="24"/>
          <w:szCs w:val="24"/>
          <w:highlight w:val="none"/>
          <w:vertAlign w:val="superscript"/>
          <w:lang w:val="en-US" w:eastAsia="zh-CN" w:bidi="ar-SA"/>
        </w:rPr>
        <w:t>4</w:t>
      </w:r>
      <w:r>
        <w:rPr>
          <w:rFonts w:hint="eastAsia" w:cs="Times New Roman"/>
          <w:caps w:val="0"/>
          <w:smallCaps w:val="0"/>
          <w:snapToGrid/>
          <w:color w:val="auto"/>
          <w:spacing w:val="0"/>
          <w:w w:val="100"/>
          <w:kern w:val="0"/>
          <w:sz w:val="24"/>
          <w:szCs w:val="24"/>
          <w:highlight w:val="none"/>
          <w:vertAlign w:val="baseline"/>
          <w:lang w:val="en-US" w:eastAsia="zh-CN" w:bidi="ar-SA"/>
        </w:rPr>
        <w:t>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，现状地下水总开采量为16011×10</w:t>
      </w:r>
      <w:r>
        <w:rPr>
          <w:rFonts w:hint="eastAsia" w:cs="Times New Roman"/>
          <w:caps w:val="0"/>
          <w:smallCaps w:val="0"/>
          <w:snapToGrid/>
          <w:color w:val="auto"/>
          <w:spacing w:val="0"/>
          <w:w w:val="100"/>
          <w:kern w:val="0"/>
          <w:sz w:val="24"/>
          <w:szCs w:val="24"/>
          <w:highlight w:val="none"/>
          <w:vertAlign w:val="superscript"/>
          <w:lang w:val="en-US" w:eastAsia="zh-CN" w:bidi="ar-SA"/>
        </w:rPr>
        <w:t>4</w:t>
      </w:r>
      <w:r>
        <w:rPr>
          <w:rFonts w:hint="eastAsia" w:cs="Times New Roman"/>
          <w:caps w:val="0"/>
          <w:smallCaps w:val="0"/>
          <w:snapToGrid/>
          <w:color w:val="auto"/>
          <w:spacing w:val="0"/>
          <w:w w:val="100"/>
          <w:kern w:val="0"/>
          <w:sz w:val="24"/>
          <w:szCs w:val="24"/>
          <w:highlight w:val="none"/>
          <w:vertAlign w:val="baseline"/>
          <w:lang w:val="en-US" w:eastAsia="zh-CN" w:bidi="ar-SA"/>
        </w:rPr>
        <w:t>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，占可开采量的31.8%。项目取水层为第四系林甸组和泰康组浅层含水层，可开采量为699.26×10</w:t>
      </w:r>
      <w:r>
        <w:rPr>
          <w:rFonts w:hint="eastAsia" w:cs="Times New Roman"/>
          <w:caps w:val="0"/>
          <w:smallCaps w:val="0"/>
          <w:snapToGrid/>
          <w:color w:val="auto"/>
          <w:spacing w:val="0"/>
          <w:w w:val="100"/>
          <w:kern w:val="0"/>
          <w:sz w:val="24"/>
          <w:szCs w:val="24"/>
          <w:highlight w:val="none"/>
          <w:vertAlign w:val="superscript"/>
          <w:lang w:val="en-US" w:eastAsia="zh-CN" w:bidi="ar-SA"/>
        </w:rPr>
        <w:t>4</w:t>
      </w:r>
      <w:r>
        <w:rPr>
          <w:rFonts w:hint="eastAsia" w:cs="Times New Roman"/>
          <w:caps w:val="0"/>
          <w:smallCaps w:val="0"/>
          <w:snapToGrid/>
          <w:color w:val="auto"/>
          <w:spacing w:val="0"/>
          <w:w w:val="100"/>
          <w:kern w:val="0"/>
          <w:sz w:val="24"/>
          <w:szCs w:val="24"/>
          <w:highlight w:val="none"/>
          <w:vertAlign w:val="baseline"/>
          <w:lang w:val="en-US" w:eastAsia="zh-CN" w:bidi="ar-SA"/>
        </w:rPr>
        <w:t>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/a，现状年开采量为7.62×10</w:t>
      </w:r>
      <w:r>
        <w:rPr>
          <w:rFonts w:hint="eastAsia" w:cs="Times New Roman"/>
          <w:caps w:val="0"/>
          <w:smallCaps w:val="0"/>
          <w:snapToGrid/>
          <w:color w:val="auto"/>
          <w:spacing w:val="0"/>
          <w:w w:val="100"/>
          <w:kern w:val="0"/>
          <w:sz w:val="24"/>
          <w:szCs w:val="24"/>
          <w:highlight w:val="none"/>
          <w:vertAlign w:val="superscript"/>
          <w:lang w:val="en-US" w:eastAsia="zh-CN" w:bidi="ar-SA"/>
        </w:rPr>
        <w:t>4</w:t>
      </w:r>
      <w:r>
        <w:rPr>
          <w:rFonts w:hint="eastAsia" w:cs="Times New Roman"/>
          <w:caps w:val="0"/>
          <w:smallCaps w:val="0"/>
          <w:snapToGrid/>
          <w:color w:val="auto"/>
          <w:spacing w:val="0"/>
          <w:w w:val="100"/>
          <w:kern w:val="0"/>
          <w:sz w:val="24"/>
          <w:szCs w:val="24"/>
          <w:highlight w:val="none"/>
          <w:vertAlign w:val="baseline"/>
          <w:lang w:val="en-US" w:eastAsia="zh-CN" w:bidi="ar-SA"/>
        </w:rPr>
        <w:t>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/a，现状开采率为1.0%。现状地下水处于可开采状态，地下水位稳定，项目取水量约为50万m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/a，项目所在区域地下水使用现状主要为城镇用水及农田灌溉用水，项目对水资源的利用不会造成区域地下水过度开采。</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项目永久占地为3#服务站占地，根据建设单位提供资料，主要占用未利用地。项目为页岩油开采配套工程，为国家重点能源建设的配套工程，对照大庆市三区三线划定成果进行，站址不占用生态保护红线，不占用永久基本农田，远离城镇开发边界，对土地资源的利用可被接受。</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（4）生态环境准入清单</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项目与肇源县生态准入清单符合性分析详见下表。项目环境管控单元分布图间附图1。</w:t>
      </w:r>
    </w:p>
    <w:p>
      <w:pPr>
        <w:rPr>
          <w:rFonts w:hint="default" w:ascii="Times New Roman" w:hAnsi="Times New Roman" w:eastAsia="宋体" w:cs="Times New Roman"/>
          <w:b/>
          <w:bCs/>
          <w:caps w:val="0"/>
          <w:smallCaps w:val="0"/>
          <w:color w:val="auto"/>
          <w:spacing w:val="0"/>
          <w:w w:val="100"/>
          <w:kern w:val="0"/>
          <w:sz w:val="21"/>
          <w:szCs w:val="21"/>
          <w:highlight w:val="none"/>
          <w:lang w:val="en-US" w:eastAsia="zh-CN" w:bidi="ar-SA"/>
        </w:rPr>
      </w:pPr>
      <w:r>
        <w:rPr>
          <w:rFonts w:hint="default" w:ascii="Times New Roman" w:hAnsi="Times New Roman" w:eastAsia="宋体" w:cs="Times New Roman"/>
          <w:b/>
          <w:bCs/>
          <w:caps w:val="0"/>
          <w:smallCaps w:val="0"/>
          <w:color w:val="auto"/>
          <w:spacing w:val="0"/>
          <w:w w:val="100"/>
          <w:kern w:val="0"/>
          <w:sz w:val="21"/>
          <w:szCs w:val="21"/>
          <w:highlight w:val="none"/>
          <w:lang w:val="en-US" w:eastAsia="zh-CN" w:bidi="ar-SA"/>
        </w:rPr>
        <w:br w:type="page"/>
      </w:r>
    </w:p>
    <w:p>
      <w:pPr>
        <w:pStyle w:val="4"/>
        <w:jc w:val="center"/>
        <w:rPr>
          <w:rFonts w:hint="default" w:ascii="Times New Roman" w:hAnsi="Times New Roman" w:eastAsia="宋体" w:cs="Times New Roman"/>
          <w:b/>
          <w:bCs/>
          <w:caps w:val="0"/>
          <w:smallCaps w:val="0"/>
          <w:color w:val="auto"/>
          <w:spacing w:val="0"/>
          <w:w w:val="100"/>
          <w:kern w:val="0"/>
          <w:sz w:val="21"/>
          <w:szCs w:val="21"/>
          <w:highlight w:val="none"/>
          <w:lang w:val="en-US" w:eastAsia="zh-CN" w:bidi="ar-SA"/>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宋体"/>
          <w:b/>
          <w:bCs/>
          <w:smallCaps w:val="0"/>
          <w:color w:val="auto"/>
          <w:kern w:val="2"/>
          <w:sz w:val="21"/>
          <w:szCs w:val="21"/>
          <w:highlight w:val="none"/>
          <w:lang w:val="en-US" w:eastAsia="zh-CN" w:bidi="ar-SA"/>
        </w:rPr>
      </w:pPr>
      <w:r>
        <w:rPr>
          <w:rFonts w:hint="default" w:ascii="Times New Roman" w:hAnsi="Times New Roman" w:eastAsia="宋体" w:cs="宋体"/>
          <w:b/>
          <w:bCs/>
          <w:smallCaps w:val="0"/>
          <w:color w:val="auto"/>
          <w:kern w:val="2"/>
          <w:sz w:val="21"/>
          <w:szCs w:val="21"/>
          <w:highlight w:val="none"/>
          <w:lang w:val="en-US" w:eastAsia="zh-CN" w:bidi="ar-SA"/>
        </w:rPr>
        <w:t>表</w:t>
      </w:r>
      <w:r>
        <w:rPr>
          <w:rFonts w:hint="eastAsia" w:ascii="Times New Roman" w:hAnsi="Times New Roman" w:eastAsia="宋体" w:cs="宋体"/>
          <w:b/>
          <w:bCs/>
          <w:smallCaps w:val="0"/>
          <w:color w:val="auto"/>
          <w:kern w:val="2"/>
          <w:sz w:val="21"/>
          <w:szCs w:val="21"/>
          <w:highlight w:val="none"/>
          <w:lang w:val="en-US" w:eastAsia="zh-CN" w:bidi="ar-SA"/>
        </w:rPr>
        <w:t>1.4-</w:t>
      </w:r>
      <w:r>
        <w:rPr>
          <w:rFonts w:hint="eastAsia" w:cs="宋体"/>
          <w:b/>
          <w:bCs/>
          <w:smallCaps w:val="0"/>
          <w:color w:val="auto"/>
          <w:kern w:val="2"/>
          <w:sz w:val="21"/>
          <w:szCs w:val="21"/>
          <w:highlight w:val="none"/>
          <w:lang w:val="en-US" w:eastAsia="zh-CN" w:bidi="ar-SA"/>
        </w:rPr>
        <w:t>9</w:t>
      </w:r>
      <w:r>
        <w:rPr>
          <w:rFonts w:hint="default" w:ascii="Times New Roman" w:hAnsi="Times New Roman" w:eastAsia="宋体" w:cs="宋体"/>
          <w:b/>
          <w:bCs/>
          <w:smallCaps w:val="0"/>
          <w:color w:val="auto"/>
          <w:kern w:val="2"/>
          <w:sz w:val="21"/>
          <w:szCs w:val="21"/>
          <w:highlight w:val="none"/>
          <w:lang w:val="en-US" w:eastAsia="zh-CN" w:bidi="ar-SA"/>
        </w:rPr>
        <w:t>与大庆市肇源县生态准入清单符合性分析</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03"/>
        <w:gridCol w:w="1050"/>
        <w:gridCol w:w="721"/>
        <w:gridCol w:w="912"/>
        <w:gridCol w:w="5411"/>
        <w:gridCol w:w="4193"/>
        <w:gridCol w:w="98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903" w:type="dxa"/>
            <w:tcBorders>
              <w:tl2br w:val="nil"/>
              <w:tr2bl w:val="nil"/>
            </w:tcBorders>
            <w:vAlign w:val="center"/>
          </w:tcPr>
          <w:p>
            <w:pPr>
              <w:widowControl w:val="0"/>
              <w:kinsoku/>
              <w:adjustRightInd/>
              <w:snapToGrid/>
              <w:spacing w:line="360" w:lineRule="auto"/>
              <w:jc w:val="center"/>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snapToGrid/>
                <w:color w:val="auto"/>
                <w:kern w:val="2"/>
                <w:highlight w:val="none"/>
              </w:rPr>
              <w:t>环境管控单元编码</w:t>
            </w:r>
          </w:p>
        </w:tc>
        <w:tc>
          <w:tcPr>
            <w:tcW w:w="1050" w:type="dxa"/>
            <w:tcBorders>
              <w:tl2br w:val="nil"/>
              <w:tr2bl w:val="nil"/>
            </w:tcBorders>
            <w:vAlign w:val="center"/>
          </w:tcPr>
          <w:p>
            <w:pPr>
              <w:widowControl w:val="0"/>
              <w:kinsoku/>
              <w:adjustRightInd/>
              <w:snapToGrid/>
              <w:spacing w:line="360" w:lineRule="auto"/>
              <w:jc w:val="center"/>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snapToGrid/>
                <w:color w:val="auto"/>
                <w:kern w:val="2"/>
                <w:highlight w:val="none"/>
              </w:rPr>
              <w:t>环境管控单元名称</w:t>
            </w:r>
          </w:p>
        </w:tc>
        <w:tc>
          <w:tcPr>
            <w:tcW w:w="721" w:type="dxa"/>
            <w:tcBorders>
              <w:tl2br w:val="nil"/>
              <w:tr2bl w:val="nil"/>
            </w:tcBorders>
            <w:vAlign w:val="center"/>
          </w:tcPr>
          <w:p>
            <w:pPr>
              <w:widowControl w:val="0"/>
              <w:kinsoku/>
              <w:adjustRightInd/>
              <w:snapToGrid/>
              <w:spacing w:line="360" w:lineRule="auto"/>
              <w:jc w:val="center"/>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snapToGrid/>
                <w:color w:val="auto"/>
                <w:kern w:val="2"/>
                <w:highlight w:val="none"/>
              </w:rPr>
              <w:t>管控单元类别</w:t>
            </w:r>
          </w:p>
        </w:tc>
        <w:tc>
          <w:tcPr>
            <w:tcW w:w="6323" w:type="dxa"/>
            <w:gridSpan w:val="2"/>
            <w:tcBorders>
              <w:tl2br w:val="nil"/>
              <w:tr2bl w:val="nil"/>
            </w:tcBorders>
            <w:vAlign w:val="center"/>
          </w:tcPr>
          <w:p>
            <w:pPr>
              <w:widowControl w:val="0"/>
              <w:kinsoku/>
              <w:adjustRightInd/>
              <w:snapToGrid/>
              <w:spacing w:line="360" w:lineRule="auto"/>
              <w:jc w:val="center"/>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snapToGrid/>
                <w:color w:val="auto"/>
                <w:kern w:val="2"/>
                <w:highlight w:val="none"/>
              </w:rPr>
              <w:t>管控要求</w:t>
            </w:r>
          </w:p>
        </w:tc>
        <w:tc>
          <w:tcPr>
            <w:tcW w:w="4193" w:type="dxa"/>
            <w:tcBorders>
              <w:tl2br w:val="nil"/>
              <w:tr2bl w:val="nil"/>
            </w:tcBorders>
            <w:vAlign w:val="center"/>
          </w:tcPr>
          <w:p>
            <w:pPr>
              <w:widowControl w:val="0"/>
              <w:kinsoku/>
              <w:adjustRightInd/>
              <w:snapToGrid/>
              <w:spacing w:line="36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eastAsia="宋体" w:cs="Times New Roman"/>
                <w:snapToGrid/>
                <w:color w:val="auto"/>
                <w:kern w:val="2"/>
                <w:highlight w:val="none"/>
                <w:lang w:val="en-US" w:eastAsia="zh-CN"/>
              </w:rPr>
              <w:t>本</w:t>
            </w:r>
            <w:r>
              <w:rPr>
                <w:rFonts w:hint="default" w:ascii="Times New Roman" w:hAnsi="Times New Roman" w:eastAsia="宋体" w:cs="Times New Roman"/>
                <w:snapToGrid/>
                <w:color w:val="auto"/>
                <w:kern w:val="2"/>
                <w:highlight w:val="none"/>
              </w:rPr>
              <w:t>项目</w:t>
            </w:r>
          </w:p>
        </w:tc>
        <w:tc>
          <w:tcPr>
            <w:tcW w:w="984" w:type="dxa"/>
            <w:tcBorders>
              <w:tl2br w:val="nil"/>
              <w:tr2bl w:val="nil"/>
            </w:tcBorders>
            <w:vAlign w:val="center"/>
          </w:tcPr>
          <w:p>
            <w:pPr>
              <w:widowControl w:val="0"/>
              <w:kinsoku/>
              <w:adjustRightInd/>
              <w:snapToGrid/>
              <w:spacing w:line="360" w:lineRule="auto"/>
              <w:jc w:val="center"/>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snapToGrid/>
                <w:color w:val="auto"/>
                <w:kern w:val="2"/>
                <w:highlight w:val="none"/>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03" w:type="dxa"/>
            <w:vMerge w:val="restart"/>
            <w:tcBorders>
              <w:tl2br w:val="nil"/>
              <w:tr2bl w:val="nil"/>
            </w:tcBorders>
            <w:vAlign w:val="center"/>
          </w:tcPr>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ZH23062230002</w:t>
            </w:r>
          </w:p>
        </w:tc>
        <w:tc>
          <w:tcPr>
            <w:tcW w:w="1050" w:type="dxa"/>
            <w:vMerge w:val="restart"/>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其他区域</w:t>
            </w:r>
          </w:p>
        </w:tc>
        <w:tc>
          <w:tcPr>
            <w:tcW w:w="721" w:type="dxa"/>
            <w:vMerge w:val="restart"/>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一般管控单元</w:t>
            </w:r>
          </w:p>
        </w:tc>
        <w:tc>
          <w:tcPr>
            <w:tcW w:w="912" w:type="dxa"/>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空间布局约束</w:t>
            </w:r>
          </w:p>
        </w:tc>
        <w:tc>
          <w:tcPr>
            <w:tcW w:w="5411" w:type="dxa"/>
            <w:tcBorders>
              <w:tl2br w:val="nil"/>
              <w:tr2bl w:val="nil"/>
            </w:tcBorders>
            <w:vAlign w:val="center"/>
          </w:tcPr>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1.贯彻实施国家与黑龙江省大气、水污染相关各项标准，深化重点行业污染治理，推进国家和地方确定的各项产业结构调整措施。</w:t>
            </w:r>
          </w:p>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引导工业项目向开发区集中，促进产业集聚、资源集约、绿色发展。对电力、钢铁、建材、有色、化工、石油石化、煤炭、印染等行业中，环保、能耗等不达标或生产、使用淘汰类产品的企业和产能，依法依规改造升级或有序退出。</w:t>
            </w:r>
          </w:p>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2.建设用地污染风险管控区同时执行以下准入要求：</w:t>
            </w:r>
          </w:p>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各级自然资源等部门在编制土地利用总体规划、城市总体规划、控制性详细规划等相关规划时，应充分考虑污染地块的环境风险，合理确定土地用途。</w:t>
            </w:r>
          </w:p>
        </w:tc>
        <w:tc>
          <w:tcPr>
            <w:tcW w:w="4193" w:type="dxa"/>
            <w:tcBorders>
              <w:tl2br w:val="nil"/>
              <w:tr2bl w:val="nil"/>
            </w:tcBorders>
            <w:vAlign w:val="center"/>
          </w:tcPr>
          <w:p>
            <w:pPr>
              <w:pStyle w:val="18"/>
              <w:spacing w:line="360" w:lineRule="exact"/>
              <w:ind w:firstLine="0" w:firstLineChars="0"/>
              <w:jc w:val="both"/>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1.本项目为工业废水集中处理项目，为页岩油开采配套工程；项目处理3#页岩油试验区产生的压裂返排液，处理达标的水回用于页岩油试验区压裂复配，提高水资源的重复利用率。</w:t>
            </w:r>
          </w:p>
          <w:p>
            <w:pPr>
              <w:pStyle w:val="18"/>
              <w:spacing w:line="360" w:lineRule="exact"/>
              <w:ind w:firstLine="0" w:firstLineChars="0"/>
              <w:jc w:val="both"/>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2.项目废水处理服务站站址建设为永久占地，根据建设单位提供资料，主要占用未利用地，不属于</w:t>
            </w:r>
            <w:r>
              <w:rPr>
                <w:rFonts w:hint="default" w:ascii="Times New Roman" w:hAnsi="Times New Roman" w:cs="Times New Roman"/>
                <w:color w:val="auto"/>
                <w:kern w:val="0"/>
                <w:sz w:val="21"/>
                <w:szCs w:val="21"/>
                <w:highlight w:val="none"/>
                <w:lang w:val="en-US" w:eastAsia="zh-CN"/>
              </w:rPr>
              <w:t>建设用地污染风险管控区</w:t>
            </w:r>
            <w:r>
              <w:rPr>
                <w:rFonts w:hint="eastAsia" w:ascii="Times New Roman" w:hAnsi="Times New Roman" w:cs="Times New Roman"/>
                <w:color w:val="auto"/>
                <w:kern w:val="0"/>
                <w:sz w:val="21"/>
                <w:szCs w:val="21"/>
                <w:highlight w:val="none"/>
                <w:lang w:val="en-US" w:eastAsia="zh-CN"/>
              </w:rPr>
              <w:t>。站内采取分区防渗措施，防渗性能满足相应防渗标准要求。运行期间，对输液管道定期巡线，对管道内外定期进行检查，若发生管道泄漏情况，及时处置。减低环境污染的风险。</w:t>
            </w:r>
          </w:p>
        </w:tc>
        <w:tc>
          <w:tcPr>
            <w:tcW w:w="984"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03" w:type="dxa"/>
            <w:vMerge w:val="continue"/>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p>
        </w:tc>
        <w:tc>
          <w:tcPr>
            <w:tcW w:w="1050" w:type="dxa"/>
            <w:vMerge w:val="continue"/>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p>
        </w:tc>
        <w:tc>
          <w:tcPr>
            <w:tcW w:w="721" w:type="dxa"/>
            <w:vMerge w:val="continue"/>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p>
        </w:tc>
        <w:tc>
          <w:tcPr>
            <w:tcW w:w="912" w:type="dxa"/>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环境风险防控</w:t>
            </w:r>
          </w:p>
        </w:tc>
        <w:tc>
          <w:tcPr>
            <w:tcW w:w="5411" w:type="dxa"/>
            <w:tcBorders>
              <w:tl2br w:val="nil"/>
              <w:tr2bl w:val="nil"/>
            </w:tcBorders>
            <w:vAlign w:val="center"/>
          </w:tcPr>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建设用地污染风险管控区同时执行以下准入要求：</w:t>
            </w:r>
          </w:p>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各级自然资源等部门在编制土地利用总体规划、城市总体规划、控制性详细规划等相关规划时，应充分考虑污染地块的环境风险，合理确定土地用途。</w:t>
            </w:r>
          </w:p>
        </w:tc>
        <w:tc>
          <w:tcPr>
            <w:tcW w:w="4193" w:type="dxa"/>
            <w:tcBorders>
              <w:tl2br w:val="nil"/>
              <w:tr2bl w:val="nil"/>
            </w:tcBorders>
            <w:vAlign w:val="center"/>
          </w:tcPr>
          <w:p>
            <w:pPr>
              <w:pStyle w:val="18"/>
              <w:spacing w:line="360" w:lineRule="exact"/>
              <w:ind w:firstLine="0" w:firstLineChars="0"/>
              <w:jc w:val="both"/>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根据建设单位提供资料，站址建设主要占用未利用地，不属于</w:t>
            </w:r>
            <w:r>
              <w:rPr>
                <w:rFonts w:hint="default" w:ascii="Times New Roman" w:hAnsi="Times New Roman" w:cs="Times New Roman"/>
                <w:color w:val="auto"/>
                <w:kern w:val="0"/>
                <w:sz w:val="21"/>
                <w:szCs w:val="21"/>
                <w:highlight w:val="none"/>
                <w:lang w:val="en-US" w:eastAsia="zh-CN"/>
              </w:rPr>
              <w:t>建设用地污染风险管控区</w:t>
            </w:r>
            <w:r>
              <w:rPr>
                <w:rFonts w:hint="eastAsia" w:ascii="Times New Roman" w:hAnsi="Times New Roman" w:cs="Times New Roman"/>
                <w:color w:val="auto"/>
                <w:kern w:val="0"/>
                <w:sz w:val="21"/>
                <w:szCs w:val="21"/>
                <w:highlight w:val="none"/>
                <w:lang w:val="en-US" w:eastAsia="zh-CN"/>
              </w:rPr>
              <w:t>。</w:t>
            </w:r>
          </w:p>
          <w:p>
            <w:pPr>
              <w:pStyle w:val="18"/>
              <w:spacing w:line="360" w:lineRule="exact"/>
              <w:ind w:firstLine="0" w:firstLineChars="0"/>
              <w:jc w:val="both"/>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运行期间，站内分区防渗措施；卸车平台、危废暂存间、预处理车间、污油储罐区、储液池区域、事故池、初期雨水收集池，采取重点防渗措施；危废暂存间防渗性能满足《危险废物贮存污染控制标准》（GB18597-2023）防渗要求，其余区域满足《环境影响评价技术导则 地下水环境》（HJ610-2018）重点防渗性能要求。</w:t>
            </w:r>
          </w:p>
          <w:p>
            <w:pPr>
              <w:pStyle w:val="18"/>
              <w:spacing w:line="360" w:lineRule="exact"/>
              <w:ind w:firstLine="0" w:firstLineChars="0"/>
              <w:jc w:val="both"/>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库房、配电间、值班室、消防水罐区、办公用房采取一般防渗措施，满足《环境影响评价技术导则 地下水环境》（HJ610-2018）一般防渗性能要求。</w:t>
            </w:r>
          </w:p>
          <w:p>
            <w:pPr>
              <w:pStyle w:val="18"/>
              <w:spacing w:line="360" w:lineRule="exact"/>
              <w:ind w:firstLine="0" w:firstLineChars="0"/>
              <w:jc w:val="both"/>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其他区域进行简单防渗，满足《环境影响评价技术导则 地下水环境》（HJ610-2018）简单防渗性能要求。</w:t>
            </w:r>
          </w:p>
          <w:p>
            <w:pPr>
              <w:pStyle w:val="18"/>
              <w:spacing w:line="360" w:lineRule="exact"/>
              <w:ind w:firstLine="0" w:firstLineChars="0"/>
              <w:jc w:val="both"/>
              <w:rPr>
                <w:rFonts w:hint="default"/>
                <w:color w:val="auto"/>
                <w:highlight w:val="none"/>
                <w:lang w:val="en-US" w:eastAsia="zh-CN"/>
              </w:rPr>
            </w:pPr>
            <w:r>
              <w:rPr>
                <w:rFonts w:hint="default" w:ascii="Times New Roman" w:hAnsi="Times New Roman" w:cs="Times New Roman"/>
                <w:color w:val="auto"/>
                <w:kern w:val="0"/>
                <w:sz w:val="21"/>
                <w:szCs w:val="21"/>
                <w:highlight w:val="none"/>
                <w:lang w:val="en-US" w:eastAsia="zh-CN"/>
              </w:rPr>
              <w:t>输液管道采用钢丝网骨架塑料（聚乙烯）复合管，耐磨耐腐蚀；管道防腐性能较好，无需进行额外的防腐工程，管道铺设区域防渗性能满足《环境影响评价技术导则 地下水环境》（HJ610-2018）重点防渗性能要求。</w:t>
            </w:r>
          </w:p>
        </w:tc>
        <w:tc>
          <w:tcPr>
            <w:tcW w:w="984" w:type="dxa"/>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03" w:type="dxa"/>
            <w:tcBorders>
              <w:tl2br w:val="nil"/>
              <w:tr2bl w:val="nil"/>
            </w:tcBorders>
            <w:vAlign w:val="center"/>
          </w:tcPr>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ZH23062230001</w:t>
            </w:r>
          </w:p>
        </w:tc>
        <w:tc>
          <w:tcPr>
            <w:tcW w:w="1050" w:type="dxa"/>
            <w:tcBorders>
              <w:tl2br w:val="nil"/>
              <w:tr2bl w:val="nil"/>
            </w:tcBorders>
            <w:vAlign w:val="center"/>
          </w:tcPr>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肇源县永久基本农田</w:t>
            </w:r>
          </w:p>
        </w:tc>
        <w:tc>
          <w:tcPr>
            <w:tcW w:w="721" w:type="dxa"/>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一般管控单元</w:t>
            </w:r>
          </w:p>
        </w:tc>
        <w:tc>
          <w:tcPr>
            <w:tcW w:w="912" w:type="dxa"/>
            <w:tcBorders>
              <w:tl2br w:val="nil"/>
              <w:tr2bl w:val="nil"/>
            </w:tcBorders>
            <w:vAlign w:val="center"/>
          </w:tcPr>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资源利用效率要求</w:t>
            </w:r>
          </w:p>
        </w:tc>
        <w:tc>
          <w:tcPr>
            <w:tcW w:w="5411" w:type="dxa"/>
            <w:tcBorders>
              <w:tl2br w:val="nil"/>
              <w:tr2bl w:val="nil"/>
            </w:tcBorders>
            <w:vAlign w:val="center"/>
          </w:tcPr>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1.永久基本农田一经划定，任何单位和个人不得擅自占用或改变用途。一般建设项目不得占用永久基本农田。</w:t>
            </w:r>
          </w:p>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2.在永久基本农田集中区域，不得新建可能造成土壤污染的建设项目；已经建成的，应当限期关闭拆除。</w:t>
            </w:r>
          </w:p>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3.禁止任何单位和个人在基本农田保护区内建窑、建房、建坟、挖砂、采石、采矿、取土、堆放固体废弃物或者进行其他破坏基本农田的活动。</w:t>
            </w:r>
          </w:p>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4.禁止任何单位和个人占用基本农田发展林果业和挖塘养鱼。</w:t>
            </w:r>
          </w:p>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5.永久基本农田内不得种植破坏耕作层难以恢复的杨树、桉树、构树等林木，不得种植草坪、草皮等用于绿化装饰的植物，不得种植其他破坏耕作层的植物。</w:t>
            </w:r>
          </w:p>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6.禁止任何单位和个人破坏永久基本农田耕作层。</w:t>
            </w:r>
          </w:p>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7.禁止以设施农用地为名违规占用永久基本农田建设休闲旅游、仓储厂房等设施。</w:t>
            </w:r>
          </w:p>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8.禁止向农用地排放重金属或者其他有毒有害物质含量超标的污水、污泥，以及可能造成土壤污染的清淤底泥、尾矿、矿渣等。</w:t>
            </w:r>
          </w:p>
          <w:p>
            <w:pPr>
              <w:pStyle w:val="18"/>
              <w:spacing w:line="360" w:lineRule="exact"/>
              <w:ind w:firstLine="0" w:firstLineChars="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位于优先保护单元和重点管控单元内永久基本农田也同时执行此要求。</w:t>
            </w:r>
          </w:p>
        </w:tc>
        <w:tc>
          <w:tcPr>
            <w:tcW w:w="4193" w:type="dxa"/>
            <w:tcBorders>
              <w:tl2br w:val="nil"/>
              <w:tr2bl w:val="nil"/>
            </w:tcBorders>
            <w:vAlign w:val="center"/>
          </w:tcPr>
          <w:p>
            <w:pPr>
              <w:pStyle w:val="18"/>
              <w:numPr>
                <w:ilvl w:val="0"/>
                <w:numId w:val="0"/>
              </w:numPr>
              <w:spacing w:line="360" w:lineRule="exact"/>
              <w:jc w:val="both"/>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1.本项目为页岩油开采配套工程，输液管道施工建设，临时占地占用永久基本农田，已按照相关土地管理法、永久基本农田保护法及条例、黑土地保护法及条例，办理临时占地许可手续。</w:t>
            </w:r>
          </w:p>
          <w:p>
            <w:pPr>
              <w:pStyle w:val="18"/>
              <w:numPr>
                <w:ilvl w:val="0"/>
                <w:numId w:val="0"/>
              </w:numPr>
              <w:spacing w:line="360" w:lineRule="exact"/>
              <w:jc w:val="both"/>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2.项目输液管道建设为线性工程，管道沿G232省道及乡间路铺设，管道大部分沿永久基本农田边界铺设，管道施工结束后，土壤分层回填，表土覆盖至表面。对临时占用耕地进行复垦。</w:t>
            </w:r>
          </w:p>
          <w:p>
            <w:pPr>
              <w:pStyle w:val="18"/>
              <w:numPr>
                <w:ilvl w:val="0"/>
                <w:numId w:val="0"/>
              </w:numPr>
              <w:spacing w:line="360" w:lineRule="exact"/>
              <w:jc w:val="both"/>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3.项目管道建设临时占用永久基本农田，施工前进行表土剥离，施工时，分层开挖，分层堆放，施工结束后，土壤分层回填，表土覆盖表面，对临时占用耕地进行复垦，施工期间产生的固体废物拉运至其他单位处置，施工结束后，现场无固体废物堆存。</w:t>
            </w:r>
          </w:p>
          <w:p>
            <w:pPr>
              <w:pStyle w:val="18"/>
              <w:numPr>
                <w:ilvl w:val="0"/>
                <w:numId w:val="0"/>
              </w:numPr>
              <w:spacing w:line="360" w:lineRule="exact"/>
              <w:jc w:val="both"/>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4.本项目为页岩油开采配套及工业废水处理工程，属于国家重点建设工程，已按照相关土地管理法、永久基本农田保护法及条例、黑土地保护法及条例，办理临时占地许可手续。</w:t>
            </w:r>
          </w:p>
          <w:p>
            <w:pPr>
              <w:pStyle w:val="18"/>
              <w:numPr>
                <w:ilvl w:val="0"/>
                <w:numId w:val="0"/>
              </w:numPr>
              <w:spacing w:line="360" w:lineRule="exact"/>
              <w:jc w:val="both"/>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5.施工前进行表土剥离，施工时，分层开挖，分层堆放，施工结束后，土壤分层回填，表土覆盖表面，对临时占用耕地进行复垦。</w:t>
            </w:r>
          </w:p>
          <w:p>
            <w:pPr>
              <w:pStyle w:val="18"/>
              <w:numPr>
                <w:ilvl w:val="0"/>
                <w:numId w:val="0"/>
              </w:numPr>
              <w:spacing w:line="360" w:lineRule="exact"/>
              <w:jc w:val="both"/>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6.施工前，建设单位指定表土剥离方案，施工时严格实施，剥离表土临时堆放在施工占地内，表面覆盖水土保持毯，定期洒水，防止水土流失，肥力降低。施工结束后，表土覆盖表面。</w:t>
            </w:r>
          </w:p>
          <w:p>
            <w:pPr>
              <w:pStyle w:val="18"/>
              <w:numPr>
                <w:ilvl w:val="0"/>
                <w:numId w:val="0"/>
              </w:numPr>
              <w:spacing w:line="360" w:lineRule="exact"/>
              <w:jc w:val="both"/>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7.项目不涉及休闲旅游、仓储厂房建设。</w:t>
            </w:r>
          </w:p>
          <w:p>
            <w:pPr>
              <w:pStyle w:val="18"/>
              <w:numPr>
                <w:ilvl w:val="0"/>
                <w:numId w:val="0"/>
              </w:numPr>
              <w:spacing w:line="360" w:lineRule="exact"/>
              <w:jc w:val="both"/>
              <w:rPr>
                <w:rFonts w:hint="default"/>
                <w:color w:val="auto"/>
                <w:highlight w:val="none"/>
                <w:lang w:val="en-US" w:eastAsia="zh-CN"/>
              </w:rPr>
            </w:pPr>
            <w:r>
              <w:rPr>
                <w:rFonts w:hint="eastAsia" w:ascii="Times New Roman" w:hAnsi="Times New Roman" w:cs="Times New Roman"/>
                <w:color w:val="auto"/>
                <w:kern w:val="0"/>
                <w:sz w:val="21"/>
                <w:szCs w:val="21"/>
                <w:highlight w:val="none"/>
                <w:lang w:val="en-US" w:eastAsia="zh-CN"/>
              </w:rPr>
              <w:t>8.施工期废水及固废均进入其他单位进行处置，不外排。施工结束后，现场无固废暂留。</w:t>
            </w:r>
          </w:p>
        </w:tc>
        <w:tc>
          <w:tcPr>
            <w:tcW w:w="984" w:type="dxa"/>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符合</w:t>
            </w:r>
          </w:p>
        </w:tc>
      </w:tr>
    </w:tbl>
    <w:p>
      <w:pPr>
        <w:rPr>
          <w:rFonts w:hint="default"/>
          <w:color w:val="auto"/>
          <w:highlight w:val="none"/>
          <w:lang w:val="en-US" w:eastAsia="zh-CN"/>
        </w:rPr>
      </w:pPr>
      <w:r>
        <w:rPr>
          <w:rFonts w:hint="default"/>
          <w:color w:val="auto"/>
          <w:highlight w:val="none"/>
          <w:lang w:val="en-US" w:eastAsia="zh-CN"/>
        </w:rPr>
        <w:br w:type="page"/>
      </w:r>
    </w:p>
    <w:p>
      <w:pPr>
        <w:pStyle w:val="2"/>
        <w:ind w:left="0" w:leftChars="0" w:firstLine="0" w:firstLineChars="0"/>
        <w:rPr>
          <w:rFonts w:hint="default"/>
          <w:color w:val="auto"/>
          <w:highlight w:val="none"/>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1" w:name="_Toc26262"/>
      <w:r>
        <w:rPr>
          <w:rFonts w:hint="default" w:ascii="Times New Roman" w:hAnsi="Times New Roman" w:eastAsia="宋体" w:cs="Times New Roman"/>
          <w:snapToGrid/>
          <w:color w:val="auto"/>
          <w:sz w:val="32"/>
          <w:highlight w:val="none"/>
          <w:lang w:val="en-US" w:eastAsia="zh-CN" w:bidi="ar-SA"/>
        </w:rPr>
        <w:t>1.</w:t>
      </w:r>
      <w:r>
        <w:rPr>
          <w:rFonts w:hint="eastAsia" w:ascii="Times New Roman" w:hAnsi="Times New Roman" w:eastAsia="宋体" w:cs="Times New Roman"/>
          <w:snapToGrid/>
          <w:color w:val="auto"/>
          <w:sz w:val="32"/>
          <w:highlight w:val="none"/>
          <w:lang w:val="en-US" w:eastAsia="zh-CN" w:bidi="ar-SA"/>
        </w:rPr>
        <w:t>5“三区三线”划定成果分析</w:t>
      </w:r>
      <w:bookmarkEnd w:id="11"/>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本项目服务站选址、输液管道路选线与大庆市三区三线划定成果进行对照，服务站站址不占用永久基本农田，管道施工临时占地占用永久基本农田；服务站及输液管铺设路径选线远离生态保护红线、城镇开发边界。</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项目临时占地总面积为184939m</w:t>
      </w:r>
      <w:r>
        <w:rPr>
          <w:rFonts w:hint="eastAsia" w:cs="Times New Roman"/>
          <w:caps w:val="0"/>
          <w:smallCaps w:val="0"/>
          <w:color w:val="auto"/>
          <w:spacing w:val="0"/>
          <w:w w:val="100"/>
          <w:kern w:val="0"/>
          <w:sz w:val="24"/>
          <w:szCs w:val="24"/>
          <w:highlight w:val="none"/>
          <w:vertAlign w:val="superscript"/>
          <w:lang w:val="en-US" w:eastAsia="zh-CN"/>
        </w:rPr>
        <w:t>2</w:t>
      </w:r>
      <w:r>
        <w:rPr>
          <w:rFonts w:hint="eastAsia" w:cs="Times New Roman"/>
          <w:caps w:val="0"/>
          <w:smallCaps w:val="0"/>
          <w:color w:val="auto"/>
          <w:spacing w:val="0"/>
          <w:w w:val="100"/>
          <w:kern w:val="0"/>
          <w:sz w:val="24"/>
          <w:szCs w:val="24"/>
          <w:highlight w:val="none"/>
          <w:lang w:val="en-US" w:eastAsia="zh-CN"/>
        </w:rPr>
        <w:t>，其中永久农田占用169093m</w:t>
      </w:r>
      <w:r>
        <w:rPr>
          <w:rFonts w:hint="eastAsia" w:cs="Times New Roman"/>
          <w:caps w:val="0"/>
          <w:smallCaps w:val="0"/>
          <w:color w:val="auto"/>
          <w:spacing w:val="0"/>
          <w:w w:val="100"/>
          <w:kern w:val="0"/>
          <w:sz w:val="24"/>
          <w:szCs w:val="24"/>
          <w:highlight w:val="none"/>
          <w:vertAlign w:val="superscript"/>
          <w:lang w:val="en-US" w:eastAsia="zh-CN"/>
        </w:rPr>
        <w:t>2</w:t>
      </w:r>
      <w:r>
        <w:rPr>
          <w:rFonts w:hint="eastAsia" w:cs="Times New Roman"/>
          <w:caps w:val="0"/>
          <w:smallCaps w:val="0"/>
          <w:color w:val="auto"/>
          <w:spacing w:val="0"/>
          <w:w w:val="100"/>
          <w:kern w:val="0"/>
          <w:sz w:val="24"/>
          <w:szCs w:val="24"/>
          <w:highlight w:val="none"/>
          <w:lang w:val="en-US" w:eastAsia="zh-CN"/>
        </w:rPr>
        <w:t>。建设单位已按照相关土地管理法、永久基本农田保护法及条例、黑土地保护法及条例，办理临时占地许可手续。</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根据《建设占用耕地耕作层土壤剥离利用技术规范》（DB23/T2913-2021）及《黑龙江省人民政府办公厅关于建设占用耕地耕作层土壤剥离利用工作的指导意见》等规范，制定了表土剥离方案，表土剥离厚度为30cm。</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项目施工前，严格执行表土剥离方案，施工时，土壤分层开挖，分层堆放，剥离的表土堆放在临时占地内，表面覆盖水土保持毯，定期洒水，防止水土流失，肥力降低。施工结束后，分层回填，表土回填至表面。施工废水及固废均进入其他单位进行处置，不外排至周围环境。施工结束后，保证现场无固废堆存。</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对临时占用的永久基本农田进行复垦，复垦率为100%，复垦质量满足《土地复垦质量控制标准》（TD/T1036-2013）中规定的要求，要求临时占地内农作物生产能力恢复至施工前原有水平。</w:t>
      </w:r>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12" w:name="_Toc4835"/>
      <w:r>
        <w:rPr>
          <w:rFonts w:hint="eastAsia" w:ascii="Times New Roman" w:hAnsi="Times New Roman" w:eastAsia="宋体" w:cs="Times New Roman"/>
          <w:snapToGrid/>
          <w:color w:val="auto"/>
          <w:sz w:val="32"/>
          <w:highlight w:val="none"/>
          <w:lang w:val="en-US" w:eastAsia="zh-CN" w:bidi="ar-SA"/>
        </w:rPr>
        <w:t>1.6</w:t>
      </w:r>
      <w:r>
        <w:rPr>
          <w:rFonts w:hint="default" w:ascii="Times New Roman" w:hAnsi="Times New Roman" w:eastAsia="宋体" w:cs="Times New Roman"/>
          <w:snapToGrid/>
          <w:color w:val="auto"/>
          <w:sz w:val="32"/>
          <w:highlight w:val="none"/>
          <w:lang w:val="en-US" w:eastAsia="zh-CN" w:bidi="ar-SA"/>
        </w:rPr>
        <w:t>工程选址环境合理性分析</w:t>
      </w:r>
      <w:bookmarkEnd w:id="12"/>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本项目新建废水处理服务站站址位于大庆市肇源县发展村东侧空地处，其中新建的3条管道由3#服务站西北角出线，沿西北向北布设，管道整体呈南北走向，途径道宝村、鸭木蛋格屯及古龙镇等。管道终点由西南侧接入已建的2#服务站。剩余2条由已建的2#服务站站址西北侧出线，向北侧并列铺设，与1#服务站已建的输液管道连接。</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对照项目选址、选线与大庆市“三区三线”划定成果位置关系，项目永久占地不涉及环境敏感区；管道施工临时占地占用永久基本农田，建设单位已按照相关土地管理法、永久基本农田保护法及条例、黑土地保护法及条例，办理临时占地许可手续。</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本项目属于页岩油开采配套及工业废水处理工程，处理页岩油开采产生的压裂返排液，根据工程设计及现场勘查，项目管道建设确实无法避让永久基本农田，建设单位已办理临时占地许可手续。</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管道铺设区域地势平坦，坡度小于25度，建设单位已按照《建设占用耕地耕作层土壤剥离利用技术规范》（DB23/T2913-2021）及《黑龙江省人民政府办公厅关于建设占用耕地耕作层土壤剥离利用工作的指导意见》等规范，制定了表土剥离方案，表土剥离厚度为30cm。</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施工期间严格控制施工占地，项目不涉及建窑、建房、建坟、挖沙、采石、采矿、取土作业。施工结束后，施工期废水及固废均进入其他单位进行处置，不外排至周围环境，现场无固废堆存。对临时占用的耕地进行复垦，复垦率为100%，复垦质量满足《土地复垦质量控制标准》（TD/T1036-2013）中规定的要求，要求临时占地内农作物生产能力恢复至施工前原有水平。</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项目建设符合《自然资源部关于规范临时用地管理的通知》（自然资规〔2021〕2号）、《自然资源部农业农村部关于加强和改进永久基本农田保护工作的通知》（自然资规〔2019〕1号）及《自然资源部关于进一步做好用地用海要素保障的通知》（自然资发〔2023〕89号）要求。</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同时项目占地范围内无国家公园、自然保护区、风景名胜区、世界文化和自然遗产地、海洋特别保护区、饮用水源保护区、基本草原、自然公园（森林公园、地质公园、海洋公园等）、重要湿地、天然林、生态红线管控范围、重点保护野生动物栖息地、重点保护野生植物生长繁殖地、重要水生生物的自然产卵场、索饵场、越冬场和洄游通道、天然渔场、沙化土地封禁保护区、封闭及半封闭海域等重要保护目标。</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通过环境影响分析可知，本工程建设实施后周围环境质量能满足相关标准要求，对周围的环境影响均在可接受的范围内。因此，本工程选址在环境保护方面较合理。</w:t>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3" w:name="_Toc25482"/>
      <w:r>
        <w:rPr>
          <w:rFonts w:hint="eastAsia" w:ascii="Times New Roman" w:hAnsi="Times New Roman" w:eastAsia="宋体" w:cs="Times New Roman"/>
          <w:snapToGrid/>
          <w:color w:val="auto"/>
          <w:sz w:val="32"/>
          <w:highlight w:val="none"/>
          <w:lang w:val="en-US" w:eastAsia="zh-CN" w:bidi="ar-SA"/>
        </w:rPr>
        <w:t>1.7关注的主要环境问题及环境影响</w:t>
      </w:r>
      <w:bookmarkEnd w:id="13"/>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本项目建设及运行对周围环境的影响主要体现在，施工期站址及管道的建设，对土壤的扰动及周围生态环境的影响；运行期间，废水处理产生的废气、废水、噪声及固废对周围环境的影响。</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1.7.1施工期</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w:t>
      </w:r>
      <w:r>
        <w:rPr>
          <w:rFonts w:hint="eastAsia" w:cs="Times New Roman"/>
          <w:caps w:val="0"/>
          <w:smallCaps w:val="0"/>
          <w:color w:val="auto"/>
          <w:spacing w:val="0"/>
          <w:w w:val="100"/>
          <w:kern w:val="0"/>
          <w:sz w:val="24"/>
          <w:szCs w:val="24"/>
          <w:highlight w:val="none"/>
          <w:lang w:val="en-US" w:eastAsia="zh-CN"/>
        </w:rPr>
        <w:t>大气环境</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施工期对大气环境的影响主要是施工活动及运输车辆产生的施工扬尘，施工机械及车辆尾气及站址厂房建设产生的焊接烟尘。</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施工场地采取洒水抑尘措施，降低扬尘的影响。施工现场地地处空旷，车辆尾气及焊接烟尘扩散至空气中稀释，施工结束后，对大气环境的影响随即消失。</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（2）水环境</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施工期产生的废水为生活污水及施工废水，管道试压采用压缩空气试压，不会有试压废水产生。</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施工废水为搅拌砂浆、润湿建筑材料、清洗施工设备的少量生产废水，经施工场地内临时沉淀池沉淀后，用于厂区施工洒水抑尘。</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3#服务站站址施工区域生活污水排入站内化粪池，施工结束后，可随站内运维人员生活污水一起拉运处置；管道施工区域距附近村屯较近，不设置施工营地，租用附近的村民民房进行生活，生活污水排入租用民房防渗化粪池内，定期清掏。</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施工期间废水均得到有效的处置，不外排，对周围水环境的影响可被接受。</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（3）声环境</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施工期间运行机械及设备产生的噪声对周围声环境敏感点的影响。施工期间合理安排施工时间，合理布局，在村屯声环境敏感点施工时，设施临时声屏障，较少施工噪声的影响，施工结束后，影响随即消失。</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（4）土壤环境</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项目施工建设，对土壤的扰动。管道施工前，进行表土剥离，严格控制施工作业带，分层开挖，分别堆放，分层回填。施工结束后，剥离的表土回填至土层表面。恢复植被，管道施工对土壤环境影响，可被接受。</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（5）生态环境</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施工期间管沟开挖，机械设备、车辆的碾压、人员的践踏等活动将会对地表植被及对黑土地土壤造成一定程度的破坏和流失。临时占地暂时改变了土地利用形式，使区域的生产能力受到暂时性影响。</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项目站址占地为未利用地（其他草地）就农用地（坑塘水面及河渠），项目施工期间，采取设置排水沟，尽可能避开植物生长旺盛期，减少对植物生长的影响等保护措施，减少站址永久占地对周围生态环境的影响。</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施工期间，采取相应的防治措施，如严格控制施工占地，对临时表土堆进行覆盖，周围设置排水沟等措施，防治土壤侵蚀，造成土壤沙化。</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施工期间应</w:t>
      </w:r>
      <w:r>
        <w:rPr>
          <w:rFonts w:hint="default" w:cs="Times New Roman"/>
          <w:caps w:val="0"/>
          <w:smallCaps w:val="0"/>
          <w:color w:val="auto"/>
          <w:spacing w:val="0"/>
          <w:w w:val="100"/>
          <w:kern w:val="0"/>
          <w:sz w:val="24"/>
          <w:szCs w:val="24"/>
          <w:highlight w:val="none"/>
          <w:lang w:val="en-US" w:eastAsia="zh-CN"/>
        </w:rPr>
        <w:t>保护土地资源，</w:t>
      </w:r>
      <w:r>
        <w:rPr>
          <w:rFonts w:hint="eastAsia" w:cs="Times New Roman"/>
          <w:caps w:val="0"/>
          <w:smallCaps w:val="0"/>
          <w:color w:val="auto"/>
          <w:spacing w:val="0"/>
          <w:w w:val="100"/>
          <w:kern w:val="0"/>
          <w:sz w:val="24"/>
          <w:szCs w:val="24"/>
          <w:highlight w:val="none"/>
          <w:lang w:val="en-US" w:eastAsia="zh-CN"/>
        </w:rPr>
        <w:t>施工前对耕作层及黑土层进行表土剥离，剥离厚度为30cm，剥离的表土临时堆放在占地范围内，表面覆盖水土保持毯，定期洒水，四周用重物压实，防止土壤流失、肥力降低。施工时，分层开挖，分别堆放，管道铺设完工后，分层回填，最后回填表土。管道施工产生的弃土为中心土层产生的渣土，用于服务站站址施工建设。</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施工结束后，对临时占用的耕地进行复垦，复垦率100%，复垦质量满足《土地复垦质量控制标准》（TD/T1036-2013）中规定的要求，复垦要求：对土壤进行翻耕、平整及培肥改良。应按照土地复垦方案的相关要求进行。保证耕地内农作物生产能力恢复至施工前原有水平。</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（6）固体废物</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项目施工期间产生的固体废物是建筑垃圾、废弃泥浆、清管废物及施工人员产生的生活垃圾。</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建筑垃圾分类进行回收利用。对于不能回收的建筑垃圾，如砂石、石块、碎砖瓦等，经集中收集后运送至大庆市红岗区建筑垃圾场。定向穿越产生的废弃泥浆集中收集，拉运至自然资源局指定地点处置。清管废物</w:t>
      </w:r>
      <w:r>
        <w:rPr>
          <w:rFonts w:hint="default" w:cs="Times New Roman"/>
          <w:caps w:val="0"/>
          <w:smallCaps w:val="0"/>
          <w:color w:val="auto"/>
          <w:spacing w:val="0"/>
          <w:w w:val="100"/>
          <w:kern w:val="0"/>
          <w:sz w:val="24"/>
          <w:szCs w:val="24"/>
          <w:highlight w:val="none"/>
          <w:lang w:val="en-US" w:eastAsia="zh-CN"/>
        </w:rPr>
        <w:t>集中收集后，随建筑垃圾一起拉运处置。</w:t>
      </w:r>
      <w:r>
        <w:rPr>
          <w:rFonts w:hint="eastAsia" w:cs="Times New Roman"/>
          <w:caps w:val="0"/>
          <w:smallCaps w:val="0"/>
          <w:color w:val="auto"/>
          <w:spacing w:val="0"/>
          <w:w w:val="100"/>
          <w:kern w:val="0"/>
          <w:sz w:val="24"/>
          <w:szCs w:val="24"/>
          <w:highlight w:val="none"/>
          <w:lang w:val="en-US" w:eastAsia="zh-CN"/>
        </w:rPr>
        <w:t>生活垃圾统一收集，由环卫部门清运至肇源县生活垃圾处理场处理。</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1.7.2运行期</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w:t>
      </w:r>
      <w:r>
        <w:rPr>
          <w:rFonts w:hint="eastAsia" w:cs="Times New Roman"/>
          <w:caps w:val="0"/>
          <w:smallCaps w:val="0"/>
          <w:color w:val="auto"/>
          <w:spacing w:val="0"/>
          <w:w w:val="100"/>
          <w:kern w:val="0"/>
          <w:sz w:val="24"/>
          <w:szCs w:val="24"/>
          <w:highlight w:val="none"/>
          <w:lang w:val="en-US" w:eastAsia="zh-CN"/>
        </w:rPr>
        <w:t>大气环境</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项目运行期间，产生的废气主要为废水、污泥处置过程中产生的恶臭气体、站内运行过程中产生的挥发性气体（非甲烷总烃）及食堂油烟。</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vertAlign w:val="baseline"/>
          <w:lang w:val="en-US" w:eastAsia="zh-CN"/>
        </w:rPr>
        <w:t>对恶臭气体，密闭负压收集，进入离子除臭装置进行处理，通过15m排气筒排放；运行过程中产生的挥发性气体（非甲烷总烃）无组织逸散。</w:t>
      </w:r>
      <w:r>
        <w:rPr>
          <w:rFonts w:hint="eastAsia" w:cs="Times New Roman"/>
          <w:caps w:val="0"/>
          <w:smallCaps w:val="0"/>
          <w:color w:val="auto"/>
          <w:spacing w:val="0"/>
          <w:w w:val="100"/>
          <w:kern w:val="0"/>
          <w:sz w:val="24"/>
          <w:szCs w:val="24"/>
          <w:highlight w:val="none"/>
          <w:lang w:val="en-US" w:eastAsia="zh-CN"/>
        </w:rPr>
        <w:t>食堂油烟经集气罩收集，通过油烟净化器处理后，经专用烟道高于屋顶排放。</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（2）地下水环境及土壤环境</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运行期间，站内采取分区防渗措施；卸车平台、危废暂存间、预处理车间、污油储罐区、储液池区域、事故池、初期雨水收集池，采取重点防渗措施；危废暂存间防渗性能满足《危险废物贮存污染控制标准》（GB18597-2023）防渗要求，其余区域满足《环境影响评价技术导则 地下水环境》（HJ610-2018）重点防渗性能要求。</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库房、配电间、值班室、消防水罐区、办公用房采取一般防渗措施，满足《环境影响评价技术导则 地下水环境》（HJ610-2018）一般防渗性能要求。</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其他区域进行简单防渗，满足《环境影响评价技术导则 地下水环境》（HJ610-2018）简单防渗性能要求。</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输液管道采用钢丝网骨架塑料（聚乙烯）复合管，耐磨耐腐蚀；管道防腐性能较好，无需进行额外的防腐工程，管道铺设区域防渗性能满足《环境影响评价技术导则 地下水环境》（HJ610-2018）重点防渗性能要求。</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正常运行期间，项目对区域地下水及土壤影响较小。</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（3）地表水环境</w:t>
      </w:r>
    </w:p>
    <w:p>
      <w:pPr>
        <w:pStyle w:val="2"/>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运行期间产生的废水为服务站接收处理后达标的水、站内人员生活污水、初期雨水、污泥离心浓缩废水及事故废水。</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站内人员生活污水排入化粪池内，定期清掏，拉运至新站镇生活污水处理厂处理。初期雨水经收集，排入站内初期雨水收集池内，进入站内废水处理系统，经处置达标后，回用于页岩油试验区压裂作业复配。</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污泥离心浓缩废水进入站内废水处理系统，经处置达标后，回用于页岩油试验区压裂作业复配。事故废水排入站内事故池内，交由有资质单位拉运处置。</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站内废水处理系统处理后，满足《大庆油田地面工程建设设计规定》（Q/SYDQ 0639-2015）“含油量≤20mg/L、悬浮固体含量≤20mg/L”，回用于页岩油试验区压裂作业复配。</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项目施工期及运行期废水均不外排，对周围地表水环境的影响可被接受。</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（4）环境风险</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废水处理服务站站址内合理布局，站址各区域、构建物布设满足《建筑设计防火规范》（GB50016-2014）（2018年版）及《石油化工企业设计防火标准》（GB50160-2008）（2018修订）的要求。</w:t>
      </w:r>
      <w:r>
        <w:rPr>
          <w:rFonts w:hint="default" w:cs="Times New Roman"/>
          <w:caps w:val="0"/>
          <w:smallCaps w:val="0"/>
          <w:color w:val="auto"/>
          <w:spacing w:val="0"/>
          <w:w w:val="100"/>
          <w:kern w:val="0"/>
          <w:sz w:val="24"/>
          <w:szCs w:val="24"/>
          <w:highlight w:val="none"/>
          <w:lang w:val="en-US" w:eastAsia="zh-CN"/>
        </w:rPr>
        <w:t>罐区均设防火堤，防火堤的设计及堤内容积均</w:t>
      </w:r>
      <w:r>
        <w:rPr>
          <w:rFonts w:hint="eastAsia" w:cs="Times New Roman"/>
          <w:caps w:val="0"/>
          <w:smallCaps w:val="0"/>
          <w:color w:val="auto"/>
          <w:spacing w:val="0"/>
          <w:w w:val="100"/>
          <w:kern w:val="0"/>
          <w:sz w:val="24"/>
          <w:szCs w:val="24"/>
          <w:highlight w:val="none"/>
          <w:lang w:val="en-US" w:eastAsia="zh-CN"/>
        </w:rPr>
        <w:t>满足《石油化工企业设计防火标准》（GB50160-2008）（2018修订）</w:t>
      </w:r>
      <w:r>
        <w:rPr>
          <w:rFonts w:hint="default" w:cs="Times New Roman"/>
          <w:caps w:val="0"/>
          <w:smallCaps w:val="0"/>
          <w:color w:val="auto"/>
          <w:spacing w:val="0"/>
          <w:w w:val="100"/>
          <w:kern w:val="0"/>
          <w:sz w:val="24"/>
          <w:szCs w:val="24"/>
          <w:highlight w:val="none"/>
          <w:lang w:val="en-US" w:eastAsia="zh-CN"/>
        </w:rPr>
        <w:t>。</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对站外输液管道每隔300m增设压力采集器，构建压力监测系统，同部增设电动阀门，电动阀门接收失压指令后，及时关闭，保障最小程度漏损量。</w:t>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4" w:name="_Toc5788"/>
      <w:r>
        <w:rPr>
          <w:rFonts w:hint="eastAsia" w:ascii="Times New Roman" w:hAnsi="Times New Roman" w:eastAsia="宋体" w:cs="Times New Roman"/>
          <w:snapToGrid/>
          <w:color w:val="auto"/>
          <w:sz w:val="32"/>
          <w:highlight w:val="none"/>
          <w:lang w:val="en-US" w:eastAsia="zh-CN" w:bidi="ar-SA"/>
        </w:rPr>
        <w:t>1.8环境影响评价的主要结论</w:t>
      </w:r>
      <w:bookmarkEnd w:id="14"/>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本项目建设符合《产业结构调整指导目录》</w:t>
      </w:r>
      <w:r>
        <w:rPr>
          <w:rFonts w:hint="default" w:cs="Times New Roman"/>
          <w:caps w:val="0"/>
          <w:smallCaps w:val="0"/>
          <w:color w:val="auto"/>
          <w:spacing w:val="0"/>
          <w:w w:val="100"/>
          <w:kern w:val="0"/>
          <w:sz w:val="24"/>
          <w:szCs w:val="24"/>
          <w:highlight w:val="none"/>
          <w:lang w:val="en-US" w:eastAsia="zh-CN"/>
        </w:rPr>
        <w:t>（</w:t>
      </w:r>
      <w:r>
        <w:rPr>
          <w:rFonts w:hint="eastAsia" w:cs="Times New Roman"/>
          <w:caps w:val="0"/>
          <w:smallCaps w:val="0"/>
          <w:color w:val="auto"/>
          <w:spacing w:val="0"/>
          <w:w w:val="100"/>
          <w:kern w:val="0"/>
          <w:sz w:val="24"/>
          <w:szCs w:val="24"/>
          <w:highlight w:val="none"/>
          <w:lang w:val="en-US" w:eastAsia="zh-CN"/>
        </w:rPr>
        <w:t>2024年本</w:t>
      </w:r>
      <w:r>
        <w:rPr>
          <w:rFonts w:hint="default" w:cs="Times New Roman"/>
          <w:caps w:val="0"/>
          <w:smallCaps w:val="0"/>
          <w:color w:val="auto"/>
          <w:spacing w:val="0"/>
          <w:w w:val="100"/>
          <w:kern w:val="0"/>
          <w:sz w:val="24"/>
          <w:szCs w:val="24"/>
          <w:highlight w:val="none"/>
          <w:lang w:val="en-US" w:eastAsia="zh-CN"/>
        </w:rPr>
        <w:t>）</w:t>
      </w:r>
      <w:r>
        <w:rPr>
          <w:rFonts w:hint="eastAsia" w:cs="Times New Roman"/>
          <w:caps w:val="0"/>
          <w:smallCaps w:val="0"/>
          <w:color w:val="auto"/>
          <w:spacing w:val="0"/>
          <w:w w:val="100"/>
          <w:kern w:val="0"/>
          <w:sz w:val="24"/>
          <w:szCs w:val="24"/>
          <w:highlight w:val="none"/>
          <w:lang w:val="en-US" w:eastAsia="zh-CN"/>
        </w:rPr>
        <w:t>要求。占地符合《自然资源部关于规范临时用地管理的通知》（自然资规〔2021〕2号）、《自然资源部农业农村部关于加强和改进永久基本农田保护工作的通知》（自然资规〔2019〕1号）及《自然资源部关于进一步做好用地用海要素保障的通知》（自然资发〔2023〕89号）等文件要求。</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Times New Roman" w:hAnsi="Times New Roman" w:eastAsia="宋体" w:cs="Times New Roman"/>
          <w:caps w:val="0"/>
          <w:smallCaps w:val="0"/>
          <w:color w:val="auto"/>
          <w:spacing w:val="0"/>
          <w:w w:val="100"/>
          <w:kern w:val="0"/>
          <w:sz w:val="24"/>
          <w:szCs w:val="24"/>
          <w:highlight w:val="none"/>
          <w:vertAlign w:val="baseline"/>
          <w:lang w:val="en-US" w:eastAsia="zh-CN"/>
        </w:rPr>
      </w:pPr>
      <w:r>
        <w:rPr>
          <w:rFonts w:hint="eastAsia" w:cs="Times New Roman"/>
          <w:caps w:val="0"/>
          <w:smallCaps w:val="0"/>
          <w:color w:val="auto"/>
          <w:spacing w:val="0"/>
          <w:w w:val="100"/>
          <w:kern w:val="0"/>
          <w:sz w:val="24"/>
          <w:szCs w:val="24"/>
          <w:highlight w:val="none"/>
          <w:lang w:val="en-US" w:eastAsia="zh-CN"/>
        </w:rPr>
        <w:t>本项目拟采用的各项环保设施合理、有效，可以保证各项污染物稳定达标排放，不会改变区域环境功能。在严格落实环评中的污染控制措施和各项环境保护对策建议的前提下，从环保角度考虑，项目建设可行。</w:t>
      </w:r>
    </w:p>
    <w:p>
      <w:pPr>
        <w:rPr>
          <w:rFonts w:hint="eastAsia" w:ascii="Times New Roman" w:hAnsi="Times New Roman" w:eastAsia="宋体" w:cs="Times New Roman"/>
          <w:caps w:val="0"/>
          <w:smallCaps w:val="0"/>
          <w:color w:val="auto"/>
          <w:spacing w:val="0"/>
          <w:w w:val="100"/>
          <w:kern w:val="0"/>
          <w:sz w:val="24"/>
          <w:szCs w:val="24"/>
          <w:highlight w:val="none"/>
          <w:vertAlign w:val="baseline"/>
          <w:lang w:val="en-US" w:eastAsia="zh-CN"/>
        </w:rPr>
      </w:pPr>
      <w:r>
        <w:rPr>
          <w:rFonts w:hint="eastAsia" w:ascii="Times New Roman" w:hAnsi="Times New Roman" w:eastAsia="宋体" w:cs="Times New Roman"/>
          <w:caps w:val="0"/>
          <w:smallCaps w:val="0"/>
          <w:color w:val="auto"/>
          <w:spacing w:val="0"/>
          <w:w w:val="100"/>
          <w:kern w:val="0"/>
          <w:sz w:val="24"/>
          <w:szCs w:val="24"/>
          <w:highlight w:val="none"/>
          <w:vertAlign w:val="baseline"/>
          <w:lang w:val="en-US" w:eastAsia="zh-CN"/>
        </w:rPr>
        <w:br w:type="page"/>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5" w:name="_Toc9108"/>
      <w:bookmarkStart w:id="16" w:name="_Toc23875"/>
      <w:r>
        <w:rPr>
          <w:rFonts w:hint="eastAsia" w:ascii="Times New Roman" w:hAnsi="Times New Roman" w:eastAsia="宋体" w:cs="Times New Roman"/>
          <w:snapToGrid/>
          <w:color w:val="auto"/>
          <w:sz w:val="32"/>
          <w:highlight w:val="none"/>
          <w:lang w:val="en-US" w:eastAsia="zh-CN" w:bidi="ar-SA"/>
        </w:rPr>
        <w:t>2总则</w:t>
      </w:r>
      <w:bookmarkEnd w:id="15"/>
      <w:bookmarkEnd w:id="16"/>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7" w:name="_Toc15596"/>
      <w:r>
        <w:rPr>
          <w:rFonts w:hint="eastAsia" w:ascii="Times New Roman" w:hAnsi="Times New Roman" w:eastAsia="宋体" w:cs="Times New Roman"/>
          <w:snapToGrid/>
          <w:color w:val="auto"/>
          <w:sz w:val="32"/>
          <w:highlight w:val="none"/>
          <w:lang w:val="en-US" w:eastAsia="zh-CN" w:bidi="ar-SA"/>
        </w:rPr>
        <w:t>2.1编制依据</w:t>
      </w:r>
      <w:bookmarkEnd w:id="17"/>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（1）《中华人民共和国环境保护法》（2015年1月1日）；</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（2）《中华人民共和国环境影响评价法》（2018年12月29日）；</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（3）《中华人民共和国水污染防治法》（2018年1月1日）；</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（4）《中华人民共和国噪声污染防治法》（2022年6月5日）；</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（5）《中华人民共和国大气污染防治法》（2018年10月26日）；</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（6）《中华人民共和国固体废物污染环境防治法》（2020年9月1日）；</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（7）《中华人民共和国水法》（2016年7月2日）；</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w:t>
      </w:r>
      <w:r>
        <w:rPr>
          <w:rFonts w:hint="eastAsia" w:cs="Times New Roman"/>
          <w:caps w:val="0"/>
          <w:smallCaps w:val="0"/>
          <w:color w:val="auto"/>
          <w:spacing w:val="0"/>
          <w:w w:val="100"/>
          <w:kern w:val="0"/>
          <w:sz w:val="24"/>
          <w:szCs w:val="24"/>
          <w:highlight w:val="none"/>
          <w:lang w:val="en-US" w:eastAsia="zh-CN"/>
        </w:rPr>
        <w:t>8</w:t>
      </w:r>
      <w:r>
        <w:rPr>
          <w:rFonts w:hint="default" w:cs="Times New Roman"/>
          <w:caps w:val="0"/>
          <w:smallCaps w:val="0"/>
          <w:color w:val="auto"/>
          <w:spacing w:val="0"/>
          <w:w w:val="100"/>
          <w:kern w:val="0"/>
          <w:sz w:val="24"/>
          <w:szCs w:val="24"/>
          <w:highlight w:val="none"/>
          <w:lang w:val="en-US" w:eastAsia="zh-CN"/>
        </w:rPr>
        <w:t>）《中华人民共和国土地管理法》（2019.8.26修正，2020.1.1起施行）；</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（9）《中华人民共和国野生动物保护法》（2018年10月26日）；</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w:t>
      </w:r>
      <w:r>
        <w:rPr>
          <w:rFonts w:hint="eastAsia" w:cs="Times New Roman"/>
          <w:caps w:val="0"/>
          <w:smallCaps w:val="0"/>
          <w:color w:val="auto"/>
          <w:spacing w:val="0"/>
          <w:w w:val="100"/>
          <w:kern w:val="0"/>
          <w:sz w:val="24"/>
          <w:szCs w:val="24"/>
          <w:highlight w:val="none"/>
          <w:lang w:val="en-US" w:eastAsia="zh-CN"/>
        </w:rPr>
        <w:t>0</w:t>
      </w:r>
      <w:r>
        <w:rPr>
          <w:rFonts w:hint="default" w:cs="Times New Roman"/>
          <w:caps w:val="0"/>
          <w:smallCaps w:val="0"/>
          <w:color w:val="auto"/>
          <w:spacing w:val="0"/>
          <w:w w:val="100"/>
          <w:kern w:val="0"/>
          <w:sz w:val="24"/>
          <w:szCs w:val="24"/>
          <w:highlight w:val="none"/>
          <w:lang w:val="en-US" w:eastAsia="zh-CN"/>
        </w:rPr>
        <w:t>）《建设项目环境保护管理条例》（国务院令2017年第682号）；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w:t>
      </w:r>
      <w:r>
        <w:rPr>
          <w:rFonts w:hint="eastAsia" w:cs="Times New Roman"/>
          <w:caps w:val="0"/>
          <w:smallCaps w:val="0"/>
          <w:color w:val="auto"/>
          <w:spacing w:val="0"/>
          <w:w w:val="100"/>
          <w:kern w:val="0"/>
          <w:sz w:val="24"/>
          <w:szCs w:val="24"/>
          <w:highlight w:val="none"/>
          <w:lang w:val="en-US" w:eastAsia="zh-CN"/>
        </w:rPr>
        <w:t>1</w:t>
      </w:r>
      <w:r>
        <w:rPr>
          <w:rFonts w:hint="default" w:cs="Times New Roman"/>
          <w:caps w:val="0"/>
          <w:smallCaps w:val="0"/>
          <w:color w:val="auto"/>
          <w:spacing w:val="0"/>
          <w:w w:val="100"/>
          <w:kern w:val="0"/>
          <w:sz w:val="24"/>
          <w:szCs w:val="24"/>
          <w:highlight w:val="none"/>
          <w:lang w:val="en-US" w:eastAsia="zh-CN"/>
        </w:rPr>
        <w:t>）《中华人民共和国野生植物保护条例》（国务院令2017年第687号）；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w:t>
      </w:r>
      <w:r>
        <w:rPr>
          <w:rFonts w:hint="eastAsia" w:cs="Times New Roman"/>
          <w:caps w:val="0"/>
          <w:smallCaps w:val="0"/>
          <w:color w:val="auto"/>
          <w:spacing w:val="0"/>
          <w:w w:val="100"/>
          <w:kern w:val="0"/>
          <w:sz w:val="24"/>
          <w:szCs w:val="24"/>
          <w:highlight w:val="none"/>
          <w:lang w:val="en-US" w:eastAsia="zh-CN"/>
        </w:rPr>
        <w:t>2</w:t>
      </w:r>
      <w:r>
        <w:rPr>
          <w:rFonts w:hint="default" w:cs="Times New Roman"/>
          <w:caps w:val="0"/>
          <w:smallCaps w:val="0"/>
          <w:color w:val="auto"/>
          <w:spacing w:val="0"/>
          <w:w w:val="100"/>
          <w:kern w:val="0"/>
          <w:sz w:val="24"/>
          <w:szCs w:val="24"/>
          <w:highlight w:val="none"/>
          <w:lang w:val="en-US" w:eastAsia="zh-CN"/>
        </w:rPr>
        <w:t>）《中华人民共和国陆生野生动物保护实施条例》（2016年修订）；</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w:t>
      </w:r>
      <w:r>
        <w:rPr>
          <w:rFonts w:hint="eastAsia" w:cs="Times New Roman"/>
          <w:caps w:val="0"/>
          <w:smallCaps w:val="0"/>
          <w:color w:val="auto"/>
          <w:spacing w:val="0"/>
          <w:w w:val="100"/>
          <w:kern w:val="0"/>
          <w:sz w:val="24"/>
          <w:szCs w:val="24"/>
          <w:highlight w:val="none"/>
          <w:lang w:val="en-US" w:eastAsia="zh-CN"/>
        </w:rPr>
        <w:t>3</w:t>
      </w:r>
      <w:r>
        <w:rPr>
          <w:rFonts w:hint="default" w:cs="Times New Roman"/>
          <w:caps w:val="0"/>
          <w:smallCaps w:val="0"/>
          <w:color w:val="auto"/>
          <w:spacing w:val="0"/>
          <w:w w:val="100"/>
          <w:kern w:val="0"/>
          <w:sz w:val="24"/>
          <w:szCs w:val="24"/>
          <w:highlight w:val="none"/>
          <w:lang w:val="en-US" w:eastAsia="zh-CN"/>
        </w:rPr>
        <w:t>）《中华人民共和国自然保护区条例》（国务院令第687号，2017年修订）</w:t>
      </w:r>
      <w:r>
        <w:rPr>
          <w:rFonts w:hint="eastAsia" w:cs="Times New Roman"/>
          <w:caps w:val="0"/>
          <w:smallCaps w:val="0"/>
          <w:color w:val="auto"/>
          <w:spacing w:val="0"/>
          <w:w w:val="100"/>
          <w:kern w:val="0"/>
          <w:sz w:val="24"/>
          <w:szCs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（14）《中华人民共和国基本农田保护条例》（2011年1月8日修订）；</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（15）《中华人民共和国黑土地保护法》（2022年8月1日施行）；</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（16）《中华人民共和国水土保持法》（2010年12月25日修订）。</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（17）《土地复垦条例》（2011年2月）；</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（18）《中华人民共和国森林法》（2019年12月28日修订，2020年7月1日起施行）；</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（19）《中华人民共和国森林法实施条例》（2018年3月）。</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2.1.2部委规章</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（1）《建设项目环境影响评价分类管理名录（2021年版）》（生态环境部令部令第16号，2020年11月30日）；</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（2）《环境影响评价公众参与办法》（生态环境部令第4号，2019年1月1日起执行）；</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（3）《产业结构调整指导目录》（2024年本）（发展改革委令</w:t>
      </w:r>
      <w:r>
        <w:rPr>
          <w:rFonts w:hint="eastAsia" w:cs="Times New Roman"/>
          <w:caps w:val="0"/>
          <w:smallCaps w:val="0"/>
          <w:color w:val="auto"/>
          <w:spacing w:val="0"/>
          <w:w w:val="100"/>
          <w:kern w:val="0"/>
          <w:sz w:val="24"/>
          <w:szCs w:val="24"/>
          <w:highlight w:val="none"/>
          <w:lang w:val="en-US" w:eastAsia="zh-CN"/>
        </w:rPr>
        <w:t xml:space="preserve"> 第7号</w:t>
      </w:r>
      <w:r>
        <w:rPr>
          <w:rFonts w:hint="default" w:cs="Times New Roman"/>
          <w:caps w:val="0"/>
          <w:smallCaps w:val="0"/>
          <w:color w:val="auto"/>
          <w:spacing w:val="0"/>
          <w:w w:val="100"/>
          <w:kern w:val="0"/>
          <w:sz w:val="24"/>
          <w:szCs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（4）《关于进一步加强输变电类建设项目环境保护监管工作的通知》（环境保护部环办〔2012〕131号）；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（5）《关于切实加强风险防范严格环境影响评价管理的通知》（环境保护部环发〔2012〕98号）；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（6）《国家危险废物名录（2021年版）》（生态环境部令部令第15号）；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（7）《关于强化建设项目环境影响评价事中事后监管的实施意见》（环环评〔2018〕11号）；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（8）《关于以改善环境质量为核心加强环境影响评价管理的通知》（环环评〔2016〕150号）；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（9）《中共中央办公厅国务院办公厅印发〈关于划定并严守生态保护红线的若干意见〉的通知》（厅字〔2017〕2号）；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（10）《关于在国土空间规划中统筹划定落实三条控制线的指导意见》（中共中央办公厅、国务院办公厅，2019年11月）；</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（11）《生态环境部关于严惩弄虚作假提高环评质量的意见》（环环评〔2020〕48号）；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（12）《关于生态环境领域进一步深化“放管服”改革，推动经济高质量发展的指导意见》（环规财〔2018〕86号）；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（13）《关于启用&lt;建设项目环境影响报告书审批基础信息表&gt;的通知》（环办环评函〔2020〕771号）；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（14）《建设项目环境影响评价信息公开机制方案》（环境保护部环发〔2015〕162号）；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（15）《建设项目环境影响评价政府信息公开指南（试行）》（环境保护部环办〔2013〕103号）；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（16）</w:t>
      </w:r>
      <w:r>
        <w:rPr>
          <w:rFonts w:hint="default" w:cs="Times New Roman"/>
          <w:caps w:val="0"/>
          <w:smallCaps w:val="0"/>
          <w:color w:val="auto"/>
          <w:spacing w:val="0"/>
          <w:w w:val="100"/>
          <w:kern w:val="0"/>
          <w:sz w:val="24"/>
          <w:szCs w:val="24"/>
          <w:highlight w:val="none"/>
          <w:lang w:val="en-US" w:eastAsia="zh-CN"/>
        </w:rPr>
        <w:t>《土地复垦条例实施办法》（2019年修正）</w:t>
      </w:r>
      <w:r>
        <w:rPr>
          <w:rFonts w:hint="eastAsia" w:cs="Times New Roman"/>
          <w:caps w:val="0"/>
          <w:smallCaps w:val="0"/>
          <w:color w:val="auto"/>
          <w:spacing w:val="0"/>
          <w:w w:val="100"/>
          <w:kern w:val="0"/>
          <w:sz w:val="24"/>
          <w:szCs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（17）《自然资源部关于规范临时用地管理的通知》（自然资规〔2021〕2号）；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（18）《自然资源部农业农村部关于加强和改进永久基本农田保护工作的通知》（自然资规〔2019〕1号）；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（19）《自然资源部关于进一步做好用地用海要素保障的通知》（自然资发〔2023〕89号）。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2.1.3地方性法规及相关文件</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（1）《黑龙江省黑土地保护利用条例》（2023年12月24日修订，2024年3月1日施行）；</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（2）《黑龙江省主体功能区规划》（2012年4月25日）；</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（3）《黑龙江省生态功能区划》（2005年9月）；</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（4）《黑龙江省贯彻落实&lt;关于划定并严守生态保护红线的若干意见&gt;的实施意见》（2017年8月14日）；</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（5）《黑龙江省生态环境厅审批环境影响评价文件的建设项目目录（2019年本）》（黑龙江省生态环境厅，2019年6月）；</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（6）《黑龙江省人民政府关于实施“三线一单”生态环境分区管控的意见》（黑政发〔2020〕14号）；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（7）《大庆市人民政府关于实施“三线一单”生态环境分区管控的意见》（庆政发〔2021〕3号）；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（8）《黑龙江省人民政府关于实施“三线一单”生态环境分区管控的意见》（黑政发〔2020〕14号，2020年12月16日）；</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（9）《黑龙江省“十四五”生态环境保护规划》（黑政规〔2021〕18号，2021年12月31日）。</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（10）《黑龙江省基本农田保护条例》；</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（11）《黑龙江省黑土地保护利用条例》（2022年3月1日实施）；</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（12）《大庆市人民政府关于印发大庆市“十四五”生态环境保护规划的通知》（庆政规〔2022〕7号，2022年10月27日）；</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（13）《肇源县人民政府关于印发《肇源县“十四五”生态环境保护规划》的通知》（源政规〔2022〕3号，2023年5月8日）；</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（14）《黑龙江省重点行业挥发性有机物综合治理行动方案》（黑环发〔2019〕153号）。</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2.1.4</w:t>
      </w:r>
      <w:r>
        <w:rPr>
          <w:rFonts w:hint="eastAsia" w:cs="Times New Roman"/>
          <w:caps w:val="0"/>
          <w:smallCaps w:val="0"/>
          <w:color w:val="auto"/>
          <w:spacing w:val="0"/>
          <w:w w:val="100"/>
          <w:kern w:val="0"/>
          <w:sz w:val="24"/>
          <w:szCs w:val="24"/>
          <w:highlight w:val="none"/>
          <w:lang w:val="en-US" w:eastAsia="zh-CN"/>
        </w:rPr>
        <w:t>评价</w:t>
      </w:r>
      <w:r>
        <w:rPr>
          <w:rFonts w:hint="default" w:cs="Times New Roman"/>
          <w:caps w:val="0"/>
          <w:smallCaps w:val="0"/>
          <w:color w:val="auto"/>
          <w:spacing w:val="0"/>
          <w:w w:val="100"/>
          <w:kern w:val="0"/>
          <w:sz w:val="24"/>
          <w:szCs w:val="24"/>
          <w:highlight w:val="none"/>
          <w:lang w:val="en-US" w:eastAsia="zh-CN"/>
        </w:rPr>
        <w:t>技术导则</w:t>
      </w:r>
      <w:r>
        <w:rPr>
          <w:rFonts w:hint="eastAsia" w:cs="Times New Roman"/>
          <w:caps w:val="0"/>
          <w:smallCaps w:val="0"/>
          <w:color w:val="auto"/>
          <w:spacing w:val="0"/>
          <w:w w:val="100"/>
          <w:kern w:val="0"/>
          <w:sz w:val="24"/>
          <w:szCs w:val="24"/>
          <w:highlight w:val="none"/>
          <w:lang w:val="en-US" w:eastAsia="zh-CN"/>
        </w:rPr>
        <w:t>及</w:t>
      </w:r>
      <w:r>
        <w:rPr>
          <w:rFonts w:hint="default" w:cs="Times New Roman"/>
          <w:caps w:val="0"/>
          <w:smallCaps w:val="0"/>
          <w:color w:val="auto"/>
          <w:spacing w:val="0"/>
          <w:w w:val="100"/>
          <w:kern w:val="0"/>
          <w:sz w:val="24"/>
          <w:szCs w:val="24"/>
          <w:highlight w:val="none"/>
          <w:lang w:val="en-US" w:eastAsia="zh-CN"/>
        </w:rPr>
        <w:t>规范、标准</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（1）《建设项目环境影响评价技术导则 总纲》（HJ2.1-2016）；</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（2）</w:t>
      </w:r>
      <w:r>
        <w:rPr>
          <w:rFonts w:hint="default" w:cs="Times New Roman"/>
          <w:caps w:val="0"/>
          <w:smallCaps w:val="0"/>
          <w:color w:val="auto"/>
          <w:spacing w:val="0"/>
          <w:w w:val="100"/>
          <w:kern w:val="0"/>
          <w:sz w:val="24"/>
          <w:szCs w:val="24"/>
          <w:highlight w:val="none"/>
          <w:lang w:val="en-US" w:eastAsia="zh-CN"/>
        </w:rPr>
        <w:t>《环境影响评价技术导则 大气环境》（HJ2.2-2018）；</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（3）</w:t>
      </w:r>
      <w:r>
        <w:rPr>
          <w:rFonts w:hint="default" w:cs="Times New Roman"/>
          <w:caps w:val="0"/>
          <w:smallCaps w:val="0"/>
          <w:color w:val="auto"/>
          <w:spacing w:val="0"/>
          <w:w w:val="100"/>
          <w:kern w:val="0"/>
          <w:sz w:val="24"/>
          <w:szCs w:val="24"/>
          <w:highlight w:val="none"/>
          <w:lang w:val="en-US" w:eastAsia="zh-CN"/>
        </w:rPr>
        <w:t>《环境影响评价技术导则 地表水环境》（HJ2.3-2018）</w:t>
      </w:r>
      <w:r>
        <w:rPr>
          <w:rFonts w:hint="eastAsia" w:cs="Times New Roman"/>
          <w:caps w:val="0"/>
          <w:smallCaps w:val="0"/>
          <w:color w:val="auto"/>
          <w:spacing w:val="0"/>
          <w:w w:val="100"/>
          <w:kern w:val="0"/>
          <w:sz w:val="24"/>
          <w:szCs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（4）《环境影响评价技术导则 地下水环境》（HJ610-2016）；</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w:t>
      </w:r>
      <w:r>
        <w:rPr>
          <w:rFonts w:hint="eastAsia" w:cs="Times New Roman"/>
          <w:caps w:val="0"/>
          <w:smallCaps w:val="0"/>
          <w:color w:val="auto"/>
          <w:spacing w:val="0"/>
          <w:w w:val="100"/>
          <w:kern w:val="0"/>
          <w:sz w:val="24"/>
          <w:szCs w:val="24"/>
          <w:highlight w:val="none"/>
          <w:lang w:val="en-US" w:eastAsia="zh-CN"/>
        </w:rPr>
        <w:t>5</w:t>
      </w:r>
      <w:r>
        <w:rPr>
          <w:rFonts w:hint="default" w:cs="Times New Roman"/>
          <w:caps w:val="0"/>
          <w:smallCaps w:val="0"/>
          <w:color w:val="auto"/>
          <w:spacing w:val="0"/>
          <w:w w:val="100"/>
          <w:kern w:val="0"/>
          <w:sz w:val="24"/>
          <w:szCs w:val="24"/>
          <w:highlight w:val="none"/>
          <w:lang w:val="en-US" w:eastAsia="zh-CN"/>
        </w:rPr>
        <w:t>）《环境影响评价技术导则 声环境》（HJ2.4-2021）；</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（6）《环境影响评价技术导则 土壤环境（试行）》（HJ964-2018）；</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（7）</w:t>
      </w:r>
      <w:r>
        <w:rPr>
          <w:rFonts w:hint="default" w:cs="Times New Roman"/>
          <w:caps w:val="0"/>
          <w:smallCaps w:val="0"/>
          <w:color w:val="auto"/>
          <w:spacing w:val="0"/>
          <w:w w:val="100"/>
          <w:kern w:val="0"/>
          <w:sz w:val="24"/>
          <w:szCs w:val="24"/>
          <w:highlight w:val="none"/>
          <w:lang w:val="en-US" w:eastAsia="zh-CN"/>
        </w:rPr>
        <w:t>《环境影响评价技术导则 生态影响》（HJ19-2022）</w:t>
      </w:r>
      <w:r>
        <w:rPr>
          <w:rFonts w:hint="eastAsia" w:cs="Times New Roman"/>
          <w:caps w:val="0"/>
          <w:smallCaps w:val="0"/>
          <w:color w:val="auto"/>
          <w:spacing w:val="0"/>
          <w:w w:val="100"/>
          <w:kern w:val="0"/>
          <w:sz w:val="24"/>
          <w:szCs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w:t>
      </w:r>
      <w:r>
        <w:rPr>
          <w:rFonts w:hint="eastAsia" w:cs="Times New Roman"/>
          <w:caps w:val="0"/>
          <w:smallCaps w:val="0"/>
          <w:color w:val="auto"/>
          <w:spacing w:val="0"/>
          <w:w w:val="100"/>
          <w:kern w:val="0"/>
          <w:sz w:val="24"/>
          <w:szCs w:val="24"/>
          <w:highlight w:val="none"/>
          <w:lang w:val="en-US" w:eastAsia="zh-CN"/>
        </w:rPr>
        <w:t>8</w:t>
      </w:r>
      <w:r>
        <w:rPr>
          <w:rFonts w:hint="default" w:cs="Times New Roman"/>
          <w:caps w:val="0"/>
          <w:smallCaps w:val="0"/>
          <w:color w:val="auto"/>
          <w:spacing w:val="0"/>
          <w:w w:val="100"/>
          <w:kern w:val="0"/>
          <w:sz w:val="24"/>
          <w:szCs w:val="24"/>
          <w:highlight w:val="none"/>
          <w:lang w:val="en-US" w:eastAsia="zh-CN"/>
        </w:rPr>
        <w:t>）《建设项目环境风险评价技术导则》（HJ169-2018）；</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w:t>
      </w:r>
      <w:r>
        <w:rPr>
          <w:rFonts w:hint="eastAsia" w:cs="Times New Roman"/>
          <w:caps w:val="0"/>
          <w:smallCaps w:val="0"/>
          <w:color w:val="auto"/>
          <w:spacing w:val="0"/>
          <w:w w:val="100"/>
          <w:kern w:val="0"/>
          <w:sz w:val="24"/>
          <w:szCs w:val="24"/>
          <w:highlight w:val="none"/>
          <w:lang w:val="en-US" w:eastAsia="zh-CN"/>
        </w:rPr>
        <w:t>9</w:t>
      </w:r>
      <w:r>
        <w:rPr>
          <w:rFonts w:hint="default" w:cs="Times New Roman"/>
          <w:caps w:val="0"/>
          <w:smallCaps w:val="0"/>
          <w:color w:val="auto"/>
          <w:spacing w:val="0"/>
          <w:w w:val="100"/>
          <w:kern w:val="0"/>
          <w:sz w:val="24"/>
          <w:szCs w:val="24"/>
          <w:highlight w:val="none"/>
          <w:lang w:val="en-US" w:eastAsia="zh-CN"/>
        </w:rPr>
        <w:t>）《危险废物贮存污染控制标准》（GB18597-2023）；</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w:t>
      </w:r>
      <w:r>
        <w:rPr>
          <w:rFonts w:hint="eastAsia" w:cs="Times New Roman"/>
          <w:caps w:val="0"/>
          <w:smallCaps w:val="0"/>
          <w:color w:val="auto"/>
          <w:spacing w:val="0"/>
          <w:w w:val="100"/>
          <w:kern w:val="0"/>
          <w:sz w:val="24"/>
          <w:szCs w:val="24"/>
          <w:highlight w:val="none"/>
          <w:lang w:val="en-US" w:eastAsia="zh-CN"/>
        </w:rPr>
        <w:t>10</w:t>
      </w:r>
      <w:r>
        <w:rPr>
          <w:rFonts w:hint="default" w:cs="Times New Roman"/>
          <w:caps w:val="0"/>
          <w:smallCaps w:val="0"/>
          <w:color w:val="auto"/>
          <w:spacing w:val="0"/>
          <w:w w:val="100"/>
          <w:kern w:val="0"/>
          <w:sz w:val="24"/>
          <w:szCs w:val="24"/>
          <w:highlight w:val="none"/>
          <w:lang w:val="en-US" w:eastAsia="zh-CN"/>
        </w:rPr>
        <w:t>）《危险废物收集贮存运输技术规范》（HJ2025-2012）</w:t>
      </w:r>
      <w:r>
        <w:rPr>
          <w:rFonts w:hint="eastAsia" w:cs="Times New Roman"/>
          <w:caps w:val="0"/>
          <w:smallCaps w:val="0"/>
          <w:color w:val="auto"/>
          <w:spacing w:val="0"/>
          <w:w w:val="100"/>
          <w:kern w:val="0"/>
          <w:sz w:val="24"/>
          <w:szCs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（11）</w:t>
      </w:r>
      <w:r>
        <w:rPr>
          <w:rFonts w:hint="default" w:cs="Times New Roman"/>
          <w:caps w:val="0"/>
          <w:smallCaps w:val="0"/>
          <w:color w:val="auto"/>
          <w:spacing w:val="0"/>
          <w:w w:val="100"/>
          <w:kern w:val="0"/>
          <w:sz w:val="24"/>
          <w:szCs w:val="24"/>
          <w:highlight w:val="none"/>
          <w:lang w:val="en-US" w:eastAsia="zh-CN"/>
        </w:rPr>
        <w:t>《排污单位自行监测技术指南总则》（HJ819-2017）</w:t>
      </w:r>
      <w:r>
        <w:rPr>
          <w:rFonts w:hint="eastAsia" w:cs="Times New Roman"/>
          <w:caps w:val="0"/>
          <w:smallCaps w:val="0"/>
          <w:color w:val="auto"/>
          <w:spacing w:val="0"/>
          <w:w w:val="100"/>
          <w:kern w:val="0"/>
          <w:sz w:val="24"/>
          <w:szCs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（12）《排污单位自行监测技术指南水处理》（HJ1083-2020）；</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（13）《危险废物识别标志设置技术规范》（HJ1276—2022）</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（14）《排污许可证申请与核发技术规范 水处理（试行）》（HJ978-2018）；</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（15）《排污许可证申请与核发技术规范 水处理通用工序》（HJ1120-2020）。</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2.1.5相关技术文件</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（1）《肇源县风瀚环保科技有限公司3号平台压裂液供水工程水资源论证报告》（哈尔滨众鼎隆科技有限公司）；</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（2）建设单位提供的其他资料。</w:t>
      </w:r>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18" w:name="_Toc18820"/>
      <w:r>
        <w:rPr>
          <w:rFonts w:hint="default" w:ascii="Times New Roman" w:hAnsi="Times New Roman" w:eastAsia="宋体" w:cs="Times New Roman"/>
          <w:snapToGrid/>
          <w:color w:val="auto"/>
          <w:sz w:val="32"/>
          <w:highlight w:val="none"/>
          <w:lang w:val="en-US" w:eastAsia="zh-CN" w:bidi="ar-SA"/>
        </w:rPr>
        <w:t>2.2评价因子识别与筛选</w:t>
      </w:r>
      <w:bookmarkEnd w:id="18"/>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2.2.1环境影响因素识别</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（1）施工期</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本</w:t>
      </w:r>
      <w:r>
        <w:rPr>
          <w:rFonts w:hint="eastAsia" w:cs="Times New Roman"/>
          <w:caps w:val="0"/>
          <w:smallCaps w:val="0"/>
          <w:color w:val="auto"/>
          <w:spacing w:val="0"/>
          <w:w w:val="100"/>
          <w:kern w:val="0"/>
          <w:sz w:val="24"/>
          <w:szCs w:val="24"/>
          <w:highlight w:val="none"/>
          <w:lang w:val="en-US" w:eastAsia="zh-CN"/>
        </w:rPr>
        <w:t>项目</w:t>
      </w:r>
      <w:r>
        <w:rPr>
          <w:rFonts w:hint="default" w:cs="Times New Roman"/>
          <w:caps w:val="0"/>
          <w:smallCaps w:val="0"/>
          <w:color w:val="auto"/>
          <w:spacing w:val="0"/>
          <w:w w:val="100"/>
          <w:kern w:val="0"/>
          <w:sz w:val="24"/>
          <w:szCs w:val="24"/>
          <w:highlight w:val="none"/>
          <w:lang w:val="en-US" w:eastAsia="zh-CN"/>
        </w:rPr>
        <w:t>施工期影响以生态影响为主，主要是施工过程中</w:t>
      </w:r>
      <w:r>
        <w:rPr>
          <w:rFonts w:hint="eastAsia" w:cs="Times New Roman"/>
          <w:caps w:val="0"/>
          <w:smallCaps w:val="0"/>
          <w:color w:val="auto"/>
          <w:spacing w:val="0"/>
          <w:w w:val="100"/>
          <w:kern w:val="0"/>
          <w:sz w:val="24"/>
          <w:szCs w:val="24"/>
          <w:highlight w:val="none"/>
          <w:lang w:val="en-US" w:eastAsia="zh-CN"/>
        </w:rPr>
        <w:t>站址建设过程中</w:t>
      </w:r>
      <w:r>
        <w:rPr>
          <w:rFonts w:hint="default" w:cs="Times New Roman"/>
          <w:caps w:val="0"/>
          <w:smallCaps w:val="0"/>
          <w:color w:val="auto"/>
          <w:spacing w:val="0"/>
          <w:w w:val="100"/>
          <w:kern w:val="0"/>
          <w:sz w:val="24"/>
          <w:szCs w:val="24"/>
          <w:highlight w:val="none"/>
          <w:lang w:val="en-US" w:eastAsia="zh-CN"/>
        </w:rPr>
        <w:t>场地清理、基础开挖、建筑施工</w:t>
      </w:r>
      <w:r>
        <w:rPr>
          <w:rFonts w:hint="eastAsia" w:cs="Times New Roman"/>
          <w:caps w:val="0"/>
          <w:smallCaps w:val="0"/>
          <w:color w:val="auto"/>
          <w:spacing w:val="0"/>
          <w:w w:val="100"/>
          <w:kern w:val="0"/>
          <w:sz w:val="24"/>
          <w:szCs w:val="24"/>
          <w:highlight w:val="none"/>
          <w:lang w:val="en-US" w:eastAsia="zh-CN"/>
        </w:rPr>
        <w:t>；输液管道施工建设过程中，临时占地改变土地利用类型，施工建设对耕作层及黑土地的碾压及破坏，施工活动对沿线植被、动物以及生态系统的影响。施工过程的施工废气、噪声、废水、固体废物对环境空气、声环境、水环境也会产生一定影响。</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（2）运行期</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项目</w:t>
      </w:r>
      <w:r>
        <w:rPr>
          <w:rFonts w:hint="default" w:cs="Times New Roman"/>
          <w:caps w:val="0"/>
          <w:smallCaps w:val="0"/>
          <w:color w:val="auto"/>
          <w:spacing w:val="0"/>
          <w:w w:val="100"/>
          <w:kern w:val="0"/>
          <w:sz w:val="24"/>
          <w:szCs w:val="24"/>
          <w:highlight w:val="none"/>
          <w:lang w:val="en-US" w:eastAsia="zh-CN"/>
        </w:rPr>
        <w:t>运</w:t>
      </w:r>
      <w:r>
        <w:rPr>
          <w:rFonts w:hint="eastAsia" w:cs="Times New Roman"/>
          <w:caps w:val="0"/>
          <w:smallCaps w:val="0"/>
          <w:color w:val="auto"/>
          <w:spacing w:val="0"/>
          <w:w w:val="100"/>
          <w:kern w:val="0"/>
          <w:sz w:val="24"/>
          <w:szCs w:val="24"/>
          <w:highlight w:val="none"/>
          <w:lang w:val="en-US" w:eastAsia="zh-CN"/>
        </w:rPr>
        <w:t>行</w:t>
      </w:r>
      <w:r>
        <w:rPr>
          <w:rFonts w:hint="default" w:cs="Times New Roman"/>
          <w:caps w:val="0"/>
          <w:smallCaps w:val="0"/>
          <w:color w:val="auto"/>
          <w:spacing w:val="0"/>
          <w:w w:val="100"/>
          <w:kern w:val="0"/>
          <w:sz w:val="24"/>
          <w:szCs w:val="24"/>
          <w:highlight w:val="none"/>
          <w:lang w:val="en-US" w:eastAsia="zh-CN"/>
        </w:rPr>
        <w:t>期以污染影响为主</w:t>
      </w:r>
      <w:r>
        <w:rPr>
          <w:rFonts w:hint="eastAsia" w:cs="Times New Roman"/>
          <w:caps w:val="0"/>
          <w:smallCaps w:val="0"/>
          <w:color w:val="auto"/>
          <w:spacing w:val="0"/>
          <w:w w:val="100"/>
          <w:kern w:val="0"/>
          <w:sz w:val="24"/>
          <w:szCs w:val="24"/>
          <w:highlight w:val="none"/>
          <w:lang w:val="en-US" w:eastAsia="zh-CN"/>
        </w:rPr>
        <w:t>，</w:t>
      </w:r>
      <w:r>
        <w:rPr>
          <w:rFonts w:hint="default" w:cs="Times New Roman"/>
          <w:caps w:val="0"/>
          <w:smallCaps w:val="0"/>
          <w:color w:val="auto"/>
          <w:spacing w:val="0"/>
          <w:w w:val="100"/>
          <w:kern w:val="0"/>
          <w:sz w:val="24"/>
          <w:szCs w:val="24"/>
          <w:highlight w:val="none"/>
          <w:lang w:val="en-US" w:eastAsia="zh-CN"/>
        </w:rPr>
        <w:t>主要是</w:t>
      </w:r>
      <w:r>
        <w:rPr>
          <w:rFonts w:hint="eastAsia" w:cs="Times New Roman"/>
          <w:caps w:val="0"/>
          <w:smallCaps w:val="0"/>
          <w:color w:val="auto"/>
          <w:spacing w:val="0"/>
          <w:w w:val="100"/>
          <w:kern w:val="0"/>
          <w:sz w:val="24"/>
          <w:szCs w:val="24"/>
          <w:highlight w:val="none"/>
          <w:lang w:val="en-US" w:eastAsia="zh-CN"/>
        </w:rPr>
        <w:t>运行</w:t>
      </w:r>
      <w:r>
        <w:rPr>
          <w:rFonts w:hint="default" w:cs="Times New Roman"/>
          <w:caps w:val="0"/>
          <w:smallCaps w:val="0"/>
          <w:color w:val="auto"/>
          <w:spacing w:val="0"/>
          <w:w w:val="100"/>
          <w:kern w:val="0"/>
          <w:sz w:val="24"/>
          <w:szCs w:val="24"/>
          <w:highlight w:val="none"/>
          <w:lang w:val="en-US" w:eastAsia="zh-CN"/>
        </w:rPr>
        <w:t>过程中的三废排放和噪声污染。大气污染源</w:t>
      </w:r>
      <w:r>
        <w:rPr>
          <w:rFonts w:hint="eastAsia" w:cs="Times New Roman"/>
          <w:caps w:val="0"/>
          <w:smallCaps w:val="0"/>
          <w:color w:val="auto"/>
          <w:spacing w:val="0"/>
          <w:w w:val="100"/>
          <w:kern w:val="0"/>
          <w:sz w:val="24"/>
          <w:szCs w:val="24"/>
          <w:highlight w:val="none"/>
          <w:lang w:val="en-US" w:eastAsia="zh-CN"/>
        </w:rPr>
        <w:t>为废水及污泥处置过程中产生的恶臭气体，运行过程中产生的挥发性气体及食堂运行产生的饮食业油烟</w:t>
      </w:r>
      <w:r>
        <w:rPr>
          <w:rFonts w:hint="default" w:cs="Times New Roman"/>
          <w:caps w:val="0"/>
          <w:smallCaps w:val="0"/>
          <w:color w:val="auto"/>
          <w:spacing w:val="0"/>
          <w:w w:val="100"/>
          <w:kern w:val="0"/>
          <w:sz w:val="24"/>
          <w:szCs w:val="24"/>
          <w:highlight w:val="none"/>
          <w:lang w:val="en-US" w:eastAsia="zh-CN"/>
        </w:rPr>
        <w:t>；水污染源</w:t>
      </w:r>
      <w:r>
        <w:rPr>
          <w:rFonts w:hint="eastAsia" w:cs="Times New Roman"/>
          <w:caps w:val="0"/>
          <w:smallCaps w:val="0"/>
          <w:color w:val="auto"/>
          <w:spacing w:val="0"/>
          <w:w w:val="100"/>
          <w:kern w:val="0"/>
          <w:sz w:val="24"/>
          <w:szCs w:val="24"/>
          <w:highlight w:val="none"/>
          <w:lang w:val="en-US" w:eastAsia="zh-CN"/>
        </w:rPr>
        <w:t>为站内人员生活污水、初期雨水、污泥离心浓缩废水及事故废水；噪声源为泵类、风机及运行的设备；</w:t>
      </w:r>
      <w:r>
        <w:rPr>
          <w:rFonts w:hint="default" w:cs="Times New Roman"/>
          <w:caps w:val="0"/>
          <w:smallCaps w:val="0"/>
          <w:color w:val="auto"/>
          <w:spacing w:val="0"/>
          <w:w w:val="100"/>
          <w:kern w:val="0"/>
          <w:sz w:val="24"/>
          <w:szCs w:val="24"/>
          <w:highlight w:val="none"/>
          <w:lang w:val="en-US" w:eastAsia="zh-CN"/>
        </w:rPr>
        <w:t>固体废物主要是</w:t>
      </w:r>
      <w:r>
        <w:rPr>
          <w:rFonts w:hint="eastAsia" w:cs="Times New Roman"/>
          <w:caps w:val="0"/>
          <w:smallCaps w:val="0"/>
          <w:color w:val="auto"/>
          <w:spacing w:val="0"/>
          <w:w w:val="100"/>
          <w:kern w:val="0"/>
          <w:sz w:val="24"/>
          <w:szCs w:val="24"/>
          <w:highlight w:val="none"/>
          <w:lang w:val="en-US" w:eastAsia="zh-CN"/>
        </w:rPr>
        <w:t>废水处理过程产生的胶质物质、污油及污泥，站内运行产生的罐底油泥、废机油、废弃的含油抹布和劳保用品，废药剂包装袋，生活垃圾。管道正常工况下无污染物排放。仅存在管道破损导致废水泄漏污染地表水、土壤及地下水的环境风险。</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评价结合项目各评价时段主要活动、区域环境特征，对本项目涉及的环境要素可能造成的影响进行识别，识别结果见表2.2-1。</w:t>
      </w:r>
    </w:p>
    <w:p>
      <w:pP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rPr>
        <w:br w:type="page"/>
      </w:r>
    </w:p>
    <w:p>
      <w:pPr>
        <w:pStyle w:val="2"/>
        <w:ind w:left="0" w:leftChars="0" w:firstLine="0" w:firstLineChars="0"/>
        <w:jc w:val="cente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pStyle w:val="2"/>
        <w:ind w:left="0" w:leftChars="0" w:firstLine="0" w:firstLineChars="0"/>
        <w:jc w:val="center"/>
        <w:rPr>
          <w:rFonts w:hint="default" w:ascii="Times New Roman" w:hAnsi="Times New Roman" w:eastAsia="宋体" w:cs="Times New Roman"/>
          <w:b/>
          <w:bCs/>
          <w:caps w:val="0"/>
          <w:smallCaps w:val="0"/>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lang w:val="en-US" w:eastAsia="zh-CN" w:bidi="ar-SA"/>
        </w:rPr>
        <w:t>表2.2-1环境影响因子识别结果统计表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77"/>
        <w:gridCol w:w="627"/>
        <w:gridCol w:w="1323"/>
        <w:gridCol w:w="2027"/>
        <w:gridCol w:w="1115"/>
        <w:gridCol w:w="945"/>
        <w:gridCol w:w="945"/>
        <w:gridCol w:w="945"/>
        <w:gridCol w:w="945"/>
        <w:gridCol w:w="945"/>
        <w:gridCol w:w="945"/>
        <w:gridCol w:w="945"/>
        <w:gridCol w:w="945"/>
        <w:gridCol w:w="94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577" w:type="dxa"/>
            <w:vMerge w:val="restart"/>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施工期</w:t>
            </w:r>
          </w:p>
        </w:tc>
        <w:tc>
          <w:tcPr>
            <w:tcW w:w="1950" w:type="dxa"/>
            <w:gridSpan w:val="2"/>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环境影响因素</w:t>
            </w:r>
          </w:p>
        </w:tc>
        <w:tc>
          <w:tcPr>
            <w:tcW w:w="2027"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主要影响因子</w:t>
            </w:r>
          </w:p>
        </w:tc>
        <w:tc>
          <w:tcPr>
            <w:tcW w:w="111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环境空气</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地表水</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地下水</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土壤</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声环境</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植被</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动物</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景观</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水土</w:t>
            </w:r>
          </w:p>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流失</w:t>
            </w:r>
          </w:p>
        </w:tc>
        <w:tc>
          <w:tcPr>
            <w:tcW w:w="945"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其他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627" w:type="dxa"/>
            <w:vMerge w:val="restart"/>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废水</w:t>
            </w:r>
          </w:p>
        </w:tc>
        <w:tc>
          <w:tcPr>
            <w:tcW w:w="1323"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施工人员生活污水</w:t>
            </w:r>
          </w:p>
        </w:tc>
        <w:tc>
          <w:tcPr>
            <w:tcW w:w="2027"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COD、氨氮</w:t>
            </w:r>
          </w:p>
        </w:tc>
        <w:tc>
          <w:tcPr>
            <w:tcW w:w="1115"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施工废水</w:t>
            </w:r>
          </w:p>
        </w:tc>
        <w:tc>
          <w:tcPr>
            <w:tcW w:w="2027"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SS</w:t>
            </w:r>
          </w:p>
        </w:tc>
        <w:tc>
          <w:tcPr>
            <w:tcW w:w="1115"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27" w:type="dxa"/>
            <w:vMerge w:val="restart"/>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废气</w:t>
            </w: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施工</w:t>
            </w:r>
            <w:r>
              <w:rPr>
                <w:rFonts w:hint="eastAsia" w:ascii="Times New Roman" w:hAnsi="Times New Roman" w:eastAsia="宋体" w:cs="Times New Roman"/>
                <w:color w:val="auto"/>
                <w:kern w:val="0"/>
                <w:sz w:val="21"/>
                <w:szCs w:val="21"/>
                <w:highlight w:val="none"/>
                <w:lang w:val="en-US" w:eastAsia="zh-CN"/>
              </w:rPr>
              <w:t>扬尘</w:t>
            </w:r>
          </w:p>
        </w:tc>
        <w:tc>
          <w:tcPr>
            <w:tcW w:w="2027"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粉尘</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焊接烟尘</w:t>
            </w:r>
          </w:p>
        </w:tc>
        <w:tc>
          <w:tcPr>
            <w:tcW w:w="2027"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Fe</w:t>
            </w:r>
            <w:r>
              <w:rPr>
                <w:rFonts w:hint="eastAsia" w:ascii="Times New Roman" w:hAnsi="Times New Roman" w:eastAsia="宋体" w:cs="Times New Roman"/>
                <w:color w:val="auto"/>
                <w:kern w:val="0"/>
                <w:sz w:val="21"/>
                <w:szCs w:val="21"/>
                <w:highlight w:val="none"/>
                <w:vertAlign w:val="subscript"/>
                <w:lang w:val="en-US" w:eastAsia="zh-CN"/>
              </w:rPr>
              <w:t>2</w:t>
            </w:r>
            <w:r>
              <w:rPr>
                <w:rFonts w:hint="eastAsia" w:ascii="Times New Roman" w:hAnsi="Times New Roman" w:eastAsia="宋体" w:cs="Times New Roman"/>
                <w:color w:val="auto"/>
                <w:kern w:val="0"/>
                <w:sz w:val="21"/>
                <w:szCs w:val="21"/>
                <w:highlight w:val="none"/>
                <w:lang w:val="en-US" w:eastAsia="zh-CN"/>
              </w:rPr>
              <w:t>O</w:t>
            </w:r>
            <w:r>
              <w:rPr>
                <w:rFonts w:hint="eastAsia" w:ascii="Times New Roman" w:hAnsi="Times New Roman" w:eastAsia="宋体" w:cs="Times New Roman"/>
                <w:color w:val="auto"/>
                <w:kern w:val="0"/>
                <w:sz w:val="21"/>
                <w:szCs w:val="21"/>
                <w:highlight w:val="none"/>
                <w:vertAlign w:val="subscript"/>
                <w:lang w:val="en-US" w:eastAsia="zh-CN"/>
              </w:rPr>
              <w:t>3</w:t>
            </w:r>
            <w:r>
              <w:rPr>
                <w:rFonts w:hint="eastAsia" w:ascii="Times New Roman" w:hAnsi="Times New Roman" w:eastAsia="宋体" w:cs="Times New Roman"/>
                <w:color w:val="auto"/>
                <w:kern w:val="0"/>
                <w:sz w:val="21"/>
                <w:szCs w:val="21"/>
                <w:highlight w:val="none"/>
                <w:lang w:val="en-US" w:eastAsia="zh-CN"/>
              </w:rPr>
              <w:t>、SiO</w:t>
            </w:r>
            <w:r>
              <w:rPr>
                <w:rFonts w:hint="eastAsia" w:ascii="Times New Roman" w:hAnsi="Times New Roman" w:eastAsia="宋体" w:cs="Times New Roman"/>
                <w:color w:val="auto"/>
                <w:kern w:val="0"/>
                <w:sz w:val="21"/>
                <w:szCs w:val="21"/>
                <w:highlight w:val="none"/>
                <w:vertAlign w:val="subscript"/>
                <w:lang w:val="en-US" w:eastAsia="zh-CN"/>
              </w:rPr>
              <w:t>2</w:t>
            </w:r>
            <w:r>
              <w:rPr>
                <w:rFonts w:hint="eastAsia" w:ascii="Times New Roman" w:hAnsi="Times New Roman" w:eastAsia="宋体" w:cs="Times New Roman"/>
                <w:color w:val="auto"/>
                <w:kern w:val="0"/>
                <w:sz w:val="21"/>
                <w:szCs w:val="21"/>
                <w:highlight w:val="none"/>
                <w:lang w:val="en-US" w:eastAsia="zh-CN"/>
              </w:rPr>
              <w:t>、MnO、HF等</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车辆尾气</w:t>
            </w:r>
          </w:p>
        </w:tc>
        <w:tc>
          <w:tcPr>
            <w:tcW w:w="2027"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NO</w:t>
            </w:r>
            <w:r>
              <w:rPr>
                <w:rFonts w:hint="eastAsia" w:ascii="Times New Roman" w:hAnsi="Times New Roman" w:eastAsia="宋体" w:cs="Times New Roman"/>
                <w:color w:val="auto"/>
                <w:kern w:val="0"/>
                <w:sz w:val="21"/>
                <w:szCs w:val="21"/>
                <w:highlight w:val="none"/>
                <w:vertAlign w:val="subscript"/>
                <w:lang w:val="en-US" w:eastAsia="zh-CN"/>
              </w:rPr>
              <w:t>X</w:t>
            </w:r>
            <w:r>
              <w:rPr>
                <w:rFonts w:hint="eastAsia" w:ascii="Times New Roman" w:hAnsi="Times New Roman" w:eastAsia="宋体" w:cs="Times New Roman"/>
                <w:color w:val="auto"/>
                <w:kern w:val="0"/>
                <w:sz w:val="21"/>
                <w:szCs w:val="21"/>
                <w:highlight w:val="none"/>
                <w:lang w:val="en-US" w:eastAsia="zh-CN"/>
              </w:rPr>
              <w:t>、CO及HC等</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27"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噪声</w:t>
            </w: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施工噪声</w:t>
            </w:r>
          </w:p>
        </w:tc>
        <w:tc>
          <w:tcPr>
            <w:tcW w:w="2027"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等效A声级</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27" w:type="dxa"/>
            <w:vMerge w:val="restart"/>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固废</w:t>
            </w: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建筑垃圾</w:t>
            </w:r>
          </w:p>
        </w:tc>
        <w:tc>
          <w:tcPr>
            <w:tcW w:w="2027" w:type="dxa"/>
            <w:tcBorders>
              <w:tl2br w:val="nil"/>
              <w:tr2bl w:val="nil"/>
            </w:tcBorders>
            <w:vAlign w:val="center"/>
          </w:tcPr>
          <w:p>
            <w:pPr>
              <w:spacing w:line="360" w:lineRule="exact"/>
              <w:ind w:firstLine="0" w:firstLineChars="0"/>
              <w:jc w:val="both"/>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砂石、石块、碎砖瓦、废金属、废钢筋</w:t>
            </w:r>
            <w:r>
              <w:rPr>
                <w:rFonts w:hint="eastAsia" w:cs="Times New Roman"/>
                <w:color w:val="auto"/>
                <w:kern w:val="0"/>
                <w:sz w:val="21"/>
                <w:szCs w:val="21"/>
                <w:highlight w:val="none"/>
                <w:lang w:val="en-US" w:eastAsia="zh-CN"/>
              </w:rPr>
              <w:t>、</w:t>
            </w:r>
            <w:r>
              <w:rPr>
                <w:rFonts w:hint="eastAsia" w:ascii="Times New Roman" w:hAnsi="Times New Roman" w:eastAsia="宋体" w:cs="Times New Roman"/>
                <w:color w:val="auto"/>
                <w:kern w:val="0"/>
                <w:sz w:val="21"/>
                <w:szCs w:val="21"/>
                <w:highlight w:val="none"/>
                <w:lang w:val="en-US" w:eastAsia="zh-CN"/>
              </w:rPr>
              <w:t>管材施工废料</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施工人员生活垃圾</w:t>
            </w:r>
          </w:p>
        </w:tc>
        <w:tc>
          <w:tcPr>
            <w:tcW w:w="2027"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生活垃圾</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废弃泥浆</w:t>
            </w:r>
          </w:p>
        </w:tc>
        <w:tc>
          <w:tcPr>
            <w:tcW w:w="2027"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废弃泥浆</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清管废物</w:t>
            </w:r>
          </w:p>
        </w:tc>
        <w:tc>
          <w:tcPr>
            <w:tcW w:w="2027"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泥沙</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627"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生态</w:t>
            </w:r>
          </w:p>
        </w:tc>
        <w:tc>
          <w:tcPr>
            <w:tcW w:w="1323"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施工场地临时工程</w:t>
            </w:r>
          </w:p>
        </w:tc>
        <w:tc>
          <w:tcPr>
            <w:tcW w:w="2027"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临时占地破坏土壤，影响农业生产、动植物生境，改变景观</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restart"/>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运行期</w:t>
            </w:r>
          </w:p>
        </w:tc>
        <w:tc>
          <w:tcPr>
            <w:tcW w:w="627" w:type="dxa"/>
            <w:vMerge w:val="restart"/>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废水</w:t>
            </w: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处理达标尾水</w:t>
            </w:r>
          </w:p>
        </w:tc>
        <w:tc>
          <w:tcPr>
            <w:tcW w:w="2027"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SS</w:t>
            </w:r>
            <w:r>
              <w:rPr>
                <w:rFonts w:hint="eastAsia" w:ascii="Times New Roman" w:hAnsi="Times New Roman" w:cs="Times New Roman"/>
                <w:color w:val="auto"/>
                <w:kern w:val="0"/>
                <w:sz w:val="21"/>
                <w:szCs w:val="21"/>
                <w:highlight w:val="none"/>
                <w:lang w:val="en-US" w:eastAsia="zh-CN"/>
              </w:rPr>
              <w:t>、石油类</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初期雨水</w:t>
            </w:r>
          </w:p>
        </w:tc>
        <w:tc>
          <w:tcPr>
            <w:tcW w:w="2027"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石油类</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生活污水</w:t>
            </w:r>
          </w:p>
        </w:tc>
        <w:tc>
          <w:tcPr>
            <w:tcW w:w="2027"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COD、氨氮</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污泥离心浓缩废水</w:t>
            </w:r>
          </w:p>
        </w:tc>
        <w:tc>
          <w:tcPr>
            <w:tcW w:w="2027" w:type="dxa"/>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石油类</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事故废水</w:t>
            </w:r>
          </w:p>
        </w:tc>
        <w:tc>
          <w:tcPr>
            <w:tcW w:w="2027" w:type="dxa"/>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有害物质</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restart"/>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废气</w:t>
            </w:r>
          </w:p>
        </w:tc>
        <w:tc>
          <w:tcPr>
            <w:tcW w:w="1323" w:type="dxa"/>
            <w:tcBorders>
              <w:tl2br w:val="nil"/>
              <w:tr2bl w:val="nil"/>
            </w:tcBorders>
            <w:vAlign w:val="center"/>
          </w:tcPr>
          <w:p>
            <w:pPr>
              <w:pStyle w:val="18"/>
              <w:spacing w:line="360" w:lineRule="exact"/>
              <w:ind w:firstLine="0" w:firstLineChars="0"/>
              <w:jc w:val="both"/>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挥发性气体</w:t>
            </w:r>
          </w:p>
        </w:tc>
        <w:tc>
          <w:tcPr>
            <w:tcW w:w="2027"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非甲烷总体</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both"/>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恶臭气体</w:t>
            </w:r>
          </w:p>
        </w:tc>
        <w:tc>
          <w:tcPr>
            <w:tcW w:w="2027" w:type="dxa"/>
            <w:tcBorders>
              <w:tl2br w:val="nil"/>
              <w:tr2bl w:val="nil"/>
            </w:tcBorders>
            <w:vAlign w:val="center"/>
          </w:tcPr>
          <w:p>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H</w:t>
            </w:r>
            <w:r>
              <w:rPr>
                <w:rFonts w:hint="eastAsia" w:ascii="Times New Roman" w:hAnsi="Times New Roman" w:cs="Times New Roman"/>
                <w:color w:val="auto"/>
                <w:kern w:val="0"/>
                <w:sz w:val="21"/>
                <w:szCs w:val="21"/>
                <w:highlight w:val="none"/>
                <w:vertAlign w:val="subscript"/>
                <w:lang w:val="en-US" w:eastAsia="zh-CN"/>
              </w:rPr>
              <w:t>2</w:t>
            </w:r>
            <w:r>
              <w:rPr>
                <w:rFonts w:hint="eastAsia" w:ascii="Times New Roman" w:hAnsi="Times New Roman" w:cs="Times New Roman"/>
                <w:color w:val="auto"/>
                <w:kern w:val="0"/>
                <w:sz w:val="21"/>
                <w:szCs w:val="21"/>
                <w:highlight w:val="none"/>
                <w:lang w:val="en-US" w:eastAsia="zh-CN"/>
              </w:rPr>
              <w:t>S、NH</w:t>
            </w:r>
            <w:r>
              <w:rPr>
                <w:rFonts w:hint="eastAsia" w:ascii="Times New Roman" w:hAnsi="Times New Roman" w:cs="Times New Roman"/>
                <w:color w:val="auto"/>
                <w:kern w:val="0"/>
                <w:sz w:val="21"/>
                <w:szCs w:val="21"/>
                <w:highlight w:val="none"/>
                <w:vertAlign w:val="subscript"/>
                <w:lang w:val="en-US" w:eastAsia="zh-CN"/>
              </w:rPr>
              <w:t>3</w:t>
            </w:r>
            <w:r>
              <w:rPr>
                <w:rFonts w:hint="eastAsia" w:cs="Times New Roman"/>
                <w:color w:val="auto"/>
                <w:kern w:val="0"/>
                <w:sz w:val="21"/>
                <w:szCs w:val="21"/>
                <w:highlight w:val="none"/>
                <w:vertAlign w:val="baseline"/>
                <w:lang w:val="en-US" w:eastAsia="zh-CN"/>
              </w:rPr>
              <w:t>、臭气浓度</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食堂油烟</w:t>
            </w:r>
          </w:p>
        </w:tc>
        <w:tc>
          <w:tcPr>
            <w:tcW w:w="2027"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饮食业油烟</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噪声</w:t>
            </w: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运行噪声</w:t>
            </w:r>
          </w:p>
        </w:tc>
        <w:tc>
          <w:tcPr>
            <w:tcW w:w="2027"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等效A声级</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restart"/>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固废</w:t>
            </w:r>
          </w:p>
        </w:tc>
        <w:tc>
          <w:tcPr>
            <w:tcW w:w="1323" w:type="dxa"/>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胶质物质</w:t>
            </w:r>
          </w:p>
        </w:tc>
        <w:tc>
          <w:tcPr>
            <w:tcW w:w="2027" w:type="dxa"/>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石油类</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污泥</w:t>
            </w:r>
          </w:p>
        </w:tc>
        <w:tc>
          <w:tcPr>
            <w:tcW w:w="2027" w:type="dxa"/>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石油类</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污油</w:t>
            </w:r>
          </w:p>
        </w:tc>
        <w:tc>
          <w:tcPr>
            <w:tcW w:w="2027" w:type="dxa"/>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石油类</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废机油</w:t>
            </w:r>
          </w:p>
        </w:tc>
        <w:tc>
          <w:tcPr>
            <w:tcW w:w="2027"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废机油</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生活垃圾</w:t>
            </w:r>
          </w:p>
        </w:tc>
        <w:tc>
          <w:tcPr>
            <w:tcW w:w="2027"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生活垃圾</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罐底油泥</w:t>
            </w:r>
          </w:p>
        </w:tc>
        <w:tc>
          <w:tcPr>
            <w:tcW w:w="2027" w:type="dxa"/>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石油类</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both"/>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废弃的含油抹布和劳保用品</w:t>
            </w:r>
          </w:p>
        </w:tc>
        <w:tc>
          <w:tcPr>
            <w:tcW w:w="2027" w:type="dxa"/>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石油类</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废药剂包装袋</w:t>
            </w:r>
          </w:p>
        </w:tc>
        <w:tc>
          <w:tcPr>
            <w:tcW w:w="2027"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废药剂包装袋</w:t>
            </w:r>
          </w:p>
        </w:tc>
        <w:tc>
          <w:tcPr>
            <w:tcW w:w="111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restart"/>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风险</w:t>
            </w: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罐区污油泄漏</w:t>
            </w:r>
          </w:p>
        </w:tc>
        <w:tc>
          <w:tcPr>
            <w:tcW w:w="2027"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石油类</w:t>
            </w:r>
          </w:p>
        </w:tc>
        <w:tc>
          <w:tcPr>
            <w:tcW w:w="111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627" w:type="dxa"/>
            <w:vMerge w:val="continue"/>
            <w:tcBorders>
              <w:tl2br w:val="nil"/>
              <w:tr2bl w:val="nil"/>
            </w:tcBorders>
            <w:vAlign w:val="center"/>
          </w:tcPr>
          <w:p>
            <w:pPr>
              <w:pStyle w:val="18"/>
              <w:spacing w:line="360" w:lineRule="exact"/>
              <w:ind w:firstLine="0" w:firstLineChars="0"/>
              <w:jc w:val="center"/>
              <w:rPr>
                <w:rFonts w:hint="eastAsia" w:ascii="Times New Roman" w:hAnsi="Times New Roman" w:cs="Times New Roman"/>
                <w:color w:val="auto"/>
                <w:kern w:val="0"/>
                <w:sz w:val="21"/>
                <w:szCs w:val="21"/>
                <w:highlight w:val="none"/>
                <w:lang w:val="en-US" w:eastAsia="zh-CN"/>
              </w:rPr>
            </w:pPr>
          </w:p>
        </w:tc>
        <w:tc>
          <w:tcPr>
            <w:tcW w:w="1323" w:type="dxa"/>
            <w:tcBorders>
              <w:tl2br w:val="nil"/>
              <w:tr2bl w:val="nil"/>
            </w:tcBorders>
            <w:vAlign w:val="center"/>
          </w:tcPr>
          <w:p>
            <w:pPr>
              <w:pStyle w:val="18"/>
              <w:spacing w:line="360" w:lineRule="exact"/>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输液管道尾水泄漏</w:t>
            </w:r>
          </w:p>
        </w:tc>
        <w:tc>
          <w:tcPr>
            <w:tcW w:w="2027"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COD、石油类</w:t>
            </w:r>
          </w:p>
        </w:tc>
        <w:tc>
          <w:tcPr>
            <w:tcW w:w="111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w:t>
            </w:r>
          </w:p>
        </w:tc>
        <w:tc>
          <w:tcPr>
            <w:tcW w:w="9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74" w:type="dxa"/>
            <w:gridSpan w:val="14"/>
            <w:tcBorders>
              <w:tl2br w:val="nil"/>
              <w:tr2bl w:val="nil"/>
            </w:tcBorders>
            <w:vAlign w:val="center"/>
          </w:tcPr>
          <w:p>
            <w:pPr>
              <w:pStyle w:val="18"/>
              <w:spacing w:line="360" w:lineRule="exact"/>
              <w:ind w:firstLine="0" w:firstLineChars="0"/>
              <w:jc w:val="both"/>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注：3—重大影响；2—中等影响；1—轻微影响；“+”——表示有利影响；“</w:t>
            </w:r>
            <w:r>
              <w:rPr>
                <w:rFonts w:hint="eastAsia" w:ascii="Times New Roman" w:hAnsi="Times New Roman" w:cs="Times New Roman"/>
                <w:color w:val="auto"/>
                <w:kern w:val="0"/>
                <w:sz w:val="21"/>
                <w:szCs w:val="21"/>
                <w:highlight w:val="none"/>
                <w:lang w:val="en-US" w:eastAsia="zh-CN"/>
              </w:rPr>
              <w:t>-</w:t>
            </w:r>
            <w:r>
              <w:rPr>
                <w:rFonts w:hint="eastAsia" w:ascii="Times New Roman" w:hAnsi="Times New Roman" w:eastAsia="宋体" w:cs="Times New Roman"/>
                <w:color w:val="auto"/>
                <w:kern w:val="0"/>
                <w:sz w:val="21"/>
                <w:szCs w:val="21"/>
                <w:highlight w:val="none"/>
                <w:lang w:val="en-US" w:eastAsia="zh-CN"/>
              </w:rPr>
              <w:t>”——表示不利影响</w:t>
            </w:r>
          </w:p>
        </w:tc>
      </w:tr>
    </w:tbl>
    <w:p>
      <w:pPr>
        <w:rPr>
          <w:rFonts w:hint="eastAsia" w:ascii="Times New Roman" w:hAnsi="Times New Roman" w:eastAsia="宋体" w:cs="Times New Roman"/>
          <w:caps w:val="0"/>
          <w:smallCaps w:val="0"/>
          <w:color w:val="auto"/>
          <w:spacing w:val="0"/>
          <w:w w:val="100"/>
          <w:kern w:val="0"/>
          <w:sz w:val="24"/>
          <w:szCs w:val="24"/>
          <w:highlight w:val="none"/>
          <w:vertAlign w:val="baseline"/>
          <w:lang w:val="en-US" w:eastAsia="zh-CN"/>
        </w:rPr>
      </w:pPr>
    </w:p>
    <w:p>
      <w:pPr>
        <w:pStyle w:val="2"/>
        <w:rPr>
          <w:rFonts w:hint="eastAsia" w:ascii="Times New Roman" w:hAnsi="Times New Roman" w:eastAsia="宋体" w:cs="Times New Roman"/>
          <w:caps w:val="0"/>
          <w:smallCaps w:val="0"/>
          <w:color w:val="auto"/>
          <w:spacing w:val="0"/>
          <w:w w:val="100"/>
          <w:kern w:val="0"/>
          <w:sz w:val="24"/>
          <w:szCs w:val="24"/>
          <w:highlight w:val="none"/>
          <w:vertAlign w:val="baseline"/>
          <w:lang w:val="en-US" w:eastAsia="zh-CN"/>
        </w:rPr>
      </w:pPr>
    </w:p>
    <w:p>
      <w:pPr>
        <w:rPr>
          <w:rFonts w:hint="eastAsia" w:ascii="Times New Roman" w:hAnsi="Times New Roman" w:eastAsia="宋体" w:cs="Times New Roman"/>
          <w:caps w:val="0"/>
          <w:smallCaps w:val="0"/>
          <w:color w:val="auto"/>
          <w:spacing w:val="0"/>
          <w:w w:val="100"/>
          <w:kern w:val="0"/>
          <w:sz w:val="24"/>
          <w:szCs w:val="24"/>
          <w:highlight w:val="none"/>
          <w:vertAlign w:val="baseline"/>
          <w:lang w:val="en-US" w:eastAsia="zh-CN"/>
        </w:rPr>
      </w:pPr>
    </w:p>
    <w:p>
      <w:pPr>
        <w:pStyle w:val="2"/>
        <w:rPr>
          <w:rFonts w:hint="eastAsia" w:ascii="Times New Roman" w:hAnsi="Times New Roman" w:eastAsia="宋体" w:cs="Times New Roman"/>
          <w:caps w:val="0"/>
          <w:smallCaps w:val="0"/>
          <w:color w:val="auto"/>
          <w:spacing w:val="0"/>
          <w:w w:val="100"/>
          <w:kern w:val="0"/>
          <w:sz w:val="24"/>
          <w:szCs w:val="24"/>
          <w:highlight w:val="none"/>
          <w:vertAlign w:val="baseline"/>
          <w:lang w:val="en-US" w:eastAsia="zh-CN"/>
        </w:rPr>
      </w:pPr>
    </w:p>
    <w:p>
      <w:pPr>
        <w:rPr>
          <w:rFonts w:hint="default"/>
          <w:color w:val="auto"/>
          <w:highlight w:val="none"/>
          <w:lang w:val="en-US" w:eastAsia="zh-CN"/>
        </w:rPr>
      </w:pPr>
    </w:p>
    <w:p>
      <w:pPr>
        <w:pStyle w:val="2"/>
        <w:ind w:left="0" w:leftChars="0" w:firstLine="480" w:firstLineChars="200"/>
        <w:rPr>
          <w:rFonts w:hint="default" w:ascii="Times New Roman" w:hAnsi="Times New Roman" w:eastAsia="宋体" w:cs="Times New Roman"/>
          <w:caps w:val="0"/>
          <w:smallCaps w:val="0"/>
          <w:color w:val="auto"/>
          <w:spacing w:val="0"/>
          <w:w w:val="100"/>
          <w:kern w:val="0"/>
          <w:sz w:val="24"/>
          <w:szCs w:val="24"/>
          <w:highlight w:val="none"/>
          <w:vertAlign w:val="baseline"/>
          <w:lang w:val="en-US" w:eastAsia="zh-CN"/>
        </w:rPr>
      </w:pPr>
    </w:p>
    <w:p>
      <w:pPr>
        <w:rPr>
          <w:rFonts w:hint="default" w:ascii="Times New Roman" w:hAnsi="Times New Roman" w:eastAsia="宋体" w:cs="Times New Roman"/>
          <w:caps w:val="0"/>
          <w:smallCaps w:val="0"/>
          <w:color w:val="auto"/>
          <w:spacing w:val="0"/>
          <w:w w:val="100"/>
          <w:kern w:val="0"/>
          <w:sz w:val="24"/>
          <w:szCs w:val="24"/>
          <w:highlight w:val="none"/>
          <w:vertAlign w:val="baseline"/>
          <w:lang w:val="en-US" w:eastAsia="zh-CN"/>
        </w:rPr>
      </w:pPr>
      <w:r>
        <w:rPr>
          <w:rFonts w:hint="default" w:ascii="Times New Roman" w:hAnsi="Times New Roman" w:eastAsia="宋体" w:cs="Times New Roman"/>
          <w:caps w:val="0"/>
          <w:smallCaps w:val="0"/>
          <w:color w:val="auto"/>
          <w:spacing w:val="0"/>
          <w:w w:val="100"/>
          <w:kern w:val="0"/>
          <w:sz w:val="24"/>
          <w:szCs w:val="24"/>
          <w:highlight w:val="none"/>
          <w:vertAlign w:val="baseline"/>
          <w:lang w:val="en-US" w:eastAsia="zh-CN"/>
        </w:rPr>
        <w:br w:type="page"/>
      </w:r>
    </w:p>
    <w:p>
      <w:pPr>
        <w:pStyle w:val="2"/>
        <w:ind w:left="0" w:leftChars="0" w:firstLine="480" w:firstLineChars="200"/>
        <w:rPr>
          <w:rFonts w:hint="default" w:ascii="Times New Roman" w:hAnsi="Times New Roman" w:eastAsia="宋体" w:cs="Times New Roman"/>
          <w:caps w:val="0"/>
          <w:smallCaps w:val="0"/>
          <w:color w:val="auto"/>
          <w:spacing w:val="0"/>
          <w:w w:val="100"/>
          <w:kern w:val="0"/>
          <w:sz w:val="24"/>
          <w:szCs w:val="24"/>
          <w:highlight w:val="none"/>
          <w:vertAlign w:val="baseline"/>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val="0"/>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2.2.2评价因子筛选</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default" w:cs="Times New Roman"/>
          <w:caps w:val="0"/>
          <w:smallCaps w:val="0"/>
          <w:color w:val="auto"/>
          <w:spacing w:val="0"/>
          <w:w w:val="100"/>
          <w:kern w:val="0"/>
          <w:sz w:val="24"/>
          <w:szCs w:val="24"/>
          <w:highlight w:val="none"/>
          <w:lang w:val="en-US" w:eastAsia="zh-CN"/>
        </w:rPr>
        <w:t>根据本工程特点及工程分析，确定本次评价的主要评价因子见表2.</w:t>
      </w:r>
      <w:r>
        <w:rPr>
          <w:rFonts w:hint="eastAsia" w:cs="Times New Roman"/>
          <w:caps w:val="0"/>
          <w:smallCaps w:val="0"/>
          <w:color w:val="auto"/>
          <w:spacing w:val="0"/>
          <w:w w:val="100"/>
          <w:kern w:val="0"/>
          <w:sz w:val="24"/>
          <w:szCs w:val="24"/>
          <w:highlight w:val="none"/>
          <w:lang w:val="en-US" w:eastAsia="zh-CN"/>
        </w:rPr>
        <w:t>2</w:t>
      </w:r>
      <w:r>
        <w:rPr>
          <w:rFonts w:hint="default" w:cs="Times New Roman"/>
          <w:caps w:val="0"/>
          <w:smallCaps w:val="0"/>
          <w:color w:val="auto"/>
          <w:spacing w:val="0"/>
          <w:w w:val="100"/>
          <w:kern w:val="0"/>
          <w:sz w:val="24"/>
          <w:szCs w:val="24"/>
          <w:highlight w:val="none"/>
          <w:lang w:val="en-US" w:eastAsia="zh-CN"/>
        </w:rPr>
        <w:t>-2</w:t>
      </w:r>
      <w:r>
        <w:rPr>
          <w:rFonts w:hint="eastAsia" w:cs="Times New Roman"/>
          <w:caps w:val="0"/>
          <w:smallCaps w:val="0"/>
          <w:color w:val="auto"/>
          <w:spacing w:val="0"/>
          <w:w w:val="100"/>
          <w:kern w:val="0"/>
          <w:sz w:val="24"/>
          <w:szCs w:val="24"/>
          <w:highlight w:val="none"/>
          <w:lang w:val="en-US" w:eastAsia="zh-CN"/>
        </w:rPr>
        <w:t>和表2.2-3。</w:t>
      </w:r>
    </w:p>
    <w:p>
      <w:pPr>
        <w:pStyle w:val="2"/>
        <w:keepNext w:val="0"/>
        <w:keepLines w:val="0"/>
        <w:pageBreakBefore w:val="0"/>
        <w:widowControl w:val="0"/>
        <w:kinsoku/>
        <w:wordWrap/>
        <w:overflowPunct/>
        <w:topLinePunct w:val="0"/>
        <w:autoSpaceDE/>
        <w:autoSpaceDN/>
        <w:bidi w:val="0"/>
        <w:spacing w:line="500" w:lineRule="exact"/>
        <w:ind w:left="0" w:leftChars="0" w:firstLine="0" w:firstLineChars="0"/>
        <w:jc w:val="center"/>
        <w:textAlignment w:val="auto"/>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rPr>
        <w:t>表2.2-2环境影响评价因子筛选结果汇总表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37"/>
        <w:gridCol w:w="1112"/>
        <w:gridCol w:w="3825"/>
        <w:gridCol w:w="274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tcBorders>
              <w:tl2br w:val="nil"/>
              <w:tr2bl w:val="nil"/>
            </w:tcBorders>
          </w:tcPr>
          <w:p>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序号</w:t>
            </w:r>
          </w:p>
        </w:tc>
        <w:tc>
          <w:tcPr>
            <w:tcW w:w="1112" w:type="dxa"/>
            <w:tcBorders>
              <w:tl2br w:val="nil"/>
              <w:tr2bl w:val="nil"/>
            </w:tcBorders>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环境要素</w:t>
            </w:r>
          </w:p>
        </w:tc>
        <w:tc>
          <w:tcPr>
            <w:tcW w:w="3825" w:type="dxa"/>
            <w:tcBorders>
              <w:tl2br w:val="nil"/>
              <w:tr2bl w:val="nil"/>
            </w:tcBorders>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现状评价因子</w:t>
            </w:r>
          </w:p>
        </w:tc>
        <w:tc>
          <w:tcPr>
            <w:tcW w:w="2742" w:type="dxa"/>
            <w:tcBorders>
              <w:tl2br w:val="nil"/>
              <w:tr2bl w:val="nil"/>
            </w:tcBorders>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预测评价因子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tcBorders>
              <w:tl2br w:val="nil"/>
              <w:tr2bl w:val="nil"/>
            </w:tcBorders>
            <w:vAlign w:val="center"/>
          </w:tcPr>
          <w:p>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w:t>
            </w:r>
          </w:p>
        </w:tc>
        <w:tc>
          <w:tcPr>
            <w:tcW w:w="1112"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环境空气</w:t>
            </w:r>
          </w:p>
        </w:tc>
        <w:tc>
          <w:tcPr>
            <w:tcW w:w="3825" w:type="dxa"/>
            <w:tcBorders>
              <w:tl2br w:val="nil"/>
              <w:tr2bl w:val="nil"/>
            </w:tcBorders>
          </w:tcPr>
          <w:p>
            <w:pPr>
              <w:spacing w:line="360" w:lineRule="exact"/>
              <w:ind w:firstLine="0" w:firstLineChars="0"/>
              <w:jc w:val="both"/>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SO</w:t>
            </w:r>
            <w:r>
              <w:rPr>
                <w:rFonts w:hint="eastAsia" w:ascii="Times New Roman" w:hAnsi="Times New Roman" w:eastAsia="宋体" w:cs="Times New Roman"/>
                <w:color w:val="auto"/>
                <w:kern w:val="0"/>
                <w:sz w:val="21"/>
                <w:szCs w:val="21"/>
                <w:highlight w:val="none"/>
                <w:vertAlign w:val="subscript"/>
                <w:lang w:val="en-US" w:eastAsia="zh-CN"/>
              </w:rPr>
              <w:t>2</w:t>
            </w:r>
            <w:r>
              <w:rPr>
                <w:rFonts w:hint="eastAsia" w:ascii="Times New Roman" w:hAnsi="Times New Roman" w:eastAsia="宋体" w:cs="Times New Roman"/>
                <w:color w:val="auto"/>
                <w:kern w:val="0"/>
                <w:sz w:val="21"/>
                <w:szCs w:val="21"/>
                <w:highlight w:val="none"/>
                <w:lang w:val="en-US" w:eastAsia="zh-CN"/>
              </w:rPr>
              <w:t>、NO</w:t>
            </w:r>
            <w:r>
              <w:rPr>
                <w:rFonts w:hint="eastAsia" w:ascii="Times New Roman" w:hAnsi="Times New Roman" w:eastAsia="宋体" w:cs="Times New Roman"/>
                <w:color w:val="auto"/>
                <w:kern w:val="0"/>
                <w:sz w:val="21"/>
                <w:szCs w:val="21"/>
                <w:highlight w:val="none"/>
                <w:vertAlign w:val="subscript"/>
                <w:lang w:val="en-US" w:eastAsia="zh-CN"/>
              </w:rPr>
              <w:t>2</w:t>
            </w:r>
            <w:r>
              <w:rPr>
                <w:rFonts w:hint="eastAsia" w:ascii="Times New Roman" w:hAnsi="Times New Roman" w:eastAsia="宋体" w:cs="Times New Roman"/>
                <w:color w:val="auto"/>
                <w:kern w:val="0"/>
                <w:sz w:val="21"/>
                <w:szCs w:val="21"/>
                <w:highlight w:val="none"/>
                <w:lang w:val="en-US" w:eastAsia="zh-CN"/>
              </w:rPr>
              <w:t>、PM</w:t>
            </w:r>
            <w:r>
              <w:rPr>
                <w:rFonts w:hint="eastAsia" w:ascii="Times New Roman" w:hAnsi="Times New Roman" w:eastAsia="宋体" w:cs="Times New Roman"/>
                <w:color w:val="auto"/>
                <w:kern w:val="0"/>
                <w:sz w:val="21"/>
                <w:szCs w:val="21"/>
                <w:highlight w:val="none"/>
                <w:vertAlign w:val="subscript"/>
                <w:lang w:val="en-US" w:eastAsia="zh-CN"/>
              </w:rPr>
              <w:t>10</w:t>
            </w:r>
            <w:r>
              <w:rPr>
                <w:rFonts w:hint="eastAsia" w:ascii="Times New Roman" w:hAnsi="Times New Roman" w:eastAsia="宋体" w:cs="Times New Roman"/>
                <w:color w:val="auto"/>
                <w:kern w:val="0"/>
                <w:sz w:val="21"/>
                <w:szCs w:val="21"/>
                <w:highlight w:val="none"/>
                <w:lang w:val="en-US" w:eastAsia="zh-CN"/>
              </w:rPr>
              <w:t>、PM</w:t>
            </w:r>
            <w:r>
              <w:rPr>
                <w:rFonts w:hint="eastAsia" w:ascii="Times New Roman" w:hAnsi="Times New Roman" w:eastAsia="宋体" w:cs="Times New Roman"/>
                <w:color w:val="auto"/>
                <w:kern w:val="0"/>
                <w:sz w:val="21"/>
                <w:szCs w:val="21"/>
                <w:highlight w:val="none"/>
                <w:vertAlign w:val="subscript"/>
                <w:lang w:val="en-US" w:eastAsia="zh-CN"/>
              </w:rPr>
              <w:t>2.5</w:t>
            </w:r>
            <w:r>
              <w:rPr>
                <w:rFonts w:hint="eastAsia" w:ascii="Times New Roman" w:hAnsi="Times New Roman" w:eastAsia="宋体" w:cs="Times New Roman"/>
                <w:color w:val="auto"/>
                <w:kern w:val="0"/>
                <w:sz w:val="21"/>
                <w:szCs w:val="21"/>
                <w:highlight w:val="none"/>
                <w:lang w:val="en-US" w:eastAsia="zh-CN"/>
              </w:rPr>
              <w:t>、O</w:t>
            </w:r>
            <w:r>
              <w:rPr>
                <w:rFonts w:hint="eastAsia" w:ascii="Times New Roman" w:hAnsi="Times New Roman" w:eastAsia="宋体" w:cs="Times New Roman"/>
                <w:color w:val="auto"/>
                <w:kern w:val="0"/>
                <w:sz w:val="21"/>
                <w:szCs w:val="21"/>
                <w:highlight w:val="none"/>
                <w:vertAlign w:val="subscript"/>
                <w:lang w:val="en-US" w:eastAsia="zh-CN"/>
              </w:rPr>
              <w:t>3</w:t>
            </w:r>
            <w:r>
              <w:rPr>
                <w:rFonts w:hint="eastAsia" w:ascii="Times New Roman" w:hAnsi="Times New Roman" w:eastAsia="宋体" w:cs="Times New Roman"/>
                <w:color w:val="auto"/>
                <w:kern w:val="0"/>
                <w:sz w:val="21"/>
                <w:szCs w:val="21"/>
                <w:highlight w:val="none"/>
                <w:lang w:val="en-US" w:eastAsia="zh-CN"/>
              </w:rPr>
              <w:t>、H</w:t>
            </w:r>
            <w:r>
              <w:rPr>
                <w:rFonts w:hint="eastAsia" w:ascii="Times New Roman" w:hAnsi="Times New Roman" w:eastAsia="宋体" w:cs="Times New Roman"/>
                <w:color w:val="auto"/>
                <w:kern w:val="0"/>
                <w:sz w:val="21"/>
                <w:szCs w:val="21"/>
                <w:highlight w:val="none"/>
                <w:vertAlign w:val="subscript"/>
                <w:lang w:val="en-US" w:eastAsia="zh-CN"/>
              </w:rPr>
              <w:t>2</w:t>
            </w:r>
            <w:r>
              <w:rPr>
                <w:rFonts w:hint="eastAsia" w:ascii="Times New Roman" w:hAnsi="Times New Roman" w:eastAsia="宋体" w:cs="Times New Roman"/>
                <w:color w:val="auto"/>
                <w:kern w:val="0"/>
                <w:sz w:val="21"/>
                <w:szCs w:val="21"/>
                <w:highlight w:val="none"/>
                <w:lang w:val="en-US" w:eastAsia="zh-CN"/>
              </w:rPr>
              <w:t>S、NH</w:t>
            </w:r>
            <w:r>
              <w:rPr>
                <w:rFonts w:hint="eastAsia" w:ascii="Times New Roman" w:hAnsi="Times New Roman" w:eastAsia="宋体" w:cs="Times New Roman"/>
                <w:color w:val="auto"/>
                <w:kern w:val="0"/>
                <w:sz w:val="21"/>
                <w:szCs w:val="21"/>
                <w:highlight w:val="none"/>
                <w:vertAlign w:val="subscript"/>
                <w:lang w:val="en-US" w:eastAsia="zh-CN"/>
              </w:rPr>
              <w:t>3</w:t>
            </w:r>
            <w:r>
              <w:rPr>
                <w:rFonts w:hint="eastAsia" w:ascii="Times New Roman" w:hAnsi="Times New Roman" w:eastAsia="宋体" w:cs="Times New Roman"/>
                <w:color w:val="auto"/>
                <w:kern w:val="0"/>
                <w:sz w:val="21"/>
                <w:szCs w:val="21"/>
                <w:highlight w:val="none"/>
                <w:lang w:val="en-US" w:eastAsia="zh-CN"/>
              </w:rPr>
              <w:t>、臭气浓度、非甲烷总烃、TS</w:t>
            </w:r>
            <w:r>
              <w:rPr>
                <w:rFonts w:hint="eastAsia" w:cs="Times New Roman"/>
                <w:color w:val="auto"/>
                <w:kern w:val="0"/>
                <w:sz w:val="21"/>
                <w:szCs w:val="21"/>
                <w:highlight w:val="none"/>
                <w:lang w:val="en-US" w:eastAsia="zh-CN"/>
              </w:rPr>
              <w:t>P</w:t>
            </w:r>
          </w:p>
        </w:tc>
        <w:tc>
          <w:tcPr>
            <w:tcW w:w="2742"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H</w:t>
            </w:r>
            <w:r>
              <w:rPr>
                <w:rFonts w:hint="eastAsia" w:ascii="Times New Roman" w:hAnsi="Times New Roman" w:eastAsia="宋体" w:cs="Times New Roman"/>
                <w:color w:val="auto"/>
                <w:kern w:val="0"/>
                <w:sz w:val="21"/>
                <w:szCs w:val="21"/>
                <w:highlight w:val="none"/>
                <w:vertAlign w:val="subscript"/>
                <w:lang w:val="en-US" w:eastAsia="zh-CN"/>
              </w:rPr>
              <w:t>2</w:t>
            </w:r>
            <w:r>
              <w:rPr>
                <w:rFonts w:hint="eastAsia" w:ascii="Times New Roman" w:hAnsi="Times New Roman" w:eastAsia="宋体" w:cs="Times New Roman"/>
                <w:color w:val="auto"/>
                <w:kern w:val="0"/>
                <w:sz w:val="21"/>
                <w:szCs w:val="21"/>
                <w:highlight w:val="none"/>
                <w:lang w:val="en-US" w:eastAsia="zh-CN"/>
              </w:rPr>
              <w:t>S、NH</w:t>
            </w:r>
            <w:r>
              <w:rPr>
                <w:rFonts w:hint="eastAsia" w:ascii="Times New Roman" w:hAnsi="Times New Roman" w:eastAsia="宋体" w:cs="Times New Roman"/>
                <w:color w:val="auto"/>
                <w:kern w:val="0"/>
                <w:sz w:val="21"/>
                <w:szCs w:val="21"/>
                <w:highlight w:val="none"/>
                <w:vertAlign w:val="subscript"/>
                <w:lang w:val="en-US" w:eastAsia="zh-CN"/>
              </w:rPr>
              <w:t>3</w:t>
            </w:r>
            <w:r>
              <w:rPr>
                <w:rFonts w:hint="eastAsia" w:ascii="Times New Roman" w:hAnsi="Times New Roman" w:eastAsia="宋体" w:cs="Times New Roman"/>
                <w:color w:val="auto"/>
                <w:kern w:val="0"/>
                <w:sz w:val="21"/>
                <w:szCs w:val="21"/>
                <w:highlight w:val="none"/>
                <w:lang w:val="en-US" w:eastAsia="zh-CN"/>
              </w:rPr>
              <w:t>、臭气浓度、非甲烷总烃</w:t>
            </w:r>
            <w:r>
              <w:rPr>
                <w:rFonts w:hint="eastAsia" w:cs="Times New Roman"/>
                <w:color w:val="auto"/>
                <w:kern w:val="0"/>
                <w:sz w:val="21"/>
                <w:szCs w:val="21"/>
                <w:highlight w:val="none"/>
                <w:lang w:val="en-US" w:eastAsia="zh-CN"/>
              </w:rPr>
              <w:t>、</w:t>
            </w:r>
            <w:r>
              <w:rPr>
                <w:rFonts w:hint="eastAsia" w:ascii="Times New Roman" w:hAnsi="Times New Roman" w:eastAsia="宋体" w:cs="Times New Roman"/>
                <w:color w:val="auto"/>
                <w:kern w:val="0"/>
                <w:sz w:val="21"/>
                <w:szCs w:val="21"/>
                <w:highlight w:val="none"/>
                <w:lang w:val="en-US" w:eastAsia="zh-CN"/>
              </w:rPr>
              <w:t>TSP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tcBorders>
              <w:tl2br w:val="nil"/>
              <w:tr2bl w:val="nil"/>
            </w:tcBorders>
            <w:vAlign w:val="center"/>
          </w:tcPr>
          <w:p>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p>
        </w:tc>
        <w:tc>
          <w:tcPr>
            <w:tcW w:w="1112"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地表水环境</w:t>
            </w:r>
          </w:p>
        </w:tc>
        <w:tc>
          <w:tcPr>
            <w:tcW w:w="3825" w:type="dxa"/>
            <w:tcBorders>
              <w:tl2br w:val="nil"/>
              <w:tr2bl w:val="nil"/>
            </w:tcBorders>
          </w:tcPr>
          <w:p>
            <w:pPr>
              <w:spacing w:line="360" w:lineRule="exact"/>
              <w:ind w:firstLine="0" w:firstLineChars="0"/>
              <w:jc w:val="both"/>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pH值、悬浮物、COD、BOD</w:t>
            </w:r>
            <w:r>
              <w:rPr>
                <w:rFonts w:hint="eastAsia" w:ascii="Times New Roman" w:hAnsi="Times New Roman" w:eastAsia="宋体" w:cs="Times New Roman"/>
                <w:color w:val="auto"/>
                <w:kern w:val="0"/>
                <w:sz w:val="21"/>
                <w:szCs w:val="21"/>
                <w:highlight w:val="none"/>
                <w:vertAlign w:val="subscript"/>
                <w:lang w:val="en-US" w:eastAsia="zh-CN"/>
              </w:rPr>
              <w:t>5</w:t>
            </w:r>
            <w:r>
              <w:rPr>
                <w:rFonts w:hint="eastAsia" w:ascii="Times New Roman" w:hAnsi="Times New Roman" w:eastAsia="宋体" w:cs="Times New Roman"/>
                <w:color w:val="auto"/>
                <w:kern w:val="0"/>
                <w:sz w:val="21"/>
                <w:szCs w:val="21"/>
                <w:highlight w:val="none"/>
                <w:lang w:val="en-US" w:eastAsia="zh-CN"/>
              </w:rPr>
              <w:t>、氨氮、总磷、石油类、挥发酚、硫化物、阴离子表面活性剂、汞、总铬、六价铬、镉、砷、镍、铅</w:t>
            </w:r>
          </w:p>
        </w:tc>
        <w:tc>
          <w:tcPr>
            <w:tcW w:w="2742" w:type="dxa"/>
            <w:tcBorders>
              <w:tl2br w:val="nil"/>
              <w:tr2bl w:val="nil"/>
            </w:tcBorders>
            <w:vAlign w:val="center"/>
          </w:tcPr>
          <w:p>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tcBorders>
              <w:tl2br w:val="nil"/>
              <w:tr2bl w:val="nil"/>
            </w:tcBorders>
            <w:vAlign w:val="center"/>
          </w:tcPr>
          <w:p>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w:t>
            </w:r>
          </w:p>
        </w:tc>
        <w:tc>
          <w:tcPr>
            <w:tcW w:w="1112"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地</w:t>
            </w:r>
            <w:r>
              <w:rPr>
                <w:rFonts w:hint="eastAsia" w:cs="Times New Roman"/>
                <w:color w:val="auto"/>
                <w:kern w:val="0"/>
                <w:sz w:val="21"/>
                <w:szCs w:val="21"/>
                <w:highlight w:val="none"/>
                <w:lang w:val="en-US" w:eastAsia="zh-CN"/>
              </w:rPr>
              <w:t>下</w:t>
            </w:r>
            <w:r>
              <w:rPr>
                <w:rFonts w:hint="eastAsia" w:ascii="Times New Roman" w:hAnsi="Times New Roman" w:eastAsia="宋体" w:cs="Times New Roman"/>
                <w:color w:val="auto"/>
                <w:kern w:val="0"/>
                <w:sz w:val="21"/>
                <w:szCs w:val="21"/>
                <w:highlight w:val="none"/>
                <w:lang w:val="en-US" w:eastAsia="zh-CN"/>
              </w:rPr>
              <w:t>水环境</w:t>
            </w:r>
          </w:p>
        </w:tc>
        <w:tc>
          <w:tcPr>
            <w:tcW w:w="3825" w:type="dxa"/>
            <w:tcBorders>
              <w:tl2br w:val="nil"/>
              <w:tr2bl w:val="nil"/>
            </w:tcBorders>
          </w:tcPr>
          <w:p>
            <w:pPr>
              <w:spacing w:line="360" w:lineRule="exact"/>
              <w:ind w:firstLine="0" w:firstLineChars="0"/>
              <w:jc w:val="both"/>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K</w:t>
            </w:r>
            <w:r>
              <w:rPr>
                <w:rFonts w:hint="eastAsia" w:ascii="Times New Roman" w:hAnsi="Times New Roman" w:eastAsia="宋体" w:cs="Times New Roman"/>
                <w:color w:val="auto"/>
                <w:kern w:val="0"/>
                <w:sz w:val="21"/>
                <w:szCs w:val="21"/>
                <w:highlight w:val="none"/>
                <w:vertAlign w:val="superscript"/>
                <w:lang w:val="en-US" w:eastAsia="zh-CN"/>
              </w:rPr>
              <w:t>+</w:t>
            </w:r>
            <w:r>
              <w:rPr>
                <w:rFonts w:hint="eastAsia" w:ascii="Times New Roman" w:hAnsi="Times New Roman" w:eastAsia="宋体" w:cs="Times New Roman"/>
                <w:color w:val="auto"/>
                <w:kern w:val="0"/>
                <w:sz w:val="21"/>
                <w:szCs w:val="21"/>
                <w:highlight w:val="none"/>
                <w:lang w:val="en-US" w:eastAsia="zh-CN"/>
              </w:rPr>
              <w:t>、Na</w:t>
            </w:r>
            <w:r>
              <w:rPr>
                <w:rFonts w:hint="eastAsia" w:ascii="Times New Roman" w:hAnsi="Times New Roman" w:eastAsia="宋体" w:cs="Times New Roman"/>
                <w:color w:val="auto"/>
                <w:kern w:val="0"/>
                <w:sz w:val="21"/>
                <w:szCs w:val="21"/>
                <w:highlight w:val="none"/>
                <w:vertAlign w:val="superscript"/>
                <w:lang w:val="en-US" w:eastAsia="zh-CN"/>
              </w:rPr>
              <w:t>+</w:t>
            </w:r>
            <w:r>
              <w:rPr>
                <w:rFonts w:hint="eastAsia" w:ascii="Times New Roman" w:hAnsi="Times New Roman" w:eastAsia="宋体" w:cs="Times New Roman"/>
                <w:color w:val="auto"/>
                <w:kern w:val="0"/>
                <w:sz w:val="21"/>
                <w:szCs w:val="21"/>
                <w:highlight w:val="none"/>
                <w:lang w:val="en-US" w:eastAsia="zh-CN"/>
              </w:rPr>
              <w:t>、Ca</w:t>
            </w:r>
            <w:r>
              <w:rPr>
                <w:rFonts w:hint="eastAsia" w:ascii="Times New Roman" w:hAnsi="Times New Roman" w:eastAsia="宋体" w:cs="Times New Roman"/>
                <w:color w:val="auto"/>
                <w:kern w:val="0"/>
                <w:sz w:val="21"/>
                <w:szCs w:val="21"/>
                <w:highlight w:val="none"/>
                <w:vertAlign w:val="superscript"/>
                <w:lang w:val="en-US" w:eastAsia="zh-CN"/>
              </w:rPr>
              <w:t>2+</w:t>
            </w:r>
            <w:r>
              <w:rPr>
                <w:rFonts w:hint="eastAsia" w:ascii="Times New Roman" w:hAnsi="Times New Roman" w:eastAsia="宋体" w:cs="Times New Roman"/>
                <w:color w:val="auto"/>
                <w:kern w:val="0"/>
                <w:sz w:val="21"/>
                <w:szCs w:val="21"/>
                <w:highlight w:val="none"/>
                <w:lang w:val="en-US" w:eastAsia="zh-CN"/>
              </w:rPr>
              <w:t>、Mg</w:t>
            </w:r>
            <w:r>
              <w:rPr>
                <w:rFonts w:hint="eastAsia" w:ascii="Times New Roman" w:hAnsi="Times New Roman" w:eastAsia="宋体" w:cs="Times New Roman"/>
                <w:color w:val="auto"/>
                <w:kern w:val="0"/>
                <w:sz w:val="21"/>
                <w:szCs w:val="21"/>
                <w:highlight w:val="none"/>
                <w:vertAlign w:val="superscript"/>
                <w:lang w:val="en-US" w:eastAsia="zh-CN"/>
              </w:rPr>
              <w:t>2+</w:t>
            </w:r>
            <w:r>
              <w:rPr>
                <w:rFonts w:hint="eastAsia" w:ascii="Times New Roman" w:hAnsi="Times New Roman" w:eastAsia="宋体" w:cs="Times New Roman"/>
                <w:color w:val="auto"/>
                <w:kern w:val="0"/>
                <w:sz w:val="21"/>
                <w:szCs w:val="21"/>
                <w:highlight w:val="none"/>
                <w:lang w:val="en-US" w:eastAsia="zh-CN"/>
              </w:rPr>
              <w:t>、CO</w:t>
            </w:r>
            <w:r>
              <w:rPr>
                <w:rFonts w:hint="eastAsia" w:ascii="Times New Roman" w:hAnsi="Times New Roman" w:eastAsia="宋体" w:cs="Times New Roman"/>
                <w:color w:val="auto"/>
                <w:kern w:val="0"/>
                <w:sz w:val="21"/>
                <w:szCs w:val="21"/>
                <w:highlight w:val="none"/>
                <w:vertAlign w:val="subscript"/>
                <w:lang w:val="en-US" w:eastAsia="zh-CN"/>
              </w:rPr>
              <w:t>3</w:t>
            </w:r>
            <w:r>
              <w:rPr>
                <w:rFonts w:hint="eastAsia" w:ascii="Times New Roman" w:hAnsi="Times New Roman" w:eastAsia="宋体" w:cs="Times New Roman"/>
                <w:color w:val="auto"/>
                <w:kern w:val="0"/>
                <w:sz w:val="21"/>
                <w:szCs w:val="21"/>
                <w:highlight w:val="none"/>
                <w:vertAlign w:val="superscript"/>
                <w:lang w:val="en-US" w:eastAsia="zh-CN"/>
              </w:rPr>
              <w:t>2-</w:t>
            </w:r>
            <w:r>
              <w:rPr>
                <w:rFonts w:hint="eastAsia" w:ascii="Times New Roman" w:hAnsi="Times New Roman" w:eastAsia="宋体" w:cs="Times New Roman"/>
                <w:color w:val="auto"/>
                <w:kern w:val="0"/>
                <w:sz w:val="21"/>
                <w:szCs w:val="21"/>
                <w:highlight w:val="none"/>
                <w:lang w:val="en-US" w:eastAsia="zh-CN"/>
              </w:rPr>
              <w:t>、HCO</w:t>
            </w:r>
            <w:r>
              <w:rPr>
                <w:rFonts w:hint="eastAsia" w:ascii="Times New Roman" w:hAnsi="Times New Roman" w:eastAsia="宋体" w:cs="Times New Roman"/>
                <w:color w:val="auto"/>
                <w:kern w:val="0"/>
                <w:sz w:val="21"/>
                <w:szCs w:val="21"/>
                <w:highlight w:val="none"/>
                <w:vertAlign w:val="subscript"/>
                <w:lang w:val="en-US" w:eastAsia="zh-CN"/>
              </w:rPr>
              <w:t>3</w:t>
            </w:r>
            <w:r>
              <w:rPr>
                <w:rFonts w:hint="eastAsia" w:ascii="Times New Roman" w:hAnsi="Times New Roman" w:eastAsia="宋体" w:cs="Times New Roman"/>
                <w:color w:val="auto"/>
                <w:kern w:val="0"/>
                <w:sz w:val="21"/>
                <w:szCs w:val="21"/>
                <w:highlight w:val="none"/>
                <w:vertAlign w:val="superscript"/>
                <w:lang w:val="en-US" w:eastAsia="zh-CN"/>
              </w:rPr>
              <w:t>-</w:t>
            </w:r>
            <w:r>
              <w:rPr>
                <w:rFonts w:hint="eastAsia" w:ascii="Times New Roman" w:hAnsi="Times New Roman" w:eastAsia="宋体" w:cs="Times New Roman"/>
                <w:color w:val="auto"/>
                <w:kern w:val="0"/>
                <w:sz w:val="21"/>
                <w:szCs w:val="21"/>
                <w:highlight w:val="none"/>
                <w:lang w:val="en-US" w:eastAsia="zh-CN"/>
              </w:rPr>
              <w:t>、Cl</w:t>
            </w:r>
            <w:r>
              <w:rPr>
                <w:rFonts w:hint="eastAsia" w:ascii="Times New Roman" w:hAnsi="Times New Roman" w:eastAsia="宋体" w:cs="Times New Roman"/>
                <w:color w:val="auto"/>
                <w:kern w:val="0"/>
                <w:sz w:val="21"/>
                <w:szCs w:val="21"/>
                <w:highlight w:val="none"/>
                <w:vertAlign w:val="superscript"/>
                <w:lang w:val="en-US" w:eastAsia="zh-CN"/>
              </w:rPr>
              <w:t>-</w:t>
            </w:r>
            <w:r>
              <w:rPr>
                <w:rFonts w:hint="eastAsia" w:ascii="Times New Roman" w:hAnsi="Times New Roman" w:eastAsia="宋体" w:cs="Times New Roman"/>
                <w:color w:val="auto"/>
                <w:kern w:val="0"/>
                <w:sz w:val="21"/>
                <w:szCs w:val="21"/>
                <w:highlight w:val="none"/>
                <w:lang w:val="en-US" w:eastAsia="zh-CN"/>
              </w:rPr>
              <w:t>、SO</w:t>
            </w:r>
            <w:r>
              <w:rPr>
                <w:rFonts w:hint="eastAsia" w:ascii="Times New Roman" w:hAnsi="Times New Roman" w:eastAsia="宋体" w:cs="Times New Roman"/>
                <w:color w:val="auto"/>
                <w:kern w:val="0"/>
                <w:sz w:val="21"/>
                <w:szCs w:val="21"/>
                <w:highlight w:val="none"/>
                <w:vertAlign w:val="subscript"/>
                <w:lang w:val="en-US" w:eastAsia="zh-CN"/>
              </w:rPr>
              <w:t>4</w:t>
            </w:r>
            <w:r>
              <w:rPr>
                <w:rFonts w:hint="eastAsia" w:ascii="Times New Roman" w:hAnsi="Times New Roman" w:eastAsia="宋体" w:cs="Times New Roman"/>
                <w:color w:val="auto"/>
                <w:kern w:val="0"/>
                <w:sz w:val="21"/>
                <w:szCs w:val="21"/>
                <w:highlight w:val="none"/>
                <w:vertAlign w:val="superscript"/>
                <w:lang w:val="en-US" w:eastAsia="zh-CN"/>
              </w:rPr>
              <w:t>2-</w:t>
            </w:r>
            <w:r>
              <w:rPr>
                <w:rFonts w:hint="eastAsia" w:ascii="Times New Roman" w:hAnsi="Times New Roman" w:eastAsia="宋体" w:cs="Times New Roman"/>
                <w:color w:val="auto"/>
                <w:kern w:val="0"/>
                <w:sz w:val="21"/>
                <w:szCs w:val="21"/>
                <w:highlight w:val="none"/>
                <w:lang w:val="en-US" w:eastAsia="zh-CN"/>
              </w:rPr>
              <w:t>、pH值、氨氮、硝酸盐、亚硝酸盐、挥发性酚类、氟化物、氰化物、砷、汞、六价铬、总硬度、铅、镉、铁、锰、溶解性总固体、高锰酸盐指数、硫酸盐、氯化物、总大肠菌群、细菌总数、石油类</w:t>
            </w:r>
          </w:p>
        </w:tc>
        <w:tc>
          <w:tcPr>
            <w:tcW w:w="2742" w:type="dxa"/>
            <w:tcBorders>
              <w:tl2br w:val="nil"/>
              <w:tr2bl w:val="nil"/>
            </w:tcBorders>
            <w:vAlign w:val="center"/>
          </w:tcPr>
          <w:p>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石油类</w:t>
            </w:r>
            <w:r>
              <w:rPr>
                <w:rFonts w:hint="eastAsia" w:cs="Times New Roman"/>
                <w:color w:val="auto"/>
                <w:kern w:val="0"/>
                <w:sz w:val="21"/>
                <w:szCs w:val="21"/>
                <w:highlight w:val="none"/>
                <w:lang w:val="en-US" w:eastAsia="zh-CN"/>
              </w:rPr>
              <w:t>、COD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tcBorders>
              <w:tl2br w:val="nil"/>
              <w:tr2bl w:val="nil"/>
            </w:tcBorders>
            <w:vAlign w:val="center"/>
          </w:tcPr>
          <w:p>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w:t>
            </w:r>
          </w:p>
        </w:tc>
        <w:tc>
          <w:tcPr>
            <w:tcW w:w="1112"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声环境</w:t>
            </w:r>
          </w:p>
        </w:tc>
        <w:tc>
          <w:tcPr>
            <w:tcW w:w="3825" w:type="dxa"/>
            <w:tcBorders>
              <w:tl2br w:val="nil"/>
              <w:tr2bl w:val="nil"/>
            </w:tcBorders>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等效A声级</w:t>
            </w:r>
          </w:p>
        </w:tc>
        <w:tc>
          <w:tcPr>
            <w:tcW w:w="2742"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等效A声级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tcBorders>
              <w:tl2br w:val="nil"/>
              <w:tr2bl w:val="nil"/>
            </w:tcBorders>
            <w:vAlign w:val="center"/>
          </w:tcPr>
          <w:p>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w:t>
            </w:r>
          </w:p>
        </w:tc>
        <w:tc>
          <w:tcPr>
            <w:tcW w:w="1112"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土壤环境</w:t>
            </w:r>
          </w:p>
        </w:tc>
        <w:tc>
          <w:tcPr>
            <w:tcW w:w="3825" w:type="dxa"/>
            <w:tcBorders>
              <w:tl2br w:val="nil"/>
              <w:tr2bl w:val="nil"/>
            </w:tcBorders>
          </w:tcPr>
          <w:p>
            <w:pPr>
              <w:spacing w:line="360" w:lineRule="exact"/>
              <w:ind w:firstLine="0" w:firstLineChars="0"/>
              <w:jc w:val="both"/>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p</w:t>
            </w:r>
            <w:r>
              <w:rPr>
                <w:rFonts w:hint="eastAsia" w:ascii="Times New Roman" w:hAnsi="Times New Roman" w:eastAsia="宋体" w:cs="Times New Roman"/>
                <w:color w:val="auto"/>
                <w:kern w:val="0"/>
                <w:sz w:val="21"/>
                <w:szCs w:val="21"/>
                <w:highlight w:val="none"/>
                <w:lang w:val="en-US" w:eastAsia="zh-CN"/>
              </w:rPr>
              <w:t>H、土壤盐分含量、石油烃（C</w:t>
            </w:r>
            <w:r>
              <w:rPr>
                <w:rFonts w:hint="eastAsia" w:ascii="Times New Roman" w:hAnsi="Times New Roman" w:eastAsia="宋体" w:cs="Times New Roman"/>
                <w:color w:val="auto"/>
                <w:kern w:val="0"/>
                <w:sz w:val="21"/>
                <w:szCs w:val="21"/>
                <w:highlight w:val="none"/>
                <w:vertAlign w:val="subscript"/>
                <w:lang w:val="en-US" w:eastAsia="zh-CN"/>
              </w:rPr>
              <w:t>10</w:t>
            </w:r>
            <w:r>
              <w:rPr>
                <w:rFonts w:hint="eastAsia" w:ascii="Times New Roman" w:hAnsi="Times New Roman" w:eastAsia="宋体" w:cs="Times New Roman"/>
                <w:color w:val="auto"/>
                <w:kern w:val="0"/>
                <w:sz w:val="21"/>
                <w:szCs w:val="21"/>
                <w:highlight w:val="none"/>
                <w:lang w:val="en-US" w:eastAsia="zh-CN"/>
              </w:rPr>
              <w:t>-C</w:t>
            </w:r>
            <w:r>
              <w:rPr>
                <w:rFonts w:hint="eastAsia" w:ascii="Times New Roman" w:hAnsi="Times New Roman" w:eastAsia="宋体" w:cs="Times New Roman"/>
                <w:color w:val="auto"/>
                <w:kern w:val="0"/>
                <w:sz w:val="21"/>
                <w:szCs w:val="21"/>
                <w:highlight w:val="none"/>
                <w:vertAlign w:val="subscript"/>
                <w:lang w:val="en-US" w:eastAsia="zh-CN"/>
              </w:rPr>
              <w:t>40</w:t>
            </w:r>
            <w:r>
              <w:rPr>
                <w:rFonts w:hint="eastAsia" w:ascii="Times New Roman" w:hAnsi="Times New Roman" w:eastAsia="宋体" w:cs="Times New Roman"/>
                <w:color w:val="auto"/>
                <w:kern w:val="0"/>
                <w:sz w:val="21"/>
                <w:szCs w:val="21"/>
                <w:highlight w:val="none"/>
                <w:lang w:val="en-US" w:eastAsia="zh-CN"/>
              </w:rPr>
              <w:t>）、砷、镉、铬</w:t>
            </w:r>
            <w:r>
              <w:rPr>
                <w:rFonts w:hint="eastAsia" w:cs="Times New Roman"/>
                <w:color w:val="auto"/>
                <w:kern w:val="0"/>
                <w:sz w:val="21"/>
                <w:szCs w:val="21"/>
                <w:highlight w:val="none"/>
                <w:lang w:val="en-US" w:eastAsia="zh-CN"/>
              </w:rPr>
              <w:t>、</w:t>
            </w:r>
            <w:r>
              <w:rPr>
                <w:rFonts w:hint="eastAsia" w:ascii="Times New Roman" w:hAnsi="Times New Roman" w:eastAsia="宋体" w:cs="Times New Roman"/>
                <w:color w:val="auto"/>
                <w:kern w:val="0"/>
                <w:sz w:val="21"/>
                <w:szCs w:val="21"/>
                <w:highlight w:val="none"/>
                <w:lang w:val="en-US" w:eastAsia="zh-CN"/>
              </w:rPr>
              <w:t>铬（六价）、铜、铅、汞、镍、四氯化碳、氯仿、氯甲烷、1，1-二氯乙烷、1，2-二氯乙烷、1，1-二氯乙烯、顺-1，2-二氯乙烯、反-1，2-二氯乙烯、二氯甲烷、1，2-二氯丙烷、1，1，1，2-四氯乙烷、1，1，2，2-四氯乙烷、四氯乙烯、1，1，1-三氯乙烷、1，1，2-三氯乙烷、三氯乙烯、1，2，3-三氯丙烷、氯乙烯、苯、氯苯、1，4-二氯苯、1，2-二氯苯、乙苯、苯乙烯、甲苯、间+对二甲苯、邻二甲苯、硝基苯、苯胺、2-氯酚、苯并〔a〕蒽、苯并〔a〕芘、苯并〔b〕荧蒽、苯并〔k〕荧蒽、䓛、二苯并〔a，h〕蒽、茚并〔1，2，3-cd〕芘、萘，</w:t>
            </w:r>
          </w:p>
        </w:tc>
        <w:tc>
          <w:tcPr>
            <w:tcW w:w="2742"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石油烃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tcBorders>
              <w:tl2br w:val="nil"/>
              <w:tr2bl w:val="nil"/>
            </w:tcBorders>
            <w:vAlign w:val="center"/>
          </w:tcPr>
          <w:p>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w:t>
            </w:r>
          </w:p>
        </w:tc>
        <w:tc>
          <w:tcPr>
            <w:tcW w:w="1112" w:type="dxa"/>
            <w:tcBorders>
              <w:tl2br w:val="nil"/>
              <w:tr2bl w:val="nil"/>
            </w:tcBorders>
            <w:vAlign w:val="center"/>
          </w:tcPr>
          <w:p>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环境风险</w:t>
            </w:r>
          </w:p>
        </w:tc>
        <w:tc>
          <w:tcPr>
            <w:tcW w:w="3825" w:type="dxa"/>
            <w:tcBorders>
              <w:tl2br w:val="nil"/>
              <w:tr2bl w:val="nil"/>
            </w:tcBorders>
            <w:vAlign w:val="center"/>
          </w:tcPr>
          <w:p>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2742" w:type="dxa"/>
            <w:tcBorders>
              <w:tl2br w:val="nil"/>
              <w:tr2bl w:val="nil"/>
            </w:tcBorders>
            <w:vAlign w:val="center"/>
          </w:tcPr>
          <w:p>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服务站内污油储罐泄漏、物料泄漏及对输液管道泄漏地下水及土壤的影响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tcBorders>
              <w:tl2br w:val="nil"/>
              <w:tr2bl w:val="nil"/>
            </w:tcBorders>
            <w:vAlign w:val="center"/>
          </w:tcPr>
          <w:p>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w:t>
            </w:r>
          </w:p>
        </w:tc>
        <w:tc>
          <w:tcPr>
            <w:tcW w:w="1112" w:type="dxa"/>
            <w:tcBorders>
              <w:tl2br w:val="nil"/>
              <w:tr2bl w:val="nil"/>
            </w:tcBorders>
            <w:vAlign w:val="center"/>
          </w:tcPr>
          <w:p>
            <w:pPr>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生态环境</w:t>
            </w:r>
          </w:p>
        </w:tc>
        <w:tc>
          <w:tcPr>
            <w:tcW w:w="3825" w:type="dxa"/>
            <w:tcBorders>
              <w:tl2br w:val="nil"/>
              <w:tr2bl w:val="nil"/>
            </w:tcBorders>
            <w:vAlign w:val="center"/>
          </w:tcPr>
          <w:p>
            <w:pPr>
              <w:spacing w:line="360" w:lineRule="exact"/>
              <w:ind w:firstLine="0" w:firstLineChars="0"/>
              <w:jc w:val="both"/>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物种分布范围、数量；生境面积、质量及连通性；生物群落物种组成；植被生产力及生态量</w:t>
            </w:r>
          </w:p>
        </w:tc>
        <w:tc>
          <w:tcPr>
            <w:tcW w:w="2742" w:type="dxa"/>
            <w:tcBorders>
              <w:tl2br w:val="nil"/>
              <w:tr2bl w:val="nil"/>
            </w:tcBorders>
            <w:vAlign w:val="center"/>
          </w:tcPr>
          <w:p>
            <w:pPr>
              <w:spacing w:line="360" w:lineRule="exact"/>
              <w:ind w:firstLine="0" w:firstLineChars="0"/>
              <w:jc w:val="both"/>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物种分布范围、数量；生物群落物种组成；植被生产力及生态量</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22" w:firstLineChars="200"/>
        <w:jc w:val="center"/>
        <w:textAlignment w:val="auto"/>
        <w:rPr>
          <w:rFonts w:hint="default" w:cs="Times New Roman"/>
          <w:b/>
          <w:bCs/>
          <w:caps w:val="0"/>
          <w:smallCaps w:val="0"/>
          <w:color w:val="auto"/>
          <w:spacing w:val="0"/>
          <w:w w:val="100"/>
          <w:kern w:val="0"/>
          <w:sz w:val="21"/>
          <w:szCs w:val="21"/>
          <w:highlight w:val="none"/>
          <w:lang w:val="en-US" w:eastAsia="zh-CN"/>
        </w:rPr>
      </w:pPr>
      <w:r>
        <w:rPr>
          <w:rFonts w:hint="eastAsia" w:cs="Times New Roman"/>
          <w:b/>
          <w:bCs/>
          <w:caps w:val="0"/>
          <w:smallCaps w:val="0"/>
          <w:color w:val="auto"/>
          <w:spacing w:val="0"/>
          <w:w w:val="100"/>
          <w:kern w:val="0"/>
          <w:sz w:val="21"/>
          <w:szCs w:val="21"/>
          <w:highlight w:val="none"/>
          <w:lang w:val="en-US" w:eastAsia="zh-CN"/>
        </w:rPr>
        <w:t>表2.2-3生态影响评价因子筛选表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61"/>
        <w:gridCol w:w="1541"/>
        <w:gridCol w:w="2822"/>
        <w:gridCol w:w="1391"/>
        <w:gridCol w:w="140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6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受影响对象</w:t>
            </w:r>
          </w:p>
        </w:tc>
        <w:tc>
          <w:tcPr>
            <w:tcW w:w="154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评价因子</w:t>
            </w:r>
          </w:p>
        </w:tc>
        <w:tc>
          <w:tcPr>
            <w:tcW w:w="2822"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工程内容及影响方式</w:t>
            </w:r>
          </w:p>
        </w:tc>
        <w:tc>
          <w:tcPr>
            <w:tcW w:w="139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影响性质</w:t>
            </w:r>
          </w:p>
        </w:tc>
        <w:tc>
          <w:tcPr>
            <w:tcW w:w="140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影响程度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6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物种</w:t>
            </w:r>
          </w:p>
        </w:tc>
        <w:tc>
          <w:tcPr>
            <w:tcW w:w="154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分布范围、种群数量</w:t>
            </w:r>
          </w:p>
        </w:tc>
        <w:tc>
          <w:tcPr>
            <w:tcW w:w="2822" w:type="dxa"/>
            <w:tcBorders>
              <w:tl2br w:val="nil"/>
              <w:tr2bl w:val="nil"/>
            </w:tcBorders>
            <w:vAlign w:val="center"/>
          </w:tcPr>
          <w:p>
            <w:pPr>
              <w:spacing w:line="360" w:lineRule="exact"/>
              <w:ind w:firstLine="0" w:firstLineChars="0"/>
              <w:jc w:val="both"/>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管道线性施工，对土壤的扰动，造成临时占地内植被破坏，施工噪声对周围野生动物的影响；服务站站址造成永久占地，占地类型主要为其他草地，对占地内植被的破坏及野生动物的驱赶，侵占动植物栖息地，造成该区域植被及野生动物种类的较少；直接影响</w:t>
            </w:r>
          </w:p>
        </w:tc>
        <w:tc>
          <w:tcPr>
            <w:tcW w:w="139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color w:val="auto"/>
                <w:spacing w:val="7"/>
                <w:highlight w:val="none"/>
              </w:rPr>
              <w:t>短期，可逆</w:t>
            </w:r>
          </w:p>
        </w:tc>
        <w:tc>
          <w:tcPr>
            <w:tcW w:w="1401" w:type="dxa"/>
            <w:tcBorders>
              <w:tl2br w:val="nil"/>
              <w:tr2bl w:val="nil"/>
            </w:tcBorders>
            <w:vAlign w:val="center"/>
          </w:tcPr>
          <w:p>
            <w:pPr>
              <w:spacing w:line="360" w:lineRule="exact"/>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6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生境</w:t>
            </w:r>
          </w:p>
        </w:tc>
        <w:tc>
          <w:tcPr>
            <w:tcW w:w="154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生境面积、质量、连通性</w:t>
            </w:r>
          </w:p>
        </w:tc>
        <w:tc>
          <w:tcPr>
            <w:tcW w:w="2822" w:type="dxa"/>
            <w:tcBorders>
              <w:tl2br w:val="nil"/>
              <w:tr2bl w:val="nil"/>
            </w:tcBorders>
            <w:vAlign w:val="center"/>
          </w:tcPr>
          <w:p>
            <w:pPr>
              <w:spacing w:line="360" w:lineRule="exact"/>
              <w:ind w:firstLine="0" w:firstLineChars="0"/>
              <w:jc w:val="both"/>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管道施工临时占地主要为农用地，主要占用耕地，附近生态环境主要为农田生态系统，临时占地破坏农作物生长，造成施工时间内，农田面积减小，农作物产量下降，区域农田生态环境出现了破碎化</w:t>
            </w:r>
          </w:p>
        </w:tc>
        <w:tc>
          <w:tcPr>
            <w:tcW w:w="139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color w:val="auto"/>
                <w:spacing w:val="7"/>
                <w:highlight w:val="none"/>
              </w:rPr>
              <w:t>短期，可逆</w:t>
            </w:r>
          </w:p>
        </w:tc>
        <w:tc>
          <w:tcPr>
            <w:tcW w:w="140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6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生物群落</w:t>
            </w:r>
          </w:p>
        </w:tc>
        <w:tc>
          <w:tcPr>
            <w:tcW w:w="154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物种组成、群落结构等</w:t>
            </w:r>
          </w:p>
        </w:tc>
        <w:tc>
          <w:tcPr>
            <w:tcW w:w="2822" w:type="dxa"/>
            <w:tcBorders>
              <w:tl2br w:val="nil"/>
              <w:tr2bl w:val="nil"/>
            </w:tcBorders>
            <w:vAlign w:val="center"/>
          </w:tcPr>
          <w:p>
            <w:pPr>
              <w:spacing w:line="360" w:lineRule="exact"/>
              <w:ind w:firstLine="0" w:firstLineChars="0"/>
              <w:jc w:val="both"/>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输液管道施工对周围的生态的扰动，造成耕地内农田环境，影响农作物生长；管道施工采取定向穿越施工方式，不进行涉水施工，不会造成坑塘及沟渠内水体扰动、浑浊；根据建设单位提供资料，管道穿越的坑塘及沟渠主要用于农户鱼类养殖，主要饲养鲫鱼及草鱼，属于经济类鱼种，无濒危及特有种，同时本项目涉及的沟渠也不属于产卵场、索饵场、越冬场等重要生境。</w:t>
            </w:r>
          </w:p>
          <w:p>
            <w:pPr>
              <w:spacing w:line="360" w:lineRule="exact"/>
              <w:ind w:firstLine="0" w:firstLineChars="0"/>
              <w:jc w:val="both"/>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农田内优势物种为农作物，主要为玉米。管道施工周期为5个月，分阶段分区域施工，玉米为一年生草本植物，施工期间会造成区域农作物产量减产。</w:t>
            </w:r>
          </w:p>
        </w:tc>
        <w:tc>
          <w:tcPr>
            <w:tcW w:w="139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color w:val="auto"/>
                <w:spacing w:val="7"/>
                <w:highlight w:val="none"/>
              </w:rPr>
              <w:t>短期，可逆</w:t>
            </w:r>
          </w:p>
        </w:tc>
        <w:tc>
          <w:tcPr>
            <w:tcW w:w="140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61" w:type="dxa"/>
            <w:tcBorders>
              <w:tl2br w:val="nil"/>
              <w:tr2bl w:val="nil"/>
            </w:tcBorders>
            <w:vAlign w:val="center"/>
          </w:tcPr>
          <w:p>
            <w:pPr>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生物多样性</w:t>
            </w:r>
          </w:p>
        </w:tc>
        <w:tc>
          <w:tcPr>
            <w:tcW w:w="1541" w:type="dxa"/>
            <w:tcBorders>
              <w:tl2br w:val="nil"/>
              <w:tr2bl w:val="nil"/>
            </w:tcBorders>
            <w:vAlign w:val="center"/>
          </w:tcPr>
          <w:p>
            <w:pPr>
              <w:spacing w:line="360" w:lineRule="exact"/>
              <w:ind w:firstLine="0" w:firstLineChars="0"/>
              <w:jc w:val="both"/>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物种丰富度、均匀度、优势度</w:t>
            </w:r>
          </w:p>
        </w:tc>
        <w:tc>
          <w:tcPr>
            <w:tcW w:w="2822" w:type="dxa"/>
            <w:tcBorders>
              <w:tl2br w:val="nil"/>
              <w:tr2bl w:val="nil"/>
            </w:tcBorders>
            <w:vAlign w:val="center"/>
          </w:tcPr>
          <w:p>
            <w:pPr>
              <w:spacing w:line="360" w:lineRule="exact"/>
              <w:ind w:firstLine="0" w:firstLineChars="0"/>
              <w:jc w:val="both"/>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管道施工区域生态系统主要为农田生态系统，植物优势物种为农作物，主要为玉米；动物主要为啮齿动物鼠类及昆虫；管道临时施工占地，对农田区域农作物的丰富度、均匀度及动物的均匀度造成一定影响</w:t>
            </w:r>
          </w:p>
        </w:tc>
        <w:tc>
          <w:tcPr>
            <w:tcW w:w="1391" w:type="dxa"/>
            <w:tcBorders>
              <w:tl2br w:val="nil"/>
              <w:tr2bl w:val="nil"/>
            </w:tcBorders>
            <w:vAlign w:val="center"/>
          </w:tcPr>
          <w:p>
            <w:pPr>
              <w:spacing w:line="360" w:lineRule="exact"/>
              <w:ind w:firstLine="0" w:firstLineChars="0"/>
              <w:jc w:val="center"/>
              <w:rPr>
                <w:rFonts w:hint="eastAsia"/>
                <w:color w:val="auto"/>
                <w:spacing w:val="7"/>
                <w:highlight w:val="none"/>
                <w:lang w:val="en-US" w:eastAsia="zh-CN"/>
              </w:rPr>
            </w:pPr>
            <w:r>
              <w:rPr>
                <w:color w:val="auto"/>
                <w:spacing w:val="7"/>
                <w:highlight w:val="none"/>
              </w:rPr>
              <w:t>短期，可逆</w:t>
            </w:r>
          </w:p>
        </w:tc>
        <w:tc>
          <w:tcPr>
            <w:tcW w:w="1401" w:type="dxa"/>
            <w:tcBorders>
              <w:tl2br w:val="nil"/>
              <w:tr2bl w:val="nil"/>
            </w:tcBorders>
            <w:vAlign w:val="center"/>
          </w:tcPr>
          <w:p>
            <w:pPr>
              <w:spacing w:line="360" w:lineRule="exact"/>
              <w:ind w:firstLine="0" w:firstLineChars="0"/>
              <w:jc w:val="center"/>
              <w:rPr>
                <w:rFonts w:hint="eastAsia"/>
                <w:color w:val="auto"/>
                <w:spacing w:val="7"/>
                <w:highlight w:val="none"/>
                <w:lang w:val="en-US" w:eastAsia="zh-CN"/>
              </w:rPr>
            </w:pPr>
            <w:r>
              <w:rPr>
                <w:rFonts w:hint="eastAsia"/>
                <w:color w:val="auto"/>
                <w:spacing w:val="7"/>
                <w:highlight w:val="none"/>
                <w:lang w:val="en-US" w:eastAsia="zh-CN"/>
              </w:rPr>
              <w:t>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6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生态敏感区</w:t>
            </w:r>
          </w:p>
        </w:tc>
        <w:tc>
          <w:tcPr>
            <w:tcW w:w="1541" w:type="dxa"/>
            <w:tcBorders>
              <w:tl2br w:val="nil"/>
              <w:tr2bl w:val="nil"/>
            </w:tcBorders>
            <w:vAlign w:val="center"/>
          </w:tcPr>
          <w:p>
            <w:pPr>
              <w:spacing w:line="360" w:lineRule="exact"/>
              <w:ind w:firstLine="0" w:firstLineChars="0"/>
              <w:jc w:val="both"/>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主要保护对象、生态功能等</w:t>
            </w:r>
          </w:p>
        </w:tc>
        <w:tc>
          <w:tcPr>
            <w:tcW w:w="2822" w:type="dxa"/>
            <w:tcBorders>
              <w:tl2br w:val="nil"/>
              <w:tr2bl w:val="nil"/>
            </w:tcBorders>
            <w:vAlign w:val="center"/>
          </w:tcPr>
          <w:p>
            <w:pPr>
              <w:spacing w:line="360" w:lineRule="exact"/>
              <w:ind w:firstLine="0" w:firstLineChars="0"/>
              <w:jc w:val="both"/>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本项目选址、选线不涉及生态敏感区；管道施工临时占用永久基本农田，属于具有相对重要的生态功能区域。</w:t>
            </w:r>
          </w:p>
          <w:p>
            <w:pPr>
              <w:spacing w:line="360" w:lineRule="exact"/>
              <w:ind w:firstLine="0" w:firstLineChars="0"/>
              <w:jc w:val="both"/>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农田生态环境主要保护对象为农作物，种类为玉米；区域生态功能为农田生态功能。管道施工占地为临时占地，施工期为5个月，玉米为一年生草本植物，对生态敏感区的影响主要为集中在农作物种植期间。施工结束后，对占用的永久基本农田进行复垦，复垦质量满足《土地复垦质量控制标准》（TD/T1036-2013）中规定的要求。</w:t>
            </w:r>
          </w:p>
        </w:tc>
        <w:tc>
          <w:tcPr>
            <w:tcW w:w="1391" w:type="dxa"/>
            <w:tcBorders>
              <w:tl2br w:val="nil"/>
              <w:tr2bl w:val="nil"/>
            </w:tcBorders>
            <w:vAlign w:val="center"/>
          </w:tcPr>
          <w:p>
            <w:pPr>
              <w:spacing w:line="360" w:lineRule="exact"/>
              <w:ind w:firstLine="0" w:firstLineChars="0"/>
              <w:jc w:val="center"/>
              <w:rPr>
                <w:rFonts w:hint="eastAsia"/>
                <w:color w:val="auto"/>
                <w:spacing w:val="7"/>
                <w:highlight w:val="none"/>
                <w:lang w:val="en-US" w:eastAsia="zh-CN"/>
              </w:rPr>
            </w:pPr>
            <w:r>
              <w:rPr>
                <w:color w:val="auto"/>
                <w:spacing w:val="7"/>
                <w:highlight w:val="none"/>
              </w:rPr>
              <w:t>短期，可逆</w:t>
            </w:r>
          </w:p>
        </w:tc>
        <w:tc>
          <w:tcPr>
            <w:tcW w:w="1401" w:type="dxa"/>
            <w:tcBorders>
              <w:tl2br w:val="nil"/>
              <w:tr2bl w:val="nil"/>
            </w:tcBorders>
            <w:vAlign w:val="center"/>
          </w:tcPr>
          <w:p>
            <w:pPr>
              <w:spacing w:line="360" w:lineRule="exact"/>
              <w:ind w:firstLine="0" w:firstLineChars="0"/>
              <w:jc w:val="center"/>
              <w:rPr>
                <w:rFonts w:hint="eastAsia"/>
                <w:color w:val="auto"/>
                <w:spacing w:val="7"/>
                <w:highlight w:val="none"/>
                <w:lang w:val="en-US" w:eastAsia="zh-CN"/>
              </w:rPr>
            </w:pPr>
            <w:r>
              <w:rPr>
                <w:rFonts w:hint="eastAsia"/>
                <w:color w:val="auto"/>
                <w:spacing w:val="7"/>
                <w:highlight w:val="none"/>
                <w:lang w:val="en-US" w:eastAsia="zh-CN"/>
              </w:rPr>
              <w:t>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61" w:type="dxa"/>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自然景观</w:t>
            </w:r>
          </w:p>
        </w:tc>
        <w:tc>
          <w:tcPr>
            <w:tcW w:w="1541" w:type="dxa"/>
            <w:tcBorders>
              <w:tl2br w:val="nil"/>
              <w:tr2bl w:val="nil"/>
            </w:tcBorders>
            <w:vAlign w:val="center"/>
          </w:tcPr>
          <w:p>
            <w:pPr>
              <w:spacing w:line="360" w:lineRule="exact"/>
              <w:ind w:firstLine="0" w:firstLineChars="0"/>
              <w:jc w:val="both"/>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景观多样性、完整性等</w:t>
            </w:r>
          </w:p>
        </w:tc>
        <w:tc>
          <w:tcPr>
            <w:tcW w:w="2822" w:type="dxa"/>
            <w:tcBorders>
              <w:tl2br w:val="nil"/>
              <w:tr2bl w:val="nil"/>
            </w:tcBorders>
            <w:vAlign w:val="center"/>
          </w:tcPr>
          <w:p>
            <w:pPr>
              <w:spacing w:line="360" w:lineRule="exact"/>
              <w:ind w:firstLine="0" w:firstLineChars="0"/>
              <w:jc w:val="both"/>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项目所在区域景观主要为农田，该区域属于典型的乡村生态景观格局。空间结构主要为块状的平原、村舍房屋、村舍外防风林带等构成。项目施工建设会造成区域人造景观增加，服务站建设会造成区域景观环境斑块增加。</w:t>
            </w:r>
          </w:p>
        </w:tc>
        <w:tc>
          <w:tcPr>
            <w:tcW w:w="1391" w:type="dxa"/>
            <w:tcBorders>
              <w:tl2br w:val="nil"/>
              <w:tr2bl w:val="nil"/>
            </w:tcBorders>
            <w:vAlign w:val="center"/>
          </w:tcPr>
          <w:p>
            <w:pPr>
              <w:spacing w:line="360" w:lineRule="exact"/>
              <w:ind w:firstLine="0" w:firstLineChars="0"/>
              <w:jc w:val="both"/>
              <w:rPr>
                <w:rFonts w:hint="default" w:eastAsia="宋体"/>
                <w:color w:val="auto"/>
                <w:spacing w:val="7"/>
                <w:highlight w:val="none"/>
                <w:lang w:val="en-US" w:eastAsia="zh-CN"/>
              </w:rPr>
            </w:pPr>
            <w:r>
              <w:rPr>
                <w:rFonts w:hint="eastAsia"/>
                <w:color w:val="auto"/>
                <w:spacing w:val="7"/>
                <w:highlight w:val="none"/>
                <w:lang w:val="en-US" w:eastAsia="zh-CN"/>
              </w:rPr>
              <w:t>管道临时建设影响为短期，可逆；废水处理站建设影响为长期，不可逆</w:t>
            </w:r>
          </w:p>
        </w:tc>
        <w:tc>
          <w:tcPr>
            <w:tcW w:w="1401" w:type="dxa"/>
            <w:tcBorders>
              <w:tl2br w:val="nil"/>
              <w:tr2bl w:val="nil"/>
            </w:tcBorders>
            <w:vAlign w:val="center"/>
          </w:tcPr>
          <w:p>
            <w:pPr>
              <w:spacing w:line="360" w:lineRule="exact"/>
              <w:ind w:firstLine="0" w:firstLineChars="0"/>
              <w:jc w:val="center"/>
              <w:rPr>
                <w:rFonts w:hint="eastAsia"/>
                <w:color w:val="auto"/>
                <w:spacing w:val="7"/>
                <w:highlight w:val="none"/>
                <w:lang w:val="en-US" w:eastAsia="zh-CN"/>
              </w:rPr>
            </w:pPr>
            <w:r>
              <w:rPr>
                <w:rFonts w:hint="eastAsia"/>
                <w:color w:val="auto"/>
                <w:spacing w:val="7"/>
                <w:highlight w:val="none"/>
                <w:lang w:val="en-US" w:eastAsia="zh-CN"/>
              </w:rPr>
              <w:t>短</w:t>
            </w:r>
          </w:p>
        </w:tc>
      </w:tr>
    </w:tbl>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9" w:name="_Toc3505"/>
      <w:r>
        <w:rPr>
          <w:rFonts w:hint="eastAsia" w:ascii="Times New Roman" w:hAnsi="Times New Roman" w:eastAsia="宋体" w:cs="Times New Roman"/>
          <w:snapToGrid/>
          <w:color w:val="auto"/>
          <w:sz w:val="32"/>
          <w:highlight w:val="none"/>
          <w:lang w:val="en-US" w:eastAsia="zh-CN" w:bidi="ar-SA"/>
        </w:rPr>
        <w:t>2.3环境功能区划及评价执行标准</w:t>
      </w:r>
      <w:bookmarkEnd w:id="19"/>
    </w:p>
    <w:p>
      <w:pPr>
        <w:keepNext w:val="0"/>
        <w:keepLines w:val="0"/>
        <w:pageBreakBefore w:val="0"/>
        <w:widowControl w:val="0"/>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2.3.1环境功能区划</w:t>
      </w:r>
    </w:p>
    <w:p>
      <w:pPr>
        <w:keepNext w:val="0"/>
        <w:keepLines w:val="0"/>
        <w:pageBreakBefore w:val="0"/>
        <w:widowControl w:val="0"/>
        <w:kinsoku/>
        <w:wordWrap/>
        <w:overflowPunct/>
        <w:topLinePunct w:val="0"/>
        <w:autoSpaceDE/>
        <w:autoSpaceDN/>
        <w:bidi w:val="0"/>
        <w:adjustRightInd w:val="0"/>
        <w:snapToGrid w:val="0"/>
        <w:spacing w:line="500" w:lineRule="exact"/>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（1）空气环境：</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项目所在区域为农村区域，根据《环境空气质量标准》(GB3095-2012)中的规定，项目所在区域环境空气质量功能区划属二类区。</w:t>
      </w:r>
    </w:p>
    <w:p>
      <w:pPr>
        <w:keepNext w:val="0"/>
        <w:keepLines w:val="0"/>
        <w:pageBreakBefore w:val="0"/>
        <w:widowControl w:val="0"/>
        <w:kinsoku/>
        <w:wordWrap/>
        <w:overflowPunct/>
        <w:topLinePunct w:val="0"/>
        <w:autoSpaceDE/>
        <w:autoSpaceDN/>
        <w:bidi w:val="0"/>
        <w:adjustRightInd w:val="0"/>
        <w:snapToGrid w:val="0"/>
        <w:spacing w:line="500" w:lineRule="exact"/>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（2）地表水环境：</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站址及管道铺设区域附近地表水体为木格蛋泡子、葫芦代泡、河北村南侧及大五家子屯东北侧沟渠。</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对照《大庆市人民政府关于印发大庆市声环境功能区划分、大庆市环境空气质量功能区划分、大庆市地表水环境功能区划分的通知》（庆政发〔2019〕11号），项目附近地表水体为乡级河湖，按照河湖保护要求，保持水体、水面和堤岸保洁，暂不执行《地表水环境质量标准》（GB3838-2002）标准。</w:t>
      </w:r>
    </w:p>
    <w:p>
      <w:pPr>
        <w:keepNext w:val="0"/>
        <w:keepLines w:val="0"/>
        <w:pageBreakBefore w:val="0"/>
        <w:widowControl w:val="0"/>
        <w:kinsoku/>
        <w:wordWrap/>
        <w:overflowPunct/>
        <w:topLinePunct w:val="0"/>
        <w:autoSpaceDE/>
        <w:autoSpaceDN/>
        <w:bidi w:val="0"/>
        <w:adjustRightInd w:val="0"/>
        <w:snapToGrid w:val="0"/>
        <w:spacing w:line="500" w:lineRule="exact"/>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（3）地下水环境：</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评价区域地下水使用功能多为饮用水及农业用水，对照《地下水质量标准》（GB/T14848-2017）规定，评价区域地下水环境功能属于Ⅲ类。</w:t>
      </w:r>
    </w:p>
    <w:p>
      <w:pPr>
        <w:keepNext w:val="0"/>
        <w:keepLines w:val="0"/>
        <w:pageBreakBefore w:val="0"/>
        <w:widowControl w:val="0"/>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（4）声环境</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项目新建3#处理服务站站址位于肇源县发展村东侧空地处，位于声环境2类功能区，执行《声环境质量标准》（GB3096-2008）中的2类区标准。</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新建的3条输液管道由本次新建3#服务站西北角出线，沿西北向北布设，管道整体呈南北走向，管道终点由西南侧接入风瀚环保科技有限公司已建的2#服务站。剩余2条由已建的2#服务站站址西北侧出线，向北侧铺设，与1#服务站已建的输液管道连接，管道并列铺在耕地内铺设。</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输液管道主要穿越村庄、工业活动较多的乡村区域周围空地，其中工业活动较多的乡村区域执行《声环境质量标准》（GB3096-2008）中的2类区标准，其余村庄区域执行《声环境质量标准》（GB3096-2008）中的1类区标准。</w:t>
      </w:r>
    </w:p>
    <w:p>
      <w:pPr>
        <w:keepNext w:val="0"/>
        <w:keepLines w:val="0"/>
        <w:pageBreakBefore w:val="0"/>
        <w:widowControl w:val="0"/>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（5）土壤环境</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项目废水处理服务站站址内永久占地土壤执行《土壤环境质量 建设用地土壤污染风险管控标准（试行）》（GB36600-2018）第二类用地筛选标准；占地外农用地执行《土壤环境质量 农用地土壤污染风险管控标准（试行）》（GB15618-2018）表1农用地土壤污染风险筛选值。</w:t>
      </w:r>
    </w:p>
    <w:p>
      <w:pPr>
        <w:keepNext w:val="0"/>
        <w:keepLines w:val="0"/>
        <w:pageBreakBefore w:val="0"/>
        <w:widowControl w:val="0"/>
        <w:kinsoku/>
        <w:wordWrap/>
        <w:overflowPunct/>
        <w:topLinePunct w:val="0"/>
        <w:autoSpaceDE/>
        <w:autoSpaceDN/>
        <w:bidi w:val="0"/>
        <w:adjustRightInd w:val="0"/>
        <w:snapToGrid w:val="0"/>
        <w:spacing w:line="500" w:lineRule="exact"/>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（6）生态环境</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color w:val="auto"/>
          <w:spacing w:val="0"/>
          <w:w w:val="100"/>
          <w:kern w:val="0"/>
          <w:sz w:val="24"/>
          <w:szCs w:val="24"/>
          <w:highlight w:val="none"/>
          <w:lang w:val="en-US" w:eastAsia="zh-CN"/>
        </w:rPr>
      </w:pPr>
      <w:r>
        <w:rPr>
          <w:rFonts w:hint="eastAsia" w:cs="Times New Roman"/>
          <w:caps w:val="0"/>
          <w:smallCaps w:val="0"/>
          <w:color w:val="auto"/>
          <w:spacing w:val="0"/>
          <w:w w:val="100"/>
          <w:kern w:val="0"/>
          <w:sz w:val="24"/>
          <w:szCs w:val="24"/>
          <w:highlight w:val="none"/>
          <w:lang w:val="en-US" w:eastAsia="zh-CN"/>
        </w:rPr>
        <w:t>本项目位于大庆市肇源县境内，对照《黑龙江省生态功能区划》，项目所在区域为I-6-1-1嫩江下游湿地保护与沙化和盐渍化控制生态功能区。该区域为沙漠化控制重要生态功能区，主要生态系统服务功能为沙漠化控制、防洪蓄洪、牧业生产、旅游。</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2.3.2环境质量标准</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（1）环境空气质量标准</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本项目区域环境空气中CO、O</w:t>
      </w:r>
      <w:r>
        <w:rPr>
          <w:rFonts w:hint="eastAsia" w:cs="Times New Roman"/>
          <w:caps w:val="0"/>
          <w:smallCaps w:val="0"/>
          <w:snapToGrid/>
          <w:color w:val="auto"/>
          <w:spacing w:val="0"/>
          <w:w w:val="100"/>
          <w:kern w:val="0"/>
          <w:sz w:val="24"/>
          <w:szCs w:val="24"/>
          <w:highlight w:val="none"/>
          <w:vertAlign w:val="sub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、PM</w:t>
      </w:r>
      <w:r>
        <w:rPr>
          <w:rFonts w:hint="eastAsia" w:cs="Times New Roman"/>
          <w:caps w:val="0"/>
          <w:smallCaps w:val="0"/>
          <w:snapToGrid/>
          <w:color w:val="auto"/>
          <w:spacing w:val="0"/>
          <w:w w:val="100"/>
          <w:kern w:val="0"/>
          <w:sz w:val="24"/>
          <w:szCs w:val="24"/>
          <w:highlight w:val="none"/>
          <w:vertAlign w:val="subscript"/>
          <w:lang w:val="en-US" w:eastAsia="zh-CN" w:bidi="ar-SA"/>
        </w:rPr>
        <w:t>10</w:t>
      </w:r>
      <w:r>
        <w:rPr>
          <w:rFonts w:hint="eastAsia" w:cs="Times New Roman"/>
          <w:caps w:val="0"/>
          <w:smallCaps w:val="0"/>
          <w:snapToGrid/>
          <w:color w:val="auto"/>
          <w:spacing w:val="0"/>
          <w:w w:val="100"/>
          <w:kern w:val="0"/>
          <w:sz w:val="24"/>
          <w:szCs w:val="24"/>
          <w:highlight w:val="none"/>
          <w:lang w:val="en-US" w:eastAsia="zh-CN" w:bidi="ar-SA"/>
        </w:rPr>
        <w:t>、PM</w:t>
      </w:r>
      <w:r>
        <w:rPr>
          <w:rFonts w:hint="eastAsia" w:cs="Times New Roman"/>
          <w:caps w:val="0"/>
          <w:smallCaps w:val="0"/>
          <w:snapToGrid/>
          <w:color w:val="auto"/>
          <w:spacing w:val="0"/>
          <w:w w:val="100"/>
          <w:kern w:val="0"/>
          <w:sz w:val="24"/>
          <w:szCs w:val="24"/>
          <w:highlight w:val="none"/>
          <w:vertAlign w:val="subscript"/>
          <w:lang w:val="en-US" w:eastAsia="zh-CN" w:bidi="ar-SA"/>
        </w:rPr>
        <w:t>2.5</w:t>
      </w:r>
      <w:r>
        <w:rPr>
          <w:rFonts w:hint="eastAsia" w:cs="Times New Roman"/>
          <w:caps w:val="0"/>
          <w:smallCaps w:val="0"/>
          <w:snapToGrid/>
          <w:color w:val="auto"/>
          <w:spacing w:val="0"/>
          <w:w w:val="100"/>
          <w:kern w:val="0"/>
          <w:sz w:val="24"/>
          <w:szCs w:val="24"/>
          <w:highlight w:val="none"/>
          <w:lang w:val="en-US" w:eastAsia="zh-CN" w:bidi="ar-SA"/>
        </w:rPr>
        <w:t>、SO</w:t>
      </w:r>
      <w:r>
        <w:rPr>
          <w:rFonts w:hint="eastAsia" w:cs="Times New Roman"/>
          <w:caps w:val="0"/>
          <w:smallCaps w:val="0"/>
          <w:snapToGrid/>
          <w:color w:val="auto"/>
          <w:spacing w:val="0"/>
          <w:w w:val="100"/>
          <w:kern w:val="0"/>
          <w:sz w:val="24"/>
          <w:szCs w:val="24"/>
          <w:highlight w:val="none"/>
          <w:vertAlign w:val="subscript"/>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、NO</w:t>
      </w:r>
      <w:r>
        <w:rPr>
          <w:rFonts w:hint="eastAsia" w:cs="Times New Roman"/>
          <w:caps w:val="0"/>
          <w:smallCaps w:val="0"/>
          <w:snapToGrid/>
          <w:color w:val="auto"/>
          <w:spacing w:val="0"/>
          <w:w w:val="100"/>
          <w:kern w:val="0"/>
          <w:sz w:val="24"/>
          <w:szCs w:val="24"/>
          <w:highlight w:val="none"/>
          <w:vertAlign w:val="subscript"/>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执行《环境空气质量标准》（GB3095-2012）及其修改单中二级标准；氨和硫化氢执行《环境影响评价技术导则 大气环境》（HJ2.2-2018）附录D小时限值要求，</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非甲烷总烃参照执行《大气污染物综合排放标准详解》相关要求，在环境质量现状评价中以2.0mg/m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作为标准。</w:t>
      </w:r>
      <w:r>
        <w:rPr>
          <w:rFonts w:hint="eastAsia" w:cs="Times New Roman"/>
          <w:caps w:val="0"/>
          <w:smallCaps w:val="0"/>
          <w:snapToGrid/>
          <w:color w:val="auto"/>
          <w:spacing w:val="0"/>
          <w:w w:val="100"/>
          <w:kern w:val="0"/>
          <w:sz w:val="24"/>
          <w:szCs w:val="24"/>
          <w:highlight w:val="none"/>
          <w:lang w:val="en-US" w:eastAsia="zh-CN" w:bidi="ar-SA"/>
        </w:rPr>
        <w:t>标准限值见表2.3-1。</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表2.3-1环境空气质量标准</w:t>
      </w:r>
      <w:r>
        <w:rPr>
          <w:rFonts w:hint="eastAsia" w:cs="Times New Roman"/>
          <w:b/>
          <w:bCs/>
          <w:caps w:val="0"/>
          <w:smallCaps w:val="0"/>
          <w:color w:val="auto"/>
          <w:spacing w:val="0"/>
          <w:w w:val="100"/>
          <w:kern w:val="0"/>
          <w:sz w:val="21"/>
          <w:szCs w:val="21"/>
          <w:highlight w:val="none"/>
          <w:vertAlign w:val="baseline"/>
          <w:lang w:val="en-US" w:eastAsia="zh-CN" w:bidi="ar-SA"/>
        </w:rPr>
        <w:t xml:space="preserve"> 单位：μg/m</w:t>
      </w:r>
      <w:r>
        <w:rPr>
          <w:rFonts w:hint="eastAsia" w:cs="Times New Roman"/>
          <w:b/>
          <w:bCs/>
          <w:caps w:val="0"/>
          <w:smallCaps w:val="0"/>
          <w:color w:val="auto"/>
          <w:spacing w:val="0"/>
          <w:w w:val="100"/>
          <w:kern w:val="0"/>
          <w:sz w:val="21"/>
          <w:szCs w:val="21"/>
          <w:highlight w:val="none"/>
          <w:vertAlign w:val="superscript"/>
          <w:lang w:val="en-US" w:eastAsia="zh-CN" w:bidi="ar-SA"/>
        </w:rPr>
        <w:t>3</w:t>
      </w:r>
    </w:p>
    <w:tbl>
      <w:tblPr>
        <w:tblStyle w:val="16"/>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56"/>
        <w:gridCol w:w="2156"/>
        <w:gridCol w:w="2073"/>
        <w:gridCol w:w="292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tcBorders>
              <w:tl2br w:val="nil"/>
              <w:tr2bl w:val="nil"/>
            </w:tcBorders>
          </w:tcPr>
          <w:p>
            <w:pPr>
              <w:spacing w:line="360" w:lineRule="exact"/>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序号</w:t>
            </w:r>
          </w:p>
        </w:tc>
        <w:tc>
          <w:tcPr>
            <w:tcW w:w="1266" w:type="pct"/>
            <w:tcBorders>
              <w:tl2br w:val="nil"/>
              <w:tr2bl w:val="nil"/>
            </w:tcBorders>
          </w:tcPr>
          <w:p>
            <w:pPr>
              <w:spacing w:line="360" w:lineRule="exact"/>
              <w:ind w:firstLine="0" w:firstLineChars="0"/>
              <w:jc w:val="center"/>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污染物项目</w:t>
            </w:r>
          </w:p>
        </w:tc>
        <w:tc>
          <w:tcPr>
            <w:tcW w:w="1217" w:type="pct"/>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default" w:cs="Times New Roman"/>
                <w:color w:val="auto"/>
                <w:kern w:val="0"/>
                <w:sz w:val="21"/>
                <w:szCs w:val="21"/>
                <w:highlight w:val="none"/>
                <w:lang w:val="en-US" w:eastAsia="zh-CN"/>
              </w:rPr>
              <w:t>取值时间</w:t>
            </w:r>
          </w:p>
        </w:tc>
        <w:tc>
          <w:tcPr>
            <w:tcW w:w="1719" w:type="pct"/>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r>
              <w:rPr>
                <w:rFonts w:hint="default" w:cs="Times New Roman"/>
                <w:color w:val="auto"/>
                <w:kern w:val="0"/>
                <w:sz w:val="21"/>
                <w:szCs w:val="21"/>
                <w:highlight w:val="none"/>
                <w:lang w:val="en-US" w:eastAsia="zh-CN"/>
              </w:rPr>
              <w:t>二级标准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vMerge w:val="restart"/>
            <w:tcBorders>
              <w:tl2br w:val="nil"/>
              <w:tr2bl w:val="nil"/>
            </w:tcBorders>
            <w:vAlign w:val="center"/>
          </w:tcPr>
          <w:p>
            <w:pPr>
              <w:spacing w:line="360" w:lineRule="exact"/>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w:t>
            </w:r>
          </w:p>
        </w:tc>
        <w:tc>
          <w:tcPr>
            <w:tcW w:w="1266" w:type="pct"/>
            <w:vMerge w:val="restart"/>
            <w:tcBorders>
              <w:tl2br w:val="nil"/>
              <w:tr2bl w:val="nil"/>
            </w:tcBorders>
            <w:vAlign w:val="center"/>
          </w:tcPr>
          <w:p>
            <w:pPr>
              <w:pStyle w:val="20"/>
              <w:pageBreakBefore w:val="0"/>
              <w:bidi w:val="0"/>
              <w:spacing w:line="360" w:lineRule="auto"/>
              <w:ind w:firstLine="0" w:firstLineChars="0"/>
              <w:rPr>
                <w:rFonts w:hint="eastAsia" w:cs="Times New Roman"/>
                <w:color w:val="auto"/>
                <w:kern w:val="0"/>
                <w:sz w:val="21"/>
                <w:szCs w:val="21"/>
                <w:highlight w:val="none"/>
                <w:lang w:val="en-US" w:eastAsia="zh-CN"/>
              </w:rPr>
            </w:pPr>
            <w:r>
              <w:rPr>
                <w:rFonts w:hint="default" w:ascii="Times New Roman" w:hAnsi="Times New Roman" w:cs="Times New Roman"/>
                <w:caps w:val="0"/>
                <w:smallCaps w:val="0"/>
                <w:color w:val="auto"/>
                <w:spacing w:val="0"/>
                <w:w w:val="100"/>
                <w:highlight w:val="none"/>
              </w:rPr>
              <w:t>二氧化氮NO</w:t>
            </w:r>
            <w:r>
              <w:rPr>
                <w:rFonts w:hint="default" w:ascii="Times New Roman" w:hAnsi="Times New Roman" w:cs="Times New Roman"/>
                <w:caps w:val="0"/>
                <w:smallCaps w:val="0"/>
                <w:color w:val="auto"/>
                <w:spacing w:val="0"/>
                <w:w w:val="100"/>
                <w:highlight w:val="none"/>
                <w:vertAlign w:val="subscript"/>
              </w:rPr>
              <w:t>2</w:t>
            </w:r>
          </w:p>
        </w:tc>
        <w:tc>
          <w:tcPr>
            <w:tcW w:w="1217" w:type="pct"/>
            <w:tcBorders>
              <w:tl2br w:val="nil"/>
              <w:tr2bl w:val="nil"/>
            </w:tcBorders>
            <w:vAlign w:val="center"/>
          </w:tcPr>
          <w:p>
            <w:pPr>
              <w:pStyle w:val="20"/>
              <w:pageBreakBefore w:val="0"/>
              <w:bidi w:val="0"/>
              <w:spacing w:line="360" w:lineRule="auto"/>
              <w:ind w:firstLine="0" w:firstLineChars="0"/>
              <w:rPr>
                <w:rFonts w:hint="eastAsia" w:cs="Times New Roman"/>
                <w:color w:val="auto"/>
                <w:kern w:val="0"/>
                <w:sz w:val="21"/>
                <w:szCs w:val="21"/>
                <w:highlight w:val="none"/>
                <w:lang w:val="en-US" w:eastAsia="zh-CN"/>
              </w:rPr>
            </w:pPr>
            <w:r>
              <w:rPr>
                <w:rFonts w:hint="default" w:ascii="Times New Roman" w:hAnsi="Times New Roman" w:cs="Times New Roman"/>
                <w:caps w:val="0"/>
                <w:smallCaps w:val="0"/>
                <w:color w:val="auto"/>
                <w:spacing w:val="0"/>
                <w:w w:val="100"/>
                <w:highlight w:val="none"/>
              </w:rPr>
              <w:t>年平均</w:t>
            </w:r>
          </w:p>
        </w:tc>
        <w:tc>
          <w:tcPr>
            <w:tcW w:w="1719" w:type="pct"/>
            <w:tcBorders>
              <w:tl2br w:val="nil"/>
              <w:tr2bl w:val="nil"/>
            </w:tcBorders>
            <w:vAlign w:val="center"/>
          </w:tcPr>
          <w:p>
            <w:pPr>
              <w:pStyle w:val="20"/>
              <w:pageBreakBefore w:val="0"/>
              <w:bidi w:val="0"/>
              <w:spacing w:line="360" w:lineRule="auto"/>
              <w:ind w:firstLine="0" w:firstLineChars="0"/>
              <w:rPr>
                <w:rFonts w:hint="eastAsia" w:cs="Times New Roman"/>
                <w:color w:val="auto"/>
                <w:kern w:val="0"/>
                <w:sz w:val="21"/>
                <w:szCs w:val="21"/>
                <w:highlight w:val="none"/>
                <w:lang w:val="en-US" w:eastAsia="zh-CN"/>
              </w:rPr>
            </w:pPr>
            <w:r>
              <w:rPr>
                <w:rFonts w:hint="default" w:ascii="Times New Roman" w:hAnsi="Times New Roman" w:cs="Times New Roman"/>
                <w:caps w:val="0"/>
                <w:smallCaps w:val="0"/>
                <w:color w:val="auto"/>
                <w:spacing w:val="0"/>
                <w:w w:val="100"/>
                <w:highlight w:val="none"/>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vMerge w:val="continue"/>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p>
        </w:tc>
        <w:tc>
          <w:tcPr>
            <w:tcW w:w="1266" w:type="pct"/>
            <w:vMerge w:val="continue"/>
            <w:tcBorders>
              <w:tl2br w:val="nil"/>
              <w:tr2bl w:val="nil"/>
            </w:tcBorders>
            <w:vAlign w:val="center"/>
          </w:tcPr>
          <w:p>
            <w:pPr>
              <w:pStyle w:val="20"/>
              <w:pageBreakBefore w:val="0"/>
              <w:bidi w:val="0"/>
              <w:spacing w:line="360" w:lineRule="auto"/>
              <w:ind w:firstLine="0" w:firstLineChars="0"/>
              <w:rPr>
                <w:rFonts w:hint="eastAsia" w:cs="Times New Roman"/>
                <w:color w:val="auto"/>
                <w:kern w:val="0"/>
                <w:sz w:val="21"/>
                <w:szCs w:val="21"/>
                <w:highlight w:val="none"/>
                <w:lang w:val="en-US" w:eastAsia="zh-CN"/>
              </w:rPr>
            </w:pPr>
          </w:p>
        </w:tc>
        <w:tc>
          <w:tcPr>
            <w:tcW w:w="1217" w:type="pct"/>
            <w:tcBorders>
              <w:tl2br w:val="nil"/>
              <w:tr2bl w:val="nil"/>
            </w:tcBorders>
            <w:vAlign w:val="center"/>
          </w:tcPr>
          <w:p>
            <w:pPr>
              <w:pStyle w:val="20"/>
              <w:pageBreakBefore w:val="0"/>
              <w:bidi w:val="0"/>
              <w:spacing w:line="360" w:lineRule="auto"/>
              <w:ind w:firstLine="0" w:firstLineChars="0"/>
              <w:rPr>
                <w:rFonts w:hint="eastAsia" w:cs="Times New Roman"/>
                <w:color w:val="auto"/>
                <w:kern w:val="0"/>
                <w:sz w:val="21"/>
                <w:szCs w:val="21"/>
                <w:highlight w:val="none"/>
                <w:lang w:val="en-US" w:eastAsia="zh-CN"/>
              </w:rPr>
            </w:pPr>
            <w:r>
              <w:rPr>
                <w:rFonts w:hint="default" w:ascii="Times New Roman" w:hAnsi="Times New Roman" w:cs="Times New Roman"/>
                <w:caps w:val="0"/>
                <w:smallCaps w:val="0"/>
                <w:color w:val="auto"/>
                <w:spacing w:val="0"/>
                <w:w w:val="100"/>
                <w:highlight w:val="none"/>
              </w:rPr>
              <w:t>24小时平均</w:t>
            </w:r>
          </w:p>
        </w:tc>
        <w:tc>
          <w:tcPr>
            <w:tcW w:w="1719" w:type="pct"/>
            <w:tcBorders>
              <w:tl2br w:val="nil"/>
              <w:tr2bl w:val="nil"/>
            </w:tcBorders>
            <w:vAlign w:val="center"/>
          </w:tcPr>
          <w:p>
            <w:pPr>
              <w:pStyle w:val="20"/>
              <w:pageBreakBefore w:val="0"/>
              <w:bidi w:val="0"/>
              <w:spacing w:line="360" w:lineRule="auto"/>
              <w:ind w:firstLine="0" w:firstLineChars="0"/>
              <w:rPr>
                <w:rFonts w:hint="eastAsia" w:cs="Times New Roman"/>
                <w:color w:val="auto"/>
                <w:kern w:val="0"/>
                <w:sz w:val="21"/>
                <w:szCs w:val="21"/>
                <w:highlight w:val="none"/>
                <w:lang w:val="en-US" w:eastAsia="zh-CN"/>
              </w:rPr>
            </w:pPr>
            <w:r>
              <w:rPr>
                <w:rFonts w:hint="default" w:ascii="Times New Roman" w:hAnsi="Times New Roman" w:cs="Times New Roman"/>
                <w:caps w:val="0"/>
                <w:smallCaps w:val="0"/>
                <w:color w:val="auto"/>
                <w:spacing w:val="0"/>
                <w:w w:val="100"/>
                <w:highlight w:val="none"/>
              </w:rP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vMerge w:val="continue"/>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p>
        </w:tc>
        <w:tc>
          <w:tcPr>
            <w:tcW w:w="1266" w:type="pct"/>
            <w:vMerge w:val="continue"/>
            <w:tcBorders>
              <w:tl2br w:val="nil"/>
              <w:tr2bl w:val="nil"/>
            </w:tcBorders>
            <w:vAlign w:val="center"/>
          </w:tcPr>
          <w:p>
            <w:pPr>
              <w:pStyle w:val="20"/>
              <w:pageBreakBefore w:val="0"/>
              <w:bidi w:val="0"/>
              <w:spacing w:line="360" w:lineRule="auto"/>
              <w:ind w:firstLine="0" w:firstLineChars="0"/>
              <w:rPr>
                <w:rFonts w:hint="eastAsia" w:cs="Times New Roman"/>
                <w:color w:val="auto"/>
                <w:kern w:val="0"/>
                <w:sz w:val="21"/>
                <w:szCs w:val="21"/>
                <w:highlight w:val="none"/>
                <w:lang w:val="en-US" w:eastAsia="zh-CN"/>
              </w:rPr>
            </w:pPr>
          </w:p>
        </w:tc>
        <w:tc>
          <w:tcPr>
            <w:tcW w:w="1217" w:type="pct"/>
            <w:tcBorders>
              <w:tl2br w:val="nil"/>
              <w:tr2bl w:val="nil"/>
            </w:tcBorders>
            <w:vAlign w:val="center"/>
          </w:tcPr>
          <w:p>
            <w:pPr>
              <w:pStyle w:val="20"/>
              <w:pageBreakBefore w:val="0"/>
              <w:bidi w:val="0"/>
              <w:spacing w:line="360" w:lineRule="auto"/>
              <w:ind w:firstLine="0" w:firstLineChars="0"/>
              <w:rPr>
                <w:rFonts w:hint="eastAsia" w:cs="Times New Roman"/>
                <w:color w:val="auto"/>
                <w:kern w:val="0"/>
                <w:sz w:val="21"/>
                <w:szCs w:val="21"/>
                <w:highlight w:val="none"/>
                <w:lang w:val="en-US" w:eastAsia="zh-CN"/>
              </w:rPr>
            </w:pPr>
            <w:r>
              <w:rPr>
                <w:rFonts w:hint="default" w:ascii="Times New Roman" w:hAnsi="Times New Roman" w:cs="Times New Roman"/>
                <w:caps w:val="0"/>
                <w:smallCaps w:val="0"/>
                <w:color w:val="auto"/>
                <w:spacing w:val="0"/>
                <w:w w:val="100"/>
                <w:highlight w:val="none"/>
              </w:rPr>
              <w:t>1小时平均</w:t>
            </w:r>
          </w:p>
        </w:tc>
        <w:tc>
          <w:tcPr>
            <w:tcW w:w="1719" w:type="pct"/>
            <w:tcBorders>
              <w:tl2br w:val="nil"/>
              <w:tr2bl w:val="nil"/>
            </w:tcBorders>
            <w:vAlign w:val="center"/>
          </w:tcPr>
          <w:p>
            <w:pPr>
              <w:pStyle w:val="20"/>
              <w:pageBreakBefore w:val="0"/>
              <w:bidi w:val="0"/>
              <w:spacing w:line="360" w:lineRule="auto"/>
              <w:ind w:firstLine="0" w:firstLineChars="0"/>
              <w:rPr>
                <w:rFonts w:hint="eastAsia" w:cs="Times New Roman"/>
                <w:color w:val="auto"/>
                <w:kern w:val="0"/>
                <w:sz w:val="21"/>
                <w:szCs w:val="21"/>
                <w:highlight w:val="none"/>
                <w:lang w:val="en-US" w:eastAsia="zh-CN"/>
              </w:rPr>
            </w:pPr>
            <w:r>
              <w:rPr>
                <w:rFonts w:hint="default" w:ascii="Times New Roman" w:hAnsi="Times New Roman" w:cs="Times New Roman"/>
                <w:caps w:val="0"/>
                <w:smallCaps w:val="0"/>
                <w:color w:val="auto"/>
                <w:spacing w:val="0"/>
                <w:w w:val="100"/>
                <w:highlight w:val="none"/>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vMerge w:val="restart"/>
            <w:tcBorders>
              <w:tl2br w:val="nil"/>
              <w:tr2bl w:val="nil"/>
            </w:tcBorders>
            <w:vAlign w:val="center"/>
          </w:tcPr>
          <w:p>
            <w:pPr>
              <w:spacing w:line="360" w:lineRule="exact"/>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p>
        </w:tc>
        <w:tc>
          <w:tcPr>
            <w:tcW w:w="1266" w:type="pct"/>
            <w:vMerge w:val="restar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总悬浮颗粒物TSP</w:t>
            </w:r>
          </w:p>
        </w:tc>
        <w:tc>
          <w:tcPr>
            <w:tcW w:w="1217"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年平均</w:t>
            </w:r>
          </w:p>
        </w:tc>
        <w:tc>
          <w:tcPr>
            <w:tcW w:w="1719"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vMerge w:val="continue"/>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p>
        </w:tc>
        <w:tc>
          <w:tcPr>
            <w:tcW w:w="1266" w:type="pct"/>
            <w:vMerge w:val="continue"/>
            <w:tcBorders>
              <w:tl2br w:val="nil"/>
              <w:tr2bl w:val="nil"/>
            </w:tcBorders>
          </w:tcPr>
          <w:p>
            <w:pPr>
              <w:spacing w:line="360" w:lineRule="exact"/>
              <w:ind w:firstLine="0" w:firstLineChars="0"/>
              <w:jc w:val="center"/>
              <w:rPr>
                <w:rFonts w:hint="eastAsia" w:cs="Times New Roman"/>
                <w:color w:val="auto"/>
                <w:kern w:val="0"/>
                <w:sz w:val="21"/>
                <w:szCs w:val="21"/>
                <w:highlight w:val="none"/>
                <w:lang w:val="en-US" w:eastAsia="zh-CN"/>
              </w:rPr>
            </w:pPr>
          </w:p>
        </w:tc>
        <w:tc>
          <w:tcPr>
            <w:tcW w:w="1217"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24小时平均</w:t>
            </w:r>
          </w:p>
        </w:tc>
        <w:tc>
          <w:tcPr>
            <w:tcW w:w="1719"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300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vMerge w:val="restart"/>
            <w:tcBorders>
              <w:tl2br w:val="nil"/>
              <w:tr2bl w:val="nil"/>
            </w:tcBorders>
            <w:vAlign w:val="center"/>
          </w:tcPr>
          <w:p>
            <w:pPr>
              <w:spacing w:line="360" w:lineRule="exact"/>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w:t>
            </w:r>
          </w:p>
        </w:tc>
        <w:tc>
          <w:tcPr>
            <w:tcW w:w="1266" w:type="pct"/>
            <w:vMerge w:val="restar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二氧化硫SO</w:t>
            </w:r>
            <w:r>
              <w:rPr>
                <w:rFonts w:hint="default" w:ascii="Times New Roman" w:hAnsi="Times New Roman" w:cs="Times New Roman"/>
                <w:caps w:val="0"/>
                <w:smallCaps w:val="0"/>
                <w:color w:val="auto"/>
                <w:spacing w:val="0"/>
                <w:w w:val="100"/>
                <w:highlight w:val="none"/>
                <w:vertAlign w:val="subscript"/>
              </w:rPr>
              <w:t>2</w:t>
            </w:r>
          </w:p>
        </w:tc>
        <w:tc>
          <w:tcPr>
            <w:tcW w:w="1217"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年平均</w:t>
            </w:r>
          </w:p>
        </w:tc>
        <w:tc>
          <w:tcPr>
            <w:tcW w:w="1719"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vMerge w:val="continue"/>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p>
        </w:tc>
        <w:tc>
          <w:tcPr>
            <w:tcW w:w="1266" w:type="pct"/>
            <w:vMerge w:val="continue"/>
            <w:tcBorders>
              <w:tl2br w:val="nil"/>
              <w:tr2bl w:val="nil"/>
            </w:tcBorders>
          </w:tcPr>
          <w:p>
            <w:pPr>
              <w:spacing w:line="360" w:lineRule="exact"/>
              <w:ind w:firstLine="0" w:firstLineChars="0"/>
              <w:jc w:val="center"/>
              <w:rPr>
                <w:rFonts w:hint="eastAsia" w:cs="Times New Roman"/>
                <w:color w:val="auto"/>
                <w:kern w:val="0"/>
                <w:sz w:val="21"/>
                <w:szCs w:val="21"/>
                <w:highlight w:val="none"/>
                <w:lang w:val="en-US" w:eastAsia="zh-CN"/>
              </w:rPr>
            </w:pPr>
          </w:p>
        </w:tc>
        <w:tc>
          <w:tcPr>
            <w:tcW w:w="1217"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24小时平均</w:t>
            </w:r>
          </w:p>
        </w:tc>
        <w:tc>
          <w:tcPr>
            <w:tcW w:w="1719"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vMerge w:val="continue"/>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p>
        </w:tc>
        <w:tc>
          <w:tcPr>
            <w:tcW w:w="1266" w:type="pct"/>
            <w:vMerge w:val="continue"/>
            <w:tcBorders>
              <w:tl2br w:val="nil"/>
              <w:tr2bl w:val="nil"/>
            </w:tcBorders>
          </w:tcPr>
          <w:p>
            <w:pPr>
              <w:spacing w:line="360" w:lineRule="exact"/>
              <w:ind w:firstLine="0" w:firstLineChars="0"/>
              <w:jc w:val="center"/>
              <w:rPr>
                <w:rFonts w:hint="eastAsia" w:cs="Times New Roman"/>
                <w:color w:val="auto"/>
                <w:kern w:val="0"/>
                <w:sz w:val="21"/>
                <w:szCs w:val="21"/>
                <w:highlight w:val="none"/>
                <w:lang w:val="en-US" w:eastAsia="zh-CN"/>
              </w:rPr>
            </w:pPr>
          </w:p>
        </w:tc>
        <w:tc>
          <w:tcPr>
            <w:tcW w:w="1217"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1小时平均</w:t>
            </w:r>
          </w:p>
        </w:tc>
        <w:tc>
          <w:tcPr>
            <w:tcW w:w="1719"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500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vMerge w:val="restart"/>
            <w:tcBorders>
              <w:tl2br w:val="nil"/>
              <w:tr2bl w:val="nil"/>
            </w:tcBorders>
            <w:vAlign w:val="center"/>
          </w:tcPr>
          <w:p>
            <w:pPr>
              <w:spacing w:line="360" w:lineRule="exact"/>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w:t>
            </w:r>
          </w:p>
        </w:tc>
        <w:tc>
          <w:tcPr>
            <w:tcW w:w="1266" w:type="pct"/>
            <w:vMerge w:val="restar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颗粒物PM</w:t>
            </w:r>
            <w:r>
              <w:rPr>
                <w:rFonts w:hint="default" w:ascii="Times New Roman" w:hAnsi="Times New Roman" w:cs="Times New Roman"/>
                <w:caps w:val="0"/>
                <w:smallCaps w:val="0"/>
                <w:color w:val="auto"/>
                <w:spacing w:val="0"/>
                <w:w w:val="100"/>
                <w:highlight w:val="none"/>
                <w:vertAlign w:val="subscript"/>
              </w:rPr>
              <w:t>10</w:t>
            </w:r>
          </w:p>
        </w:tc>
        <w:tc>
          <w:tcPr>
            <w:tcW w:w="1217"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年平均</w:t>
            </w:r>
          </w:p>
        </w:tc>
        <w:tc>
          <w:tcPr>
            <w:tcW w:w="1719"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vMerge w:val="continue"/>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p>
        </w:tc>
        <w:tc>
          <w:tcPr>
            <w:tcW w:w="1266" w:type="pct"/>
            <w:vMerge w:val="continue"/>
            <w:tcBorders>
              <w:tl2br w:val="nil"/>
              <w:tr2bl w:val="nil"/>
            </w:tcBorders>
          </w:tcPr>
          <w:p>
            <w:pPr>
              <w:spacing w:line="360" w:lineRule="exact"/>
              <w:ind w:firstLine="0" w:firstLineChars="0"/>
              <w:jc w:val="center"/>
              <w:rPr>
                <w:rFonts w:hint="eastAsia" w:cs="Times New Roman"/>
                <w:color w:val="auto"/>
                <w:kern w:val="0"/>
                <w:sz w:val="21"/>
                <w:szCs w:val="21"/>
                <w:highlight w:val="none"/>
                <w:lang w:val="en-US" w:eastAsia="zh-CN"/>
              </w:rPr>
            </w:pPr>
          </w:p>
        </w:tc>
        <w:tc>
          <w:tcPr>
            <w:tcW w:w="1217"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24小时平均</w:t>
            </w:r>
          </w:p>
        </w:tc>
        <w:tc>
          <w:tcPr>
            <w:tcW w:w="1719"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vMerge w:val="restart"/>
            <w:tcBorders>
              <w:tl2br w:val="nil"/>
              <w:tr2bl w:val="nil"/>
            </w:tcBorders>
            <w:vAlign w:val="center"/>
          </w:tcPr>
          <w:p>
            <w:pPr>
              <w:spacing w:line="360" w:lineRule="exact"/>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w:t>
            </w:r>
          </w:p>
        </w:tc>
        <w:tc>
          <w:tcPr>
            <w:tcW w:w="1266" w:type="pct"/>
            <w:vMerge w:val="restar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颗粒物PM</w:t>
            </w:r>
            <w:r>
              <w:rPr>
                <w:rFonts w:hint="default" w:ascii="Times New Roman" w:hAnsi="Times New Roman" w:cs="Times New Roman"/>
                <w:caps w:val="0"/>
                <w:smallCaps w:val="0"/>
                <w:color w:val="auto"/>
                <w:spacing w:val="0"/>
                <w:w w:val="100"/>
                <w:highlight w:val="none"/>
                <w:vertAlign w:val="subscript"/>
              </w:rPr>
              <w:t>2.5</w:t>
            </w:r>
          </w:p>
        </w:tc>
        <w:tc>
          <w:tcPr>
            <w:tcW w:w="1217"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年平均</w:t>
            </w:r>
          </w:p>
        </w:tc>
        <w:tc>
          <w:tcPr>
            <w:tcW w:w="1719"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vMerge w:val="continue"/>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p>
        </w:tc>
        <w:tc>
          <w:tcPr>
            <w:tcW w:w="1266" w:type="pct"/>
            <w:vMerge w:val="continue"/>
            <w:tcBorders>
              <w:tl2br w:val="nil"/>
              <w:tr2bl w:val="nil"/>
            </w:tcBorders>
          </w:tcPr>
          <w:p>
            <w:pPr>
              <w:spacing w:line="360" w:lineRule="exact"/>
              <w:ind w:firstLine="0" w:firstLineChars="0"/>
              <w:jc w:val="center"/>
              <w:rPr>
                <w:rFonts w:hint="eastAsia" w:cs="Times New Roman"/>
                <w:color w:val="auto"/>
                <w:kern w:val="0"/>
                <w:sz w:val="21"/>
                <w:szCs w:val="21"/>
                <w:highlight w:val="none"/>
                <w:lang w:val="en-US" w:eastAsia="zh-CN"/>
              </w:rPr>
            </w:pPr>
          </w:p>
        </w:tc>
        <w:tc>
          <w:tcPr>
            <w:tcW w:w="1217"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24小时平均</w:t>
            </w:r>
          </w:p>
        </w:tc>
        <w:tc>
          <w:tcPr>
            <w:tcW w:w="1719"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vMerge w:val="restart"/>
            <w:tcBorders>
              <w:tl2br w:val="nil"/>
              <w:tr2bl w:val="nil"/>
            </w:tcBorders>
            <w:vAlign w:val="center"/>
          </w:tcPr>
          <w:p>
            <w:pPr>
              <w:spacing w:line="360" w:lineRule="exact"/>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w:t>
            </w:r>
          </w:p>
        </w:tc>
        <w:tc>
          <w:tcPr>
            <w:tcW w:w="1266" w:type="pct"/>
            <w:vMerge w:val="restar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一氧化碳CO</w:t>
            </w:r>
          </w:p>
        </w:tc>
        <w:tc>
          <w:tcPr>
            <w:tcW w:w="1217"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24小时平均</w:t>
            </w:r>
          </w:p>
        </w:tc>
        <w:tc>
          <w:tcPr>
            <w:tcW w:w="1719"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4000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vMerge w:val="continue"/>
            <w:tcBorders>
              <w:tl2br w:val="nil"/>
              <w:tr2bl w:val="nil"/>
            </w:tcBorders>
            <w:vAlign w:val="center"/>
          </w:tcPr>
          <w:p>
            <w:pPr>
              <w:spacing w:line="360" w:lineRule="exact"/>
              <w:ind w:firstLine="0" w:firstLineChars="0"/>
              <w:jc w:val="center"/>
              <w:rPr>
                <w:rFonts w:hint="eastAsia" w:cs="Times New Roman"/>
                <w:color w:val="auto"/>
                <w:kern w:val="0"/>
                <w:sz w:val="21"/>
                <w:szCs w:val="21"/>
                <w:highlight w:val="none"/>
                <w:lang w:val="en-US" w:eastAsia="zh-CN"/>
              </w:rPr>
            </w:pPr>
          </w:p>
        </w:tc>
        <w:tc>
          <w:tcPr>
            <w:tcW w:w="1266" w:type="pct"/>
            <w:vMerge w:val="continue"/>
            <w:tcBorders>
              <w:tl2br w:val="nil"/>
              <w:tr2bl w:val="nil"/>
            </w:tcBorders>
          </w:tcPr>
          <w:p>
            <w:pPr>
              <w:spacing w:line="360" w:lineRule="exact"/>
              <w:ind w:firstLine="0" w:firstLineChars="0"/>
              <w:jc w:val="center"/>
              <w:rPr>
                <w:rFonts w:hint="eastAsia" w:cs="Times New Roman"/>
                <w:color w:val="auto"/>
                <w:kern w:val="0"/>
                <w:sz w:val="21"/>
                <w:szCs w:val="21"/>
                <w:highlight w:val="none"/>
                <w:lang w:val="en-US" w:eastAsia="zh-CN"/>
              </w:rPr>
            </w:pPr>
          </w:p>
        </w:tc>
        <w:tc>
          <w:tcPr>
            <w:tcW w:w="1217"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1小时平均</w:t>
            </w:r>
          </w:p>
        </w:tc>
        <w:tc>
          <w:tcPr>
            <w:tcW w:w="1719"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10000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vMerge w:val="restart"/>
            <w:tcBorders>
              <w:tl2br w:val="nil"/>
              <w:tr2bl w:val="nil"/>
            </w:tcBorders>
            <w:vAlign w:val="center"/>
          </w:tcPr>
          <w:p>
            <w:pPr>
              <w:spacing w:line="360" w:lineRule="exact"/>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w:t>
            </w:r>
          </w:p>
        </w:tc>
        <w:tc>
          <w:tcPr>
            <w:tcW w:w="1266" w:type="pct"/>
            <w:vMerge w:val="restar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臭氧O</w:t>
            </w:r>
            <w:r>
              <w:rPr>
                <w:rFonts w:hint="default" w:ascii="Times New Roman" w:hAnsi="Times New Roman" w:cs="Times New Roman"/>
                <w:caps w:val="0"/>
                <w:smallCaps w:val="0"/>
                <w:color w:val="auto"/>
                <w:spacing w:val="0"/>
                <w:w w:val="100"/>
                <w:highlight w:val="none"/>
                <w:vertAlign w:val="subscript"/>
              </w:rPr>
              <w:t>3</w:t>
            </w:r>
          </w:p>
        </w:tc>
        <w:tc>
          <w:tcPr>
            <w:tcW w:w="1217"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日最大8小时平均</w:t>
            </w:r>
          </w:p>
        </w:tc>
        <w:tc>
          <w:tcPr>
            <w:tcW w:w="1719"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160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1" w:hRule="atLeast"/>
        </w:trPr>
        <w:tc>
          <w:tcPr>
            <w:tcW w:w="796" w:type="pct"/>
            <w:vMerge w:val="continue"/>
          </w:tcPr>
          <w:p>
            <w:pPr>
              <w:spacing w:line="360" w:lineRule="exact"/>
              <w:ind w:firstLine="0" w:firstLineChars="0"/>
              <w:jc w:val="center"/>
              <w:rPr>
                <w:rFonts w:hint="eastAsia" w:cs="Times New Roman"/>
                <w:color w:val="auto"/>
                <w:kern w:val="0"/>
                <w:sz w:val="21"/>
                <w:szCs w:val="21"/>
                <w:highlight w:val="none"/>
                <w:lang w:val="en-US" w:eastAsia="zh-CN"/>
              </w:rPr>
            </w:pPr>
          </w:p>
        </w:tc>
        <w:tc>
          <w:tcPr>
            <w:tcW w:w="1266" w:type="pct"/>
            <w:vMerge w:val="continue"/>
          </w:tcPr>
          <w:p>
            <w:pPr>
              <w:spacing w:line="360" w:lineRule="exact"/>
              <w:ind w:firstLine="0" w:firstLineChars="0"/>
              <w:jc w:val="center"/>
              <w:rPr>
                <w:rFonts w:hint="eastAsia" w:cs="Times New Roman"/>
                <w:color w:val="auto"/>
                <w:kern w:val="0"/>
                <w:sz w:val="21"/>
                <w:szCs w:val="21"/>
                <w:highlight w:val="none"/>
                <w:lang w:val="en-US" w:eastAsia="zh-CN"/>
              </w:rPr>
            </w:pPr>
          </w:p>
        </w:tc>
        <w:tc>
          <w:tcPr>
            <w:tcW w:w="1217" w:type="pct"/>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1小时平均</w:t>
            </w:r>
          </w:p>
        </w:tc>
        <w:tc>
          <w:tcPr>
            <w:tcW w:w="1719" w:type="pct"/>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color w:val="auto"/>
                <w:spacing w:val="0"/>
                <w:w w:val="100"/>
                <w:kern w:val="0"/>
                <w:sz w:val="21"/>
                <w:szCs w:val="21"/>
                <w:highlight w:val="none"/>
                <w:lang w:val="en-US" w:eastAsia="zh-CN" w:bidi="ar-SA"/>
              </w:rPr>
            </w:pPr>
            <w:r>
              <w:rPr>
                <w:rFonts w:hint="default" w:ascii="Times New Roman" w:hAnsi="Times New Roman" w:cs="Times New Roman"/>
                <w:caps w:val="0"/>
                <w:smallCaps w:val="0"/>
                <w:color w:val="auto"/>
                <w:spacing w:val="0"/>
                <w:w w:val="100"/>
                <w:highlight w:val="none"/>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tcPr>
          <w:p>
            <w:pPr>
              <w:spacing w:line="360" w:lineRule="exact"/>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w:t>
            </w:r>
          </w:p>
        </w:tc>
        <w:tc>
          <w:tcPr>
            <w:tcW w:w="1266" w:type="pct"/>
          </w:tcPr>
          <w:p>
            <w:pPr>
              <w:pStyle w:val="20"/>
              <w:pageBreakBefore w:val="0"/>
              <w:bidi w:val="0"/>
              <w:spacing w:line="360" w:lineRule="auto"/>
              <w:ind w:firstLine="0" w:firstLineChars="0"/>
              <w:rPr>
                <w:rFonts w:hint="eastAsia" w:ascii="Times New Roman" w:hAnsi="Times New Roman" w:cs="Times New Roman"/>
                <w:caps w:val="0"/>
                <w:smallCaps w:val="0"/>
                <w:color w:val="auto"/>
                <w:spacing w:val="0"/>
                <w:w w:val="100"/>
                <w:highlight w:val="none"/>
                <w:lang w:val="en-US" w:eastAsia="zh-CN"/>
              </w:rPr>
            </w:pPr>
            <w:r>
              <w:rPr>
                <w:rFonts w:hint="eastAsia" w:ascii="Times New Roman" w:hAnsi="Times New Roman" w:cs="Times New Roman"/>
                <w:caps w:val="0"/>
                <w:smallCaps w:val="0"/>
                <w:color w:val="auto"/>
                <w:spacing w:val="0"/>
                <w:w w:val="100"/>
                <w:highlight w:val="none"/>
                <w:lang w:val="en-US" w:eastAsia="zh-CN"/>
              </w:rPr>
              <w:t>氨</w:t>
            </w:r>
          </w:p>
        </w:tc>
        <w:tc>
          <w:tcPr>
            <w:tcW w:w="1217" w:type="pct"/>
            <w:vAlign w:val="center"/>
          </w:tcPr>
          <w:p>
            <w:pPr>
              <w:pStyle w:val="20"/>
              <w:pageBreakBefore w:val="0"/>
              <w:bidi w:val="0"/>
              <w:spacing w:line="360" w:lineRule="auto"/>
              <w:ind w:firstLine="0" w:firstLineChars="0"/>
              <w:rPr>
                <w:rFonts w:hint="default" w:ascii="Times New Roman" w:hAnsi="Times New Roman" w:cs="Times New Roman"/>
                <w:caps w:val="0"/>
                <w:smallCaps w:val="0"/>
                <w:color w:val="auto"/>
                <w:spacing w:val="0"/>
                <w:w w:val="100"/>
                <w:highlight w:val="none"/>
              </w:rPr>
            </w:pPr>
            <w:r>
              <w:rPr>
                <w:rFonts w:hint="default" w:ascii="Times New Roman" w:hAnsi="Times New Roman" w:cs="Times New Roman"/>
                <w:caps w:val="0"/>
                <w:smallCaps w:val="0"/>
                <w:color w:val="auto"/>
                <w:spacing w:val="0"/>
                <w:w w:val="100"/>
                <w:highlight w:val="none"/>
              </w:rPr>
              <w:t>1小时平均</w:t>
            </w:r>
          </w:p>
        </w:tc>
        <w:tc>
          <w:tcPr>
            <w:tcW w:w="1719" w:type="pct"/>
            <w:vAlign w:val="center"/>
          </w:tcPr>
          <w:p>
            <w:pPr>
              <w:pStyle w:val="20"/>
              <w:pageBreakBefore w:val="0"/>
              <w:bidi w:val="0"/>
              <w:spacing w:line="360" w:lineRule="auto"/>
              <w:ind w:firstLine="0" w:firstLineChars="0"/>
              <w:rPr>
                <w:rFonts w:hint="default" w:ascii="Times New Roman" w:hAnsi="Times New Roman" w:eastAsia="宋体" w:cs="Times New Roman"/>
                <w:caps w:val="0"/>
                <w:smallCaps w:val="0"/>
                <w:color w:val="auto"/>
                <w:spacing w:val="0"/>
                <w:w w:val="100"/>
                <w:highlight w:val="none"/>
                <w:lang w:val="en-US" w:eastAsia="zh-CN"/>
              </w:rPr>
            </w:pPr>
            <w:r>
              <w:rPr>
                <w:rFonts w:hint="eastAsia" w:cs="Times New Roman"/>
                <w:caps w:val="0"/>
                <w:smallCaps w:val="0"/>
                <w:color w:val="auto"/>
                <w:spacing w:val="0"/>
                <w:w w:val="100"/>
                <w:highlight w:val="none"/>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tcPr>
          <w:p>
            <w:pPr>
              <w:spacing w:line="360" w:lineRule="exact"/>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9</w:t>
            </w:r>
          </w:p>
        </w:tc>
        <w:tc>
          <w:tcPr>
            <w:tcW w:w="1266" w:type="pct"/>
          </w:tcPr>
          <w:p>
            <w:pPr>
              <w:pStyle w:val="20"/>
              <w:pageBreakBefore w:val="0"/>
              <w:bidi w:val="0"/>
              <w:spacing w:line="360" w:lineRule="auto"/>
              <w:ind w:firstLine="0" w:firstLineChars="0"/>
              <w:rPr>
                <w:rFonts w:hint="eastAsia" w:ascii="Times New Roman" w:hAnsi="Times New Roman" w:cs="Times New Roman"/>
                <w:caps w:val="0"/>
                <w:smallCaps w:val="0"/>
                <w:color w:val="auto"/>
                <w:spacing w:val="0"/>
                <w:w w:val="100"/>
                <w:highlight w:val="none"/>
                <w:lang w:val="en-US" w:eastAsia="zh-CN"/>
              </w:rPr>
            </w:pPr>
            <w:r>
              <w:rPr>
                <w:rFonts w:hint="eastAsia" w:ascii="Times New Roman" w:hAnsi="Times New Roman" w:cs="Times New Roman"/>
                <w:caps w:val="0"/>
                <w:smallCaps w:val="0"/>
                <w:color w:val="auto"/>
                <w:spacing w:val="0"/>
                <w:w w:val="100"/>
                <w:highlight w:val="none"/>
                <w:lang w:val="en-US" w:eastAsia="zh-CN"/>
              </w:rPr>
              <w:t>硫化氢</w:t>
            </w:r>
          </w:p>
        </w:tc>
        <w:tc>
          <w:tcPr>
            <w:tcW w:w="1217" w:type="pct"/>
            <w:vAlign w:val="center"/>
          </w:tcPr>
          <w:p>
            <w:pPr>
              <w:pStyle w:val="20"/>
              <w:pageBreakBefore w:val="0"/>
              <w:bidi w:val="0"/>
              <w:spacing w:line="360" w:lineRule="auto"/>
              <w:ind w:firstLine="0" w:firstLineChars="0"/>
              <w:rPr>
                <w:rFonts w:hint="default" w:ascii="Times New Roman" w:hAnsi="Times New Roman" w:cs="Times New Roman"/>
                <w:caps w:val="0"/>
                <w:smallCaps w:val="0"/>
                <w:color w:val="auto"/>
                <w:spacing w:val="0"/>
                <w:w w:val="100"/>
                <w:highlight w:val="none"/>
              </w:rPr>
            </w:pPr>
            <w:r>
              <w:rPr>
                <w:rFonts w:hint="default" w:ascii="Times New Roman" w:hAnsi="Times New Roman" w:cs="Times New Roman"/>
                <w:caps w:val="0"/>
                <w:smallCaps w:val="0"/>
                <w:color w:val="auto"/>
                <w:spacing w:val="0"/>
                <w:w w:val="100"/>
                <w:highlight w:val="none"/>
              </w:rPr>
              <w:t>1小时平均</w:t>
            </w:r>
          </w:p>
        </w:tc>
        <w:tc>
          <w:tcPr>
            <w:tcW w:w="1719" w:type="pct"/>
            <w:vAlign w:val="center"/>
          </w:tcPr>
          <w:p>
            <w:pPr>
              <w:pStyle w:val="20"/>
              <w:pageBreakBefore w:val="0"/>
              <w:bidi w:val="0"/>
              <w:spacing w:line="360" w:lineRule="auto"/>
              <w:ind w:firstLine="0" w:firstLineChars="0"/>
              <w:rPr>
                <w:rFonts w:hint="default" w:ascii="Times New Roman" w:hAnsi="Times New Roman" w:eastAsia="宋体" w:cs="Times New Roman"/>
                <w:caps w:val="0"/>
                <w:smallCaps w:val="0"/>
                <w:color w:val="auto"/>
                <w:spacing w:val="0"/>
                <w:w w:val="100"/>
                <w:highlight w:val="none"/>
                <w:lang w:val="en-US" w:eastAsia="zh-CN"/>
              </w:rPr>
            </w:pPr>
            <w:r>
              <w:rPr>
                <w:rFonts w:hint="eastAsia" w:cs="Times New Roman"/>
                <w:caps w:val="0"/>
                <w:smallCaps w:val="0"/>
                <w:color w:val="auto"/>
                <w:spacing w:val="0"/>
                <w:w w:val="100"/>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96" w:type="pct"/>
          </w:tcPr>
          <w:p>
            <w:pPr>
              <w:spacing w:line="360" w:lineRule="exact"/>
              <w:ind w:firstLine="0" w:firstLineChars="0"/>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9</w:t>
            </w:r>
          </w:p>
        </w:tc>
        <w:tc>
          <w:tcPr>
            <w:tcW w:w="1266" w:type="pct"/>
          </w:tcPr>
          <w:p>
            <w:pPr>
              <w:pStyle w:val="20"/>
              <w:pageBreakBefore w:val="0"/>
              <w:bidi w:val="0"/>
              <w:spacing w:line="360" w:lineRule="auto"/>
              <w:ind w:firstLine="0" w:firstLineChars="0"/>
              <w:rPr>
                <w:rFonts w:hint="eastAsia" w:ascii="Times New Roman" w:hAnsi="Times New Roman" w:cs="Times New Roman"/>
                <w:caps w:val="0"/>
                <w:smallCaps w:val="0"/>
                <w:color w:val="auto"/>
                <w:spacing w:val="0"/>
                <w:w w:val="100"/>
                <w:highlight w:val="none"/>
                <w:lang w:val="en-US" w:eastAsia="zh-CN"/>
              </w:rPr>
            </w:pPr>
            <w:r>
              <w:rPr>
                <w:rFonts w:hint="eastAsia" w:ascii="Times New Roman" w:hAnsi="Times New Roman" w:cs="Times New Roman"/>
                <w:caps w:val="0"/>
                <w:smallCaps w:val="0"/>
                <w:color w:val="auto"/>
                <w:spacing w:val="0"/>
                <w:w w:val="100"/>
                <w:highlight w:val="none"/>
                <w:lang w:val="en-US" w:eastAsia="zh-CN"/>
              </w:rPr>
              <w:t>非甲烷总烃</w:t>
            </w:r>
          </w:p>
        </w:tc>
        <w:tc>
          <w:tcPr>
            <w:tcW w:w="1217" w:type="pct"/>
            <w:vAlign w:val="center"/>
          </w:tcPr>
          <w:p>
            <w:pPr>
              <w:pStyle w:val="20"/>
              <w:pageBreakBefore w:val="0"/>
              <w:bidi w:val="0"/>
              <w:spacing w:line="360" w:lineRule="auto"/>
              <w:ind w:firstLine="0" w:firstLineChars="0"/>
              <w:rPr>
                <w:rFonts w:hint="default" w:ascii="Times New Roman" w:hAnsi="Times New Roman" w:cs="Times New Roman"/>
                <w:caps w:val="0"/>
                <w:smallCaps w:val="0"/>
                <w:color w:val="auto"/>
                <w:spacing w:val="0"/>
                <w:w w:val="100"/>
                <w:highlight w:val="none"/>
              </w:rPr>
            </w:pPr>
            <w:r>
              <w:rPr>
                <w:rFonts w:hint="default" w:ascii="Times New Roman" w:hAnsi="Times New Roman" w:cs="Times New Roman"/>
                <w:caps w:val="0"/>
                <w:smallCaps w:val="0"/>
                <w:color w:val="auto"/>
                <w:spacing w:val="0"/>
                <w:w w:val="100"/>
                <w:highlight w:val="none"/>
              </w:rPr>
              <w:t>1小时平均</w:t>
            </w:r>
          </w:p>
        </w:tc>
        <w:tc>
          <w:tcPr>
            <w:tcW w:w="1719" w:type="pct"/>
            <w:vAlign w:val="center"/>
          </w:tcPr>
          <w:p>
            <w:pPr>
              <w:pStyle w:val="20"/>
              <w:pageBreakBefore w:val="0"/>
              <w:bidi w:val="0"/>
              <w:spacing w:line="360" w:lineRule="auto"/>
              <w:ind w:firstLine="0" w:firstLineChars="0"/>
              <w:rPr>
                <w:rFonts w:hint="default" w:ascii="Times New Roman" w:hAnsi="Times New Roman" w:eastAsia="宋体" w:cs="Times New Roman"/>
                <w:caps w:val="0"/>
                <w:smallCaps w:val="0"/>
                <w:color w:val="auto"/>
                <w:spacing w:val="0"/>
                <w:w w:val="100"/>
                <w:highlight w:val="none"/>
                <w:lang w:val="en-US" w:eastAsia="zh-CN"/>
              </w:rPr>
            </w:pPr>
            <w:r>
              <w:rPr>
                <w:rFonts w:hint="eastAsia" w:cs="Times New Roman"/>
                <w:caps w:val="0"/>
                <w:smallCaps w:val="0"/>
                <w:color w:val="auto"/>
                <w:spacing w:val="0"/>
                <w:w w:val="100"/>
                <w:highlight w:val="none"/>
                <w:lang w:val="en-US" w:eastAsia="zh-CN"/>
              </w:rPr>
              <w:t>2000</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（2）地下水</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项目地下水执行《地下水质量标准》（GB/T14848-2017）III类，石油类参照《地表水环境质量标准》（GB3838-2002）III类标准。</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表2.</w:t>
      </w: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3</w:t>
      </w:r>
      <w:r>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w:t>
      </w: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2</w:t>
      </w:r>
      <w:r>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地下水质量标准</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14"/>
        <w:gridCol w:w="3044"/>
        <w:gridCol w:w="2129"/>
        <w:gridCol w:w="21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序号</w:t>
            </w:r>
          </w:p>
        </w:tc>
        <w:tc>
          <w:tcPr>
            <w:tcW w:w="304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监测项目</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单位</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w:t>
            </w:r>
          </w:p>
        </w:tc>
        <w:tc>
          <w:tcPr>
            <w:tcW w:w="304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钠</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氯化物</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硫酸盐</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4</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pH</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无量纲</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6-</w:t>
            </w:r>
            <w:r>
              <w:rPr>
                <w:rFonts w:hint="eastAsia" w:ascii="Times New Roman" w:hAnsi="Times New Roman" w:cs="Times New Roman"/>
                <w:color w:val="auto"/>
                <w:sz w:val="21"/>
                <w:szCs w:val="21"/>
                <w:highlight w:val="none"/>
                <w:vertAlign w:val="baseline"/>
                <w:lang w:val="en-US" w:eastAsia="zh-CN"/>
              </w:rPr>
              <w:t>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5</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总硬度</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≤450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6</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氨氮</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7</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氰化物</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8</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挥发酚</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9</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耗氧量</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10</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氟化物</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11</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砷</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12</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汞</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13</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镉</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14</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铅</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15</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六价铬</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16</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铁</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17</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锰</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18</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硝酸盐</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19</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亚硝酸盐</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20</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溶解性总固体</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21</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总大肠菌群</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MPN/100mL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22</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菌落总数</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CFU/mL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23</w:t>
            </w:r>
          </w:p>
        </w:tc>
        <w:tc>
          <w:tcPr>
            <w:tcW w:w="304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石油类</w:t>
            </w:r>
          </w:p>
        </w:tc>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≤0.05</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（3）声环境</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发展村、鸭木蛋格屯、古龙镇附近区域执行《声环境质量标准》（GB3096-2008）2类功能区标准；其余村屯区域声环境现状满足《声环境质量标准》（GB3096-2008）1类功能区限值要求。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表2.</w:t>
      </w: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3</w:t>
      </w:r>
      <w:r>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w:t>
      </w: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3</w:t>
      </w:r>
      <w:r>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声环境质量标准</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838"/>
        <w:gridCol w:w="2839"/>
        <w:gridCol w:w="28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38"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类别</w:t>
            </w:r>
          </w:p>
        </w:tc>
        <w:tc>
          <w:tcPr>
            <w:tcW w:w="283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昼间dB(A)</w:t>
            </w:r>
          </w:p>
        </w:tc>
        <w:tc>
          <w:tcPr>
            <w:tcW w:w="283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夜间dB(A)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38"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1类</w:t>
            </w:r>
          </w:p>
        </w:tc>
        <w:tc>
          <w:tcPr>
            <w:tcW w:w="283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55</w:t>
            </w:r>
          </w:p>
        </w:tc>
        <w:tc>
          <w:tcPr>
            <w:tcW w:w="283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38"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2类</w:t>
            </w:r>
          </w:p>
        </w:tc>
        <w:tc>
          <w:tcPr>
            <w:tcW w:w="283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60</w:t>
            </w:r>
          </w:p>
        </w:tc>
        <w:tc>
          <w:tcPr>
            <w:tcW w:w="283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50</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）土壤环境</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zh-CN"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废水处理服务站站址内永久占地土壤执行《土壤环境质量 建设用地土壤污染风险管控标准（试行）》（GB36600-2018）第二类用地筛选标准；</w:t>
      </w:r>
      <w:r>
        <w:rPr>
          <w:rFonts w:hint="eastAsia" w:cs="Times New Roman"/>
          <w:caps w:val="0"/>
          <w:smallCaps w:val="0"/>
          <w:color w:val="auto"/>
          <w:spacing w:val="0"/>
          <w:w w:val="100"/>
          <w:kern w:val="0"/>
          <w:sz w:val="24"/>
          <w:szCs w:val="24"/>
          <w:highlight w:val="none"/>
          <w:lang w:val="en-US" w:eastAsia="zh-CN"/>
        </w:rPr>
        <w:t>占地外农用地</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执行《土壤环境质量 农用地土壤污染风险管控标准（试行）》（GB15618-2018）表1农用地土壤污染风险筛选值。</w:t>
      </w:r>
      <w:r>
        <w:rPr>
          <w:rFonts w:hint="default" w:ascii="Times New Roman" w:hAnsi="Times New Roman" w:eastAsia="宋体" w:cs="Times New Roman"/>
          <w:caps w:val="0"/>
          <w:smallCaps w:val="0"/>
          <w:snapToGrid/>
          <w:color w:val="auto"/>
          <w:spacing w:val="0"/>
          <w:w w:val="100"/>
          <w:kern w:val="0"/>
          <w:sz w:val="24"/>
          <w:szCs w:val="24"/>
          <w:highlight w:val="none"/>
          <w:lang w:val="zh-CN" w:eastAsia="zh-CN" w:bidi="ar-SA"/>
        </w:rPr>
        <w:t>具体见表2.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zh-CN"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w:t>
      </w:r>
      <w:r>
        <w:rPr>
          <w:rFonts w:hint="default" w:ascii="Times New Roman" w:hAnsi="Times New Roman" w:eastAsia="宋体" w:cs="Times New Roman"/>
          <w:caps w:val="0"/>
          <w:smallCaps w:val="0"/>
          <w:snapToGrid/>
          <w:color w:val="auto"/>
          <w:spacing w:val="0"/>
          <w:w w:val="100"/>
          <w:kern w:val="0"/>
          <w:sz w:val="24"/>
          <w:szCs w:val="24"/>
          <w:highlight w:val="none"/>
          <w:lang w:val="zh-CN" w:eastAsia="zh-CN" w:bidi="ar-SA"/>
        </w:rPr>
        <w:t>和</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表2.</w:t>
      </w: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3</w:t>
      </w:r>
      <w:r>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w:t>
      </w: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4</w:t>
      </w:r>
      <w:r>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建设用地第二类用地土壤污染风险管控标准  单位：mg/kg</w:t>
      </w:r>
    </w:p>
    <w:tbl>
      <w:tblPr>
        <w:tblStyle w:val="15"/>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99"/>
        <w:gridCol w:w="2041"/>
        <w:gridCol w:w="1083"/>
        <w:gridCol w:w="780"/>
        <w:gridCol w:w="2487"/>
        <w:gridCol w:w="132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序号</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污染物项目</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筛选值</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序号</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污染物项目</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筛选值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砷</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60</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24</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1,2,3-三氯丙烷</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镉</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65</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25</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氯乙烯</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0.43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铬（六价）</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5.7</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26</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苯</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4</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铜</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18000</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27</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氯苯</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5</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铅</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800</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28</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1,2-二氯苯</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560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6</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汞</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38</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29</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1,4-二氯苯</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7</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镍</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900</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30</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乙苯</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8</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四氯化碳</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2.8</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31</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苯乙烯</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1290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9</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氯仿</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0.9</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32</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甲苯</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10</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氯甲烷</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37</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33</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间二甲苯+对二甲苯</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570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11</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1,1-二氯乙烷</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9</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34</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邻二甲苯</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640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12</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1,2-二氯乙烷</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5</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35</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硝基苯</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76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13</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1,1-二氯乙烯</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66</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36</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苯胺</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14</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顺-1,2-二氯乙烯</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596</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37</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2-氯酚</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2256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15</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反-1,2-二氯乙烯</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54</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38</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苯并[a]蒽</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16</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二氯甲烷</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616</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39</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苯并[a]芘</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17</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1,2-二氯丙烷</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5</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40</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苯并[b]</w:t>
            </w:r>
            <w:bookmarkStart w:id="20" w:name="OLE_LINK1"/>
            <w:r>
              <w:rPr>
                <w:rFonts w:hint="default" w:ascii="Times New Roman" w:hAnsi="Times New Roman" w:cs="Times New Roman"/>
                <w:color w:val="auto"/>
                <w:sz w:val="21"/>
                <w:szCs w:val="21"/>
                <w:highlight w:val="none"/>
                <w:vertAlign w:val="baseline"/>
                <w:lang w:val="zh-CN" w:eastAsia="zh-CN"/>
              </w:rPr>
              <w:t>荧蒽</w:t>
            </w:r>
            <w:bookmarkEnd w:id="20"/>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18</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1,1,1,2-四氯乙烷</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10</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41</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苯并[k]荧蒽</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19</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1,1,2,2-四氯乙烷</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6.8</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42</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䓛</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1293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20</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四氯乙烯</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53</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43</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二苯并[a,h]蒽</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21</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1,1,1-三氯乙烷</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840</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44</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茚并[1,2,3-cd]芘</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22</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1,1,2-三氯乙烷</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2.8</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45</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萘</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4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23</w:t>
            </w:r>
          </w:p>
        </w:tc>
        <w:tc>
          <w:tcPr>
            <w:tcW w:w="11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三氯乙烯</w:t>
            </w:r>
          </w:p>
        </w:tc>
        <w:tc>
          <w:tcPr>
            <w:tcW w:w="63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2.8</w:t>
            </w:r>
          </w:p>
        </w:tc>
        <w:tc>
          <w:tcPr>
            <w:tcW w:w="45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46</w:t>
            </w:r>
          </w:p>
        </w:tc>
        <w:tc>
          <w:tcPr>
            <w:tcW w:w="14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石油烃（C</w:t>
            </w:r>
            <w:r>
              <w:rPr>
                <w:rFonts w:hint="default" w:ascii="Times New Roman" w:hAnsi="Times New Roman" w:cs="Times New Roman"/>
                <w:color w:val="auto"/>
                <w:sz w:val="21"/>
                <w:szCs w:val="21"/>
                <w:highlight w:val="none"/>
                <w:vertAlign w:val="subscript"/>
                <w:lang w:val="zh-CN" w:eastAsia="zh-CN"/>
              </w:rPr>
              <w:t>10</w:t>
            </w:r>
            <w:r>
              <w:rPr>
                <w:rFonts w:hint="default" w:ascii="Times New Roman" w:hAnsi="Times New Roman" w:cs="Times New Roman"/>
                <w:color w:val="auto"/>
                <w:sz w:val="21"/>
                <w:szCs w:val="21"/>
                <w:highlight w:val="none"/>
                <w:vertAlign w:val="baseline"/>
                <w:lang w:val="zh-CN" w:eastAsia="zh-CN"/>
              </w:rPr>
              <w:t>-C</w:t>
            </w:r>
            <w:r>
              <w:rPr>
                <w:rFonts w:hint="default" w:ascii="Times New Roman" w:hAnsi="Times New Roman" w:cs="Times New Roman"/>
                <w:color w:val="auto"/>
                <w:sz w:val="21"/>
                <w:szCs w:val="21"/>
                <w:highlight w:val="none"/>
                <w:vertAlign w:val="subscript"/>
                <w:lang w:val="zh-CN" w:eastAsia="zh-CN"/>
              </w:rPr>
              <w:t>40</w:t>
            </w:r>
            <w:r>
              <w:rPr>
                <w:rFonts w:hint="default" w:ascii="Times New Roman" w:hAnsi="Times New Roman" w:cs="Times New Roman"/>
                <w:color w:val="auto"/>
                <w:sz w:val="21"/>
                <w:szCs w:val="21"/>
                <w:highlight w:val="none"/>
                <w:vertAlign w:val="baseline"/>
                <w:lang w:val="zh-CN" w:eastAsia="zh-CN"/>
              </w:rPr>
              <w:t>）</w:t>
            </w:r>
          </w:p>
        </w:tc>
        <w:tc>
          <w:tcPr>
            <w:tcW w:w="77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4500</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表2.</w:t>
      </w: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3</w:t>
      </w:r>
      <w:r>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w:t>
      </w: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5</w:t>
      </w:r>
      <w:r>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农用地土壤污染风险管控标准 单位：mg/kg</w:t>
      </w:r>
    </w:p>
    <w:tbl>
      <w:tblPr>
        <w:tblStyle w:val="15"/>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38"/>
        <w:gridCol w:w="1209"/>
        <w:gridCol w:w="1434"/>
        <w:gridCol w:w="1712"/>
        <w:gridCol w:w="1899"/>
        <w:gridCol w:w="142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1202" w:type="pct"/>
            <w:gridSpan w:val="2"/>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污染物项目</w:t>
            </w:r>
          </w:p>
        </w:tc>
        <w:tc>
          <w:tcPr>
            <w:tcW w:w="3797" w:type="pct"/>
            <w:gridSpan w:val="4"/>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风险筛选值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1202" w:type="pct"/>
            <w:gridSpan w:val="2"/>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pH≤5.5</w:t>
            </w:r>
          </w:p>
        </w:tc>
        <w:tc>
          <w:tcPr>
            <w:tcW w:w="10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5.5＜pH≤6.5</w:t>
            </w:r>
          </w:p>
        </w:tc>
        <w:tc>
          <w:tcPr>
            <w:tcW w:w="11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6.5＜pH≤7.5</w:t>
            </w:r>
          </w:p>
        </w:tc>
        <w:tc>
          <w:tcPr>
            <w:tcW w:w="8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pH＞7.5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blHeader/>
          <w:jc w:val="center"/>
        </w:trPr>
        <w:tc>
          <w:tcPr>
            <w:tcW w:w="49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镉</w:t>
            </w:r>
          </w:p>
        </w:tc>
        <w:tc>
          <w:tcPr>
            <w:tcW w:w="71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水田</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0.3</w:t>
            </w:r>
          </w:p>
        </w:tc>
        <w:tc>
          <w:tcPr>
            <w:tcW w:w="10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0.4</w:t>
            </w:r>
          </w:p>
        </w:tc>
        <w:tc>
          <w:tcPr>
            <w:tcW w:w="11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0.6</w:t>
            </w:r>
          </w:p>
        </w:tc>
        <w:tc>
          <w:tcPr>
            <w:tcW w:w="8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4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p>
        </w:tc>
        <w:tc>
          <w:tcPr>
            <w:tcW w:w="71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其他</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0.3</w:t>
            </w:r>
          </w:p>
        </w:tc>
        <w:tc>
          <w:tcPr>
            <w:tcW w:w="10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0.3</w:t>
            </w:r>
          </w:p>
        </w:tc>
        <w:tc>
          <w:tcPr>
            <w:tcW w:w="11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0.3</w:t>
            </w:r>
          </w:p>
        </w:tc>
        <w:tc>
          <w:tcPr>
            <w:tcW w:w="8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49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汞</w:t>
            </w:r>
          </w:p>
        </w:tc>
        <w:tc>
          <w:tcPr>
            <w:tcW w:w="71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水田</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0.5</w:t>
            </w:r>
          </w:p>
        </w:tc>
        <w:tc>
          <w:tcPr>
            <w:tcW w:w="10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0.5</w:t>
            </w:r>
          </w:p>
        </w:tc>
        <w:tc>
          <w:tcPr>
            <w:tcW w:w="11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0.6</w:t>
            </w:r>
          </w:p>
        </w:tc>
        <w:tc>
          <w:tcPr>
            <w:tcW w:w="8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4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p>
        </w:tc>
        <w:tc>
          <w:tcPr>
            <w:tcW w:w="71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其他</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1.3</w:t>
            </w:r>
          </w:p>
        </w:tc>
        <w:tc>
          <w:tcPr>
            <w:tcW w:w="10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1.8</w:t>
            </w:r>
          </w:p>
        </w:tc>
        <w:tc>
          <w:tcPr>
            <w:tcW w:w="11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2.4</w:t>
            </w:r>
          </w:p>
        </w:tc>
        <w:tc>
          <w:tcPr>
            <w:tcW w:w="8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49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砷</w:t>
            </w:r>
          </w:p>
        </w:tc>
        <w:tc>
          <w:tcPr>
            <w:tcW w:w="71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水田</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30</w:t>
            </w:r>
          </w:p>
        </w:tc>
        <w:tc>
          <w:tcPr>
            <w:tcW w:w="10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30</w:t>
            </w:r>
          </w:p>
        </w:tc>
        <w:tc>
          <w:tcPr>
            <w:tcW w:w="11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25</w:t>
            </w:r>
          </w:p>
        </w:tc>
        <w:tc>
          <w:tcPr>
            <w:tcW w:w="8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4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p>
        </w:tc>
        <w:tc>
          <w:tcPr>
            <w:tcW w:w="71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其他</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40</w:t>
            </w:r>
          </w:p>
        </w:tc>
        <w:tc>
          <w:tcPr>
            <w:tcW w:w="10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40</w:t>
            </w:r>
          </w:p>
        </w:tc>
        <w:tc>
          <w:tcPr>
            <w:tcW w:w="11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30</w:t>
            </w:r>
          </w:p>
        </w:tc>
        <w:tc>
          <w:tcPr>
            <w:tcW w:w="8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49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铅</w:t>
            </w:r>
          </w:p>
        </w:tc>
        <w:tc>
          <w:tcPr>
            <w:tcW w:w="71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水田</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80</w:t>
            </w:r>
          </w:p>
        </w:tc>
        <w:tc>
          <w:tcPr>
            <w:tcW w:w="10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100</w:t>
            </w:r>
          </w:p>
        </w:tc>
        <w:tc>
          <w:tcPr>
            <w:tcW w:w="11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140</w:t>
            </w:r>
          </w:p>
        </w:tc>
        <w:tc>
          <w:tcPr>
            <w:tcW w:w="8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4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p>
        </w:tc>
        <w:tc>
          <w:tcPr>
            <w:tcW w:w="71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其他</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70</w:t>
            </w:r>
          </w:p>
        </w:tc>
        <w:tc>
          <w:tcPr>
            <w:tcW w:w="10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90</w:t>
            </w:r>
          </w:p>
        </w:tc>
        <w:tc>
          <w:tcPr>
            <w:tcW w:w="11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120</w:t>
            </w:r>
          </w:p>
        </w:tc>
        <w:tc>
          <w:tcPr>
            <w:tcW w:w="8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49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铬</w:t>
            </w:r>
          </w:p>
        </w:tc>
        <w:tc>
          <w:tcPr>
            <w:tcW w:w="71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水田</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250</w:t>
            </w:r>
          </w:p>
        </w:tc>
        <w:tc>
          <w:tcPr>
            <w:tcW w:w="10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250</w:t>
            </w:r>
          </w:p>
        </w:tc>
        <w:tc>
          <w:tcPr>
            <w:tcW w:w="11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300</w:t>
            </w:r>
          </w:p>
        </w:tc>
        <w:tc>
          <w:tcPr>
            <w:tcW w:w="8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49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p>
        </w:tc>
        <w:tc>
          <w:tcPr>
            <w:tcW w:w="71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其他</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150</w:t>
            </w:r>
          </w:p>
        </w:tc>
        <w:tc>
          <w:tcPr>
            <w:tcW w:w="10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150</w:t>
            </w:r>
          </w:p>
        </w:tc>
        <w:tc>
          <w:tcPr>
            <w:tcW w:w="11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200</w:t>
            </w:r>
          </w:p>
        </w:tc>
        <w:tc>
          <w:tcPr>
            <w:tcW w:w="8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49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铜</w:t>
            </w:r>
          </w:p>
        </w:tc>
        <w:tc>
          <w:tcPr>
            <w:tcW w:w="71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其他</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50</w:t>
            </w:r>
          </w:p>
        </w:tc>
        <w:tc>
          <w:tcPr>
            <w:tcW w:w="10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50</w:t>
            </w:r>
          </w:p>
        </w:tc>
        <w:tc>
          <w:tcPr>
            <w:tcW w:w="11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100</w:t>
            </w:r>
          </w:p>
        </w:tc>
        <w:tc>
          <w:tcPr>
            <w:tcW w:w="8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1202"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镍</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60</w:t>
            </w:r>
          </w:p>
        </w:tc>
        <w:tc>
          <w:tcPr>
            <w:tcW w:w="10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70</w:t>
            </w:r>
          </w:p>
        </w:tc>
        <w:tc>
          <w:tcPr>
            <w:tcW w:w="11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100</w:t>
            </w:r>
          </w:p>
        </w:tc>
        <w:tc>
          <w:tcPr>
            <w:tcW w:w="8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190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blHeader/>
          <w:jc w:val="center"/>
        </w:trPr>
        <w:tc>
          <w:tcPr>
            <w:tcW w:w="1202"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锌</w:t>
            </w:r>
          </w:p>
        </w:tc>
        <w:tc>
          <w:tcPr>
            <w:tcW w:w="8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200</w:t>
            </w:r>
          </w:p>
        </w:tc>
        <w:tc>
          <w:tcPr>
            <w:tcW w:w="10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200</w:t>
            </w:r>
          </w:p>
        </w:tc>
        <w:tc>
          <w:tcPr>
            <w:tcW w:w="11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250</w:t>
            </w:r>
          </w:p>
        </w:tc>
        <w:tc>
          <w:tcPr>
            <w:tcW w:w="83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zh-CN" w:eastAsia="zh-CN"/>
              </w:rPr>
            </w:pPr>
            <w:r>
              <w:rPr>
                <w:rFonts w:hint="default" w:ascii="Times New Roman" w:hAnsi="Times New Roman" w:cs="Times New Roman"/>
                <w:color w:val="auto"/>
                <w:sz w:val="21"/>
                <w:szCs w:val="21"/>
                <w:highlight w:val="none"/>
                <w:vertAlign w:val="baseline"/>
                <w:lang w:val="zh-CN" w:eastAsia="zh-CN"/>
              </w:rPr>
              <w:t>300</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2.3.3污染物排放标准</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（1）废气污染物排放标准</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①本项目施工期颗粒物执行《大气污染物综合排放标准》（GB16297-1996）中表2无组织排放监控浓度限值要求。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②运行期，废水处理过程中</w:t>
      </w:r>
      <w:r>
        <w:rPr>
          <w:rFonts w:hint="eastAsia" w:cs="Times New Roman"/>
          <w:caps w:val="0"/>
          <w:smallCaps w:val="0"/>
          <w:snapToGrid/>
          <w:color w:val="auto"/>
          <w:spacing w:val="0"/>
          <w:w w:val="100"/>
          <w:kern w:val="0"/>
          <w:sz w:val="24"/>
          <w:szCs w:val="24"/>
          <w:highlight w:val="none"/>
          <w:lang w:val="en-US" w:eastAsia="zh-CN" w:bidi="ar-SA"/>
        </w:rPr>
        <w:t>恶臭气体</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有组织</w:t>
      </w:r>
      <w:r>
        <w:rPr>
          <w:rFonts w:hint="eastAsia" w:cs="Times New Roman"/>
          <w:caps w:val="0"/>
          <w:smallCaps w:val="0"/>
          <w:snapToGrid/>
          <w:color w:val="auto"/>
          <w:spacing w:val="0"/>
          <w:w w:val="100"/>
          <w:kern w:val="0"/>
          <w:sz w:val="24"/>
          <w:szCs w:val="24"/>
          <w:highlight w:val="none"/>
          <w:lang w:val="en-US" w:eastAsia="zh-CN" w:bidi="ar-SA"/>
        </w:rPr>
        <w:t>排气筒</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排放的NH</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、H</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S、臭气浓度排放速率执行《恶臭污染物排放标准》（GB14554-93）表2</w:t>
      </w:r>
      <w:r>
        <w:rPr>
          <w:rFonts w:hint="eastAsia" w:cs="Times New Roman"/>
          <w:caps w:val="0"/>
          <w:smallCaps w:val="0"/>
          <w:snapToGrid/>
          <w:color w:val="auto"/>
          <w:spacing w:val="0"/>
          <w:w w:val="100"/>
          <w:kern w:val="0"/>
          <w:sz w:val="24"/>
          <w:szCs w:val="24"/>
          <w:highlight w:val="none"/>
          <w:lang w:val="en-US" w:eastAsia="zh-CN" w:bidi="ar-SA"/>
        </w:rPr>
        <w:t xml:space="preserve"> </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15m排气筒排放量要求</w:t>
      </w:r>
      <w:r>
        <w:rPr>
          <w:rFonts w:hint="eastAsia"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厂界无组织排放的NH</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、H</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S、臭气浓度执行排放浓度执行《恶臭污染物排放标准》（GB14554-93）</w:t>
      </w:r>
      <w:r>
        <w:rPr>
          <w:rFonts w:hint="eastAsia" w:cs="Times New Roman"/>
          <w:caps w:val="0"/>
          <w:smallCaps w:val="0"/>
          <w:snapToGrid/>
          <w:color w:val="auto"/>
          <w:spacing w:val="0"/>
          <w:w w:val="100"/>
          <w:kern w:val="0"/>
          <w:sz w:val="24"/>
          <w:szCs w:val="24"/>
          <w:highlight w:val="none"/>
          <w:lang w:val="en-US" w:eastAsia="zh-CN" w:bidi="ar-SA"/>
        </w:rPr>
        <w:t>表1二级厂界标准值要求。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站址内</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非甲烷总烃执行《挥发性有机物无组织控制标准》（GB37822-2019）</w:t>
      </w:r>
      <w:r>
        <w:rPr>
          <w:rFonts w:hint="eastAsia" w:cs="Times New Roman"/>
          <w:caps w:val="0"/>
          <w:smallCaps w:val="0"/>
          <w:snapToGrid/>
          <w:color w:val="auto"/>
          <w:spacing w:val="0"/>
          <w:w w:val="100"/>
          <w:kern w:val="0"/>
          <w:sz w:val="24"/>
          <w:szCs w:val="24"/>
          <w:highlight w:val="none"/>
          <w:lang w:val="en-US" w:eastAsia="zh-CN" w:bidi="ar-SA"/>
        </w:rPr>
        <w:t>附录A限值要求，站址厂界浓度</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执行《大气污染物综合排放标准》（GB16297-1996）表2无组织排放监控浓度限值要求，</w:t>
      </w:r>
      <w:r>
        <w:rPr>
          <w:rFonts w:hint="eastAsia" w:cs="Times New Roman"/>
          <w:caps w:val="0"/>
          <w:smallCaps w:val="0"/>
          <w:snapToGrid/>
          <w:color w:val="auto"/>
          <w:spacing w:val="0"/>
          <w:w w:val="100"/>
          <w:kern w:val="0"/>
          <w:sz w:val="24"/>
          <w:szCs w:val="24"/>
          <w:highlight w:val="none"/>
          <w:lang w:val="en-US" w:eastAsia="zh-CN" w:bidi="ar-SA"/>
        </w:rPr>
        <w:t>食堂油烟净化器处理效率及食业油烟排放浓度执行《饮食业油烟排放标准》（GB18483-2001）小型规模食堂最高允许排放浓度和油烟净化设施最低去除效率。</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表2.3-</w:t>
      </w:r>
      <w:r>
        <w:rPr>
          <w:rFonts w:hint="eastAsia" w:cs="Times New Roman"/>
          <w:b/>
          <w:bCs/>
          <w:caps w:val="0"/>
          <w:smallCaps w:val="0"/>
          <w:color w:val="auto"/>
          <w:spacing w:val="0"/>
          <w:w w:val="100"/>
          <w:kern w:val="0"/>
          <w:sz w:val="21"/>
          <w:szCs w:val="21"/>
          <w:highlight w:val="none"/>
          <w:vertAlign w:val="baseline"/>
          <w:lang w:val="en-US" w:eastAsia="zh-CN" w:bidi="ar-SA"/>
        </w:rPr>
        <w:t>6大气污染物排放标准限值一览表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31"/>
        <w:gridCol w:w="1237"/>
        <w:gridCol w:w="1175"/>
        <w:gridCol w:w="640"/>
        <w:gridCol w:w="858"/>
        <w:gridCol w:w="1079"/>
        <w:gridCol w:w="269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序号</w:t>
            </w:r>
          </w:p>
        </w:tc>
        <w:tc>
          <w:tcPr>
            <w:tcW w:w="123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污染源</w:t>
            </w:r>
          </w:p>
        </w:tc>
        <w:tc>
          <w:tcPr>
            <w:tcW w:w="11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污染物</w:t>
            </w:r>
          </w:p>
        </w:tc>
        <w:tc>
          <w:tcPr>
            <w:tcW w:w="149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标准限值</w:t>
            </w:r>
          </w:p>
        </w:tc>
        <w:tc>
          <w:tcPr>
            <w:tcW w:w="10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单位</w:t>
            </w:r>
          </w:p>
        </w:tc>
        <w:tc>
          <w:tcPr>
            <w:tcW w:w="26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标准名称及级别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c>
          <w:tcPr>
            <w:tcW w:w="123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施工扬尘</w:t>
            </w:r>
          </w:p>
        </w:tc>
        <w:tc>
          <w:tcPr>
            <w:tcW w:w="11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颗粒物</w:t>
            </w:r>
          </w:p>
        </w:tc>
        <w:tc>
          <w:tcPr>
            <w:tcW w:w="149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c>
          <w:tcPr>
            <w:tcW w:w="10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mg/m</w:t>
            </w:r>
            <w:r>
              <w:rPr>
                <w:rFonts w:hint="eastAsia" w:ascii="Times New Roman" w:hAnsi="Times New Roman" w:cs="Times New Roman"/>
                <w:color w:val="auto"/>
                <w:sz w:val="21"/>
                <w:szCs w:val="21"/>
                <w:highlight w:val="none"/>
                <w:vertAlign w:val="superscript"/>
                <w:lang w:val="en-US" w:eastAsia="zh-CN"/>
              </w:rPr>
              <w:t>3</w:t>
            </w:r>
          </w:p>
        </w:tc>
        <w:tc>
          <w:tcPr>
            <w:tcW w:w="26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《大气污染物综合排放标准》（GB16297-1996）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w:t>
            </w:r>
          </w:p>
        </w:tc>
        <w:tc>
          <w:tcPr>
            <w:tcW w:w="123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周界外浓度最高点</w:t>
            </w:r>
          </w:p>
        </w:tc>
        <w:tc>
          <w:tcPr>
            <w:tcW w:w="11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非甲烷总烃</w:t>
            </w:r>
          </w:p>
        </w:tc>
        <w:tc>
          <w:tcPr>
            <w:tcW w:w="149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4</w:t>
            </w:r>
            <w:r>
              <w:rPr>
                <w:rFonts w:hint="eastAsia" w:ascii="Times New Roman" w:hAnsi="Times New Roman" w:cs="Times New Roman"/>
                <w:color w:val="auto"/>
                <w:sz w:val="21"/>
                <w:szCs w:val="21"/>
                <w:highlight w:val="none"/>
                <w:vertAlign w:val="baseline"/>
                <w:lang w:val="en-US" w:eastAsia="zh-CN"/>
              </w:rPr>
              <w:t>.0</w:t>
            </w:r>
          </w:p>
        </w:tc>
        <w:tc>
          <w:tcPr>
            <w:tcW w:w="10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mg/m</w:t>
            </w:r>
            <w:r>
              <w:rPr>
                <w:rFonts w:hint="eastAsia" w:ascii="Times New Roman" w:hAnsi="Times New Roman" w:cs="Times New Roman"/>
                <w:color w:val="auto"/>
                <w:sz w:val="21"/>
                <w:szCs w:val="21"/>
                <w:highlight w:val="none"/>
                <w:vertAlign w:val="superscript"/>
                <w:lang w:val="en-US" w:eastAsia="zh-CN"/>
              </w:rPr>
              <w:t>3</w:t>
            </w:r>
          </w:p>
        </w:tc>
        <w:tc>
          <w:tcPr>
            <w:tcW w:w="26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《大气污染物综合排放标准》（GB16297-1996）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1"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w:t>
            </w:r>
          </w:p>
        </w:tc>
        <w:tc>
          <w:tcPr>
            <w:tcW w:w="123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在厂房外设置监控点</w:t>
            </w:r>
          </w:p>
        </w:tc>
        <w:tc>
          <w:tcPr>
            <w:tcW w:w="117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非甲烷总烃</w:t>
            </w:r>
          </w:p>
        </w:tc>
        <w:tc>
          <w:tcPr>
            <w:tcW w:w="149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Cs w:val="21"/>
                <w:highlight w:val="none"/>
                <w:lang w:val="en-US" w:eastAsia="zh-CN"/>
              </w:rPr>
              <w:t>10（</w:t>
            </w:r>
            <w:r>
              <w:rPr>
                <w:rFonts w:hint="eastAsia" w:ascii="Times New Roman" w:hAnsi="Times New Roman" w:eastAsia="宋体" w:cs="Times New Roman"/>
                <w:color w:val="auto"/>
                <w:szCs w:val="21"/>
                <w:highlight w:val="none"/>
                <w:lang w:val="en-US" w:eastAsia="zh-CN"/>
              </w:rPr>
              <w:t>监控点处1h平均浓度值</w:t>
            </w:r>
            <w:r>
              <w:rPr>
                <w:rFonts w:hint="eastAsia" w:ascii="Times New Roman" w:hAnsi="Times New Roman" w:cs="Times New Roman"/>
                <w:color w:val="auto"/>
                <w:szCs w:val="21"/>
                <w:highlight w:val="none"/>
                <w:lang w:val="en-US" w:eastAsia="zh-CN"/>
              </w:rPr>
              <w:t>）</w:t>
            </w:r>
          </w:p>
        </w:tc>
        <w:tc>
          <w:tcPr>
            <w:tcW w:w="10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mg/m</w:t>
            </w:r>
            <w:r>
              <w:rPr>
                <w:rFonts w:hint="eastAsia" w:ascii="Times New Roman" w:hAnsi="Times New Roman" w:cs="Times New Roman"/>
                <w:color w:val="auto"/>
                <w:sz w:val="21"/>
                <w:szCs w:val="21"/>
                <w:highlight w:val="none"/>
                <w:vertAlign w:val="superscript"/>
                <w:lang w:val="en-US" w:eastAsia="zh-CN"/>
              </w:rPr>
              <w:t>3</w:t>
            </w:r>
          </w:p>
        </w:tc>
        <w:tc>
          <w:tcPr>
            <w:tcW w:w="269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b w:val="0"/>
                <w:bCs/>
                <w:color w:val="auto"/>
                <w:kern w:val="0"/>
                <w:szCs w:val="21"/>
                <w:highlight w:val="none"/>
                <w:lang w:val="en-US" w:eastAsia="zh-CN"/>
              </w:rPr>
              <w:t>《挥发性有机物无组织排放控制标准》（GB37822-2019）表A.1限值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49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Cs w:val="21"/>
                <w:highlight w:val="none"/>
                <w:lang w:val="en-US" w:eastAsia="zh-CN"/>
              </w:rPr>
              <w:t>30（</w:t>
            </w:r>
            <w:r>
              <w:rPr>
                <w:rFonts w:hint="eastAsia" w:ascii="Times New Roman" w:hAnsi="Times New Roman" w:eastAsia="宋体" w:cs="Times New Roman"/>
                <w:color w:val="auto"/>
                <w:szCs w:val="21"/>
                <w:highlight w:val="none"/>
                <w:lang w:val="en-US" w:eastAsia="zh-CN"/>
              </w:rPr>
              <w:t>监控点处任意一次浓度值</w:t>
            </w:r>
            <w:r>
              <w:rPr>
                <w:rFonts w:hint="eastAsia" w:ascii="Times New Roman" w:hAnsi="Times New Roman" w:cs="Times New Roman"/>
                <w:color w:val="auto"/>
                <w:szCs w:val="21"/>
                <w:highlight w:val="none"/>
                <w:lang w:val="en-US" w:eastAsia="zh-CN"/>
              </w:rPr>
              <w:t>）</w:t>
            </w:r>
          </w:p>
        </w:tc>
        <w:tc>
          <w:tcPr>
            <w:tcW w:w="10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mg/m</w:t>
            </w:r>
            <w:r>
              <w:rPr>
                <w:rFonts w:hint="eastAsia" w:ascii="Times New Roman" w:hAnsi="Times New Roman" w:cs="Times New Roman"/>
                <w:color w:val="auto"/>
                <w:sz w:val="21"/>
                <w:szCs w:val="21"/>
                <w:highlight w:val="none"/>
                <w:vertAlign w:val="superscript"/>
                <w:lang w:val="en-US" w:eastAsia="zh-CN"/>
              </w:rPr>
              <w:t>3</w:t>
            </w:r>
          </w:p>
        </w:tc>
        <w:tc>
          <w:tcPr>
            <w:tcW w:w="269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1"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w:t>
            </w:r>
          </w:p>
        </w:tc>
        <w:tc>
          <w:tcPr>
            <w:tcW w:w="123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厂界无组织排放恶臭气体</w:t>
            </w:r>
          </w:p>
        </w:tc>
        <w:tc>
          <w:tcPr>
            <w:tcW w:w="1175"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氨</w:t>
            </w:r>
          </w:p>
        </w:tc>
        <w:tc>
          <w:tcPr>
            <w:tcW w:w="149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1.5</w:t>
            </w:r>
          </w:p>
        </w:tc>
        <w:tc>
          <w:tcPr>
            <w:tcW w:w="10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mg/m</w:t>
            </w:r>
            <w:r>
              <w:rPr>
                <w:rFonts w:hint="eastAsia" w:ascii="Times New Roman" w:hAnsi="Times New Roman" w:cs="Times New Roman"/>
                <w:color w:val="auto"/>
                <w:sz w:val="21"/>
                <w:szCs w:val="21"/>
                <w:highlight w:val="none"/>
                <w:vertAlign w:val="superscript"/>
                <w:lang w:val="en-US" w:eastAsia="zh-CN"/>
              </w:rPr>
              <w:t>3</w:t>
            </w:r>
          </w:p>
        </w:tc>
        <w:tc>
          <w:tcPr>
            <w:tcW w:w="269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《恶臭污染物排放标准》（GB14554-93）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5"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硫化氢</w:t>
            </w:r>
          </w:p>
        </w:tc>
        <w:tc>
          <w:tcPr>
            <w:tcW w:w="149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0.06</w:t>
            </w:r>
          </w:p>
        </w:tc>
        <w:tc>
          <w:tcPr>
            <w:tcW w:w="10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mg/m</w:t>
            </w:r>
            <w:r>
              <w:rPr>
                <w:rFonts w:hint="eastAsia" w:ascii="Times New Roman" w:hAnsi="Times New Roman" w:cs="Times New Roman"/>
                <w:color w:val="auto"/>
                <w:sz w:val="21"/>
                <w:szCs w:val="21"/>
                <w:highlight w:val="none"/>
                <w:vertAlign w:val="superscript"/>
                <w:lang w:val="en-US" w:eastAsia="zh-CN"/>
              </w:rPr>
              <w:t>3</w:t>
            </w:r>
          </w:p>
        </w:tc>
        <w:tc>
          <w:tcPr>
            <w:tcW w:w="269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5"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臭气浓度</w:t>
            </w:r>
          </w:p>
        </w:tc>
        <w:tc>
          <w:tcPr>
            <w:tcW w:w="149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20</w:t>
            </w:r>
          </w:p>
        </w:tc>
        <w:tc>
          <w:tcPr>
            <w:tcW w:w="10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无量纲</w:t>
            </w:r>
          </w:p>
        </w:tc>
        <w:tc>
          <w:tcPr>
            <w:tcW w:w="269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23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有组织排放恶臭气体</w:t>
            </w:r>
          </w:p>
        </w:tc>
        <w:tc>
          <w:tcPr>
            <w:tcW w:w="1175"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氨</w:t>
            </w:r>
          </w:p>
        </w:tc>
        <w:tc>
          <w:tcPr>
            <w:tcW w:w="64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15m</w:t>
            </w:r>
          </w:p>
        </w:tc>
        <w:tc>
          <w:tcPr>
            <w:tcW w:w="85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4.9</w:t>
            </w:r>
          </w:p>
        </w:tc>
        <w:tc>
          <w:tcPr>
            <w:tcW w:w="10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kg/h</w:t>
            </w:r>
          </w:p>
        </w:tc>
        <w:tc>
          <w:tcPr>
            <w:tcW w:w="269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5"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硫化氢</w:t>
            </w:r>
          </w:p>
        </w:tc>
        <w:tc>
          <w:tcPr>
            <w:tcW w:w="64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5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0.33</w:t>
            </w:r>
          </w:p>
        </w:tc>
        <w:tc>
          <w:tcPr>
            <w:tcW w:w="10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kg/h</w:t>
            </w:r>
          </w:p>
        </w:tc>
        <w:tc>
          <w:tcPr>
            <w:tcW w:w="269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5"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臭气浓度</w:t>
            </w:r>
          </w:p>
        </w:tc>
        <w:tc>
          <w:tcPr>
            <w:tcW w:w="64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5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2000</w:t>
            </w:r>
          </w:p>
        </w:tc>
        <w:tc>
          <w:tcPr>
            <w:tcW w:w="10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无量纲</w:t>
            </w:r>
          </w:p>
        </w:tc>
        <w:tc>
          <w:tcPr>
            <w:tcW w:w="269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1"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w:t>
            </w:r>
          </w:p>
        </w:tc>
        <w:tc>
          <w:tcPr>
            <w:tcW w:w="123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食堂油烟</w:t>
            </w:r>
          </w:p>
        </w:tc>
        <w:tc>
          <w:tcPr>
            <w:tcW w:w="11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饮食业</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油烟</w:t>
            </w:r>
          </w:p>
        </w:tc>
        <w:tc>
          <w:tcPr>
            <w:tcW w:w="149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w:t>
            </w:r>
            <w:r>
              <w:rPr>
                <w:rFonts w:hint="default" w:ascii="Times New Roman" w:hAnsi="Times New Roman" w:eastAsia="宋体" w:cs="Times New Roman"/>
                <w:color w:val="auto"/>
                <w:szCs w:val="21"/>
                <w:highlight w:val="none"/>
                <w:lang w:val="en-US" w:eastAsia="zh-CN"/>
              </w:rPr>
              <w:t>最高允许排放浓度</w:t>
            </w:r>
            <w:r>
              <w:rPr>
                <w:rFonts w:hint="eastAsia" w:cs="Times New Roman"/>
                <w:color w:val="auto"/>
                <w:sz w:val="21"/>
                <w:szCs w:val="21"/>
                <w:highlight w:val="none"/>
                <w:vertAlign w:val="baseline"/>
                <w:lang w:val="en-US" w:eastAsia="zh-CN"/>
              </w:rPr>
              <w:t>）</w:t>
            </w:r>
          </w:p>
        </w:tc>
        <w:tc>
          <w:tcPr>
            <w:tcW w:w="10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mg/m</w:t>
            </w:r>
            <w:r>
              <w:rPr>
                <w:rFonts w:hint="eastAsia" w:ascii="Times New Roman" w:hAnsi="Times New Roman" w:cs="Times New Roman"/>
                <w:color w:val="auto"/>
                <w:sz w:val="21"/>
                <w:szCs w:val="21"/>
                <w:highlight w:val="none"/>
                <w:vertAlign w:val="superscript"/>
                <w:lang w:val="en-US" w:eastAsia="zh-CN"/>
              </w:rPr>
              <w:t>3</w:t>
            </w:r>
          </w:p>
        </w:tc>
        <w:tc>
          <w:tcPr>
            <w:tcW w:w="269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《饮食业油烟排放标准》（GB18483-2001）小型规模食堂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Cs w:val="21"/>
                <w:highlight w:val="none"/>
                <w:lang w:val="en-US" w:eastAsia="zh-CN"/>
              </w:rPr>
              <w:t>油烟净化设施最低去除效率</w:t>
            </w:r>
          </w:p>
        </w:tc>
        <w:tc>
          <w:tcPr>
            <w:tcW w:w="149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60</w:t>
            </w:r>
          </w:p>
        </w:tc>
        <w:tc>
          <w:tcPr>
            <w:tcW w:w="107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269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bl>
    <w:p>
      <w:pPr>
        <w:pStyle w:val="11"/>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eastAsia="宋体" w:cs="Times New Roman"/>
          <w:caps w:val="0"/>
          <w:smallCaps w:val="0"/>
          <w:snapToGrid/>
          <w:color w:val="auto"/>
          <w:spacing w:val="0"/>
          <w:w w:val="100"/>
          <w:kern w:val="0"/>
          <w:sz w:val="24"/>
          <w:szCs w:val="24"/>
          <w:highlight w:val="none"/>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废水污染物排放标准</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①施工期</w:t>
      </w:r>
      <w:r>
        <w:rPr>
          <w:rFonts w:hint="eastAsia" w:cs="Times New Roman"/>
          <w:caps w:val="0"/>
          <w:smallCaps w:val="0"/>
          <w:snapToGrid/>
          <w:color w:val="auto"/>
          <w:spacing w:val="0"/>
          <w:w w:val="100"/>
          <w:kern w:val="0"/>
          <w:sz w:val="24"/>
          <w:szCs w:val="24"/>
          <w:highlight w:val="none"/>
          <w:lang w:val="en-US" w:eastAsia="zh-CN" w:bidi="ar-SA"/>
        </w:rPr>
        <w:t>施工废水为搅拌砂浆、润湿建筑材料、清洗施工设备的少量生产废水，经施工场地内临时沉淀池沉淀后，用于厂区施工洒水抑尘。</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3#服务站站址施工区域生活污水排入站内化粪池，施工结束后，可随站内运维人员生活污水一起拉运处置；管道施工区域距附近村屯较近，不设置施工营地，租用附近的村民民房进行生活，生活污水排入租用民房防渗化粪池内，定期清掏。</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②运行期，</w:t>
      </w:r>
      <w:r>
        <w:rPr>
          <w:rFonts w:hint="eastAsia" w:ascii="Times New Roman" w:hAnsi="Times New Roman" w:cs="Times New Roman"/>
          <w:caps w:val="0"/>
          <w:smallCaps w:val="0"/>
          <w:snapToGrid/>
          <w:color w:val="auto"/>
          <w:spacing w:val="0"/>
          <w:w w:val="100"/>
          <w:kern w:val="0"/>
          <w:sz w:val="24"/>
          <w:szCs w:val="24"/>
          <w:highlight w:val="none"/>
          <w:lang w:val="en-US" w:eastAsia="zh-CN" w:bidi="ar-SA"/>
        </w:rPr>
        <w:t>站内处理达标的水满足《大庆油田地面工程建设设计规定》（Q/SYDQ 0639-2015）“含油量≤20mg/L、悬浮固体含量≤20mg/L”，回用于页岩油试验区压裂</w:t>
      </w:r>
      <w:r>
        <w:rPr>
          <w:rFonts w:hint="eastAsia" w:cs="Times New Roman"/>
          <w:caps w:val="0"/>
          <w:smallCaps w:val="0"/>
          <w:snapToGrid/>
          <w:color w:val="auto"/>
          <w:spacing w:val="0"/>
          <w:w w:val="100"/>
          <w:kern w:val="0"/>
          <w:sz w:val="24"/>
          <w:szCs w:val="24"/>
          <w:highlight w:val="none"/>
          <w:lang w:val="en-US" w:eastAsia="zh-CN" w:bidi="ar-SA"/>
        </w:rPr>
        <w:t>复配</w:t>
      </w:r>
      <w:r>
        <w:rPr>
          <w:rFonts w:hint="eastAsia" w:ascii="Times New Roman" w:hAnsi="Times New Roman"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eastAsia" w:ascii="Times New Roman" w:hAnsi="Times New Roman"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w:t>
      </w:r>
      <w:r>
        <w:rPr>
          <w:rFonts w:hint="eastAsia" w:ascii="Times New Roman" w:hAnsi="Times New Roman" w:cs="Times New Roman"/>
          <w:b/>
          <w:bCs/>
          <w:caps w:val="0"/>
          <w:smallCaps w:val="0"/>
          <w:color w:val="auto"/>
          <w:spacing w:val="0"/>
          <w:w w:val="100"/>
          <w:kern w:val="0"/>
          <w:sz w:val="21"/>
          <w:szCs w:val="21"/>
          <w:highlight w:val="none"/>
          <w:vertAlign w:val="baseline"/>
          <w:lang w:val="en-US" w:eastAsia="zh-CN" w:bidi="ar-SA"/>
        </w:rPr>
        <w:t>2.3-7水污染物标准限值一览表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45"/>
        <w:gridCol w:w="1650"/>
        <w:gridCol w:w="1173"/>
        <w:gridCol w:w="1159"/>
        <w:gridCol w:w="348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2" w:hRule="atLeast"/>
        </w:trPr>
        <w:tc>
          <w:tcPr>
            <w:tcW w:w="104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序号</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污染物</w:t>
            </w:r>
          </w:p>
        </w:tc>
        <w:tc>
          <w:tcPr>
            <w:tcW w:w="11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标准限值</w:t>
            </w:r>
          </w:p>
        </w:tc>
        <w:tc>
          <w:tcPr>
            <w:tcW w:w="11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单位</w:t>
            </w:r>
          </w:p>
        </w:tc>
        <w:tc>
          <w:tcPr>
            <w:tcW w:w="34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标准来源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4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含油量</w:t>
            </w:r>
          </w:p>
        </w:tc>
        <w:tc>
          <w:tcPr>
            <w:tcW w:w="11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w:t>
            </w:r>
          </w:p>
        </w:tc>
        <w:tc>
          <w:tcPr>
            <w:tcW w:w="11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aps w:val="0"/>
                <w:smallCaps w:val="0"/>
                <w:snapToGrid/>
                <w:color w:val="auto"/>
                <w:spacing w:val="0"/>
                <w:w w:val="100"/>
                <w:kern w:val="0"/>
                <w:sz w:val="21"/>
                <w:szCs w:val="21"/>
                <w:highlight w:val="none"/>
                <w:lang w:val="en-US" w:eastAsia="zh-CN" w:bidi="ar-SA"/>
              </w:rPr>
              <w:t>mg/L</w:t>
            </w:r>
          </w:p>
        </w:tc>
        <w:tc>
          <w:tcPr>
            <w:tcW w:w="348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aps w:val="0"/>
                <w:smallCaps w:val="0"/>
                <w:snapToGrid/>
                <w:color w:val="auto"/>
                <w:spacing w:val="0"/>
                <w:w w:val="100"/>
                <w:kern w:val="0"/>
                <w:sz w:val="21"/>
                <w:szCs w:val="21"/>
                <w:highlight w:val="none"/>
                <w:lang w:val="en-US" w:eastAsia="zh-CN" w:bidi="ar-SA"/>
              </w:rPr>
              <w:t>《大庆油田地面工程建设设计规定》（Q/SYDQ 0639-2015）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4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悬浮固体物</w:t>
            </w:r>
          </w:p>
        </w:tc>
        <w:tc>
          <w:tcPr>
            <w:tcW w:w="11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w:t>
            </w:r>
          </w:p>
        </w:tc>
        <w:tc>
          <w:tcPr>
            <w:tcW w:w="11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aps w:val="0"/>
                <w:smallCaps w:val="0"/>
                <w:snapToGrid/>
                <w:color w:val="auto"/>
                <w:spacing w:val="0"/>
                <w:w w:val="100"/>
                <w:kern w:val="0"/>
                <w:sz w:val="21"/>
                <w:szCs w:val="21"/>
                <w:highlight w:val="none"/>
                <w:lang w:val="en-US" w:eastAsia="zh-CN" w:bidi="ar-SA"/>
              </w:rPr>
              <w:t>mg/L</w:t>
            </w:r>
          </w:p>
        </w:tc>
        <w:tc>
          <w:tcPr>
            <w:tcW w:w="3489" w:type="dxa"/>
            <w:vMerge w:val="continue"/>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bl>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（3）噪声排放标准</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①施工噪声排放执行《建筑施工场界环境噪声排放标准》（GB12523-2011）。</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②运行期，</w:t>
      </w:r>
      <w:r>
        <w:rPr>
          <w:rFonts w:hint="eastAsia" w:ascii="Times New Roman" w:hAnsi="Times New Roman" w:cs="Times New Roman"/>
          <w:caps w:val="0"/>
          <w:smallCaps w:val="0"/>
          <w:snapToGrid/>
          <w:color w:val="auto"/>
          <w:spacing w:val="0"/>
          <w:w w:val="100"/>
          <w:kern w:val="0"/>
          <w:sz w:val="24"/>
          <w:szCs w:val="24"/>
          <w:highlight w:val="none"/>
          <w:lang w:val="en-US" w:eastAsia="zh-CN" w:bidi="ar-SA"/>
        </w:rPr>
        <w:t>3#服务站</w:t>
      </w:r>
      <w:r>
        <w:rPr>
          <w:rFonts w:hint="eastAsia" w:cs="Times New Roman"/>
          <w:caps w:val="0"/>
          <w:smallCaps w:val="0"/>
          <w:snapToGrid/>
          <w:color w:val="auto"/>
          <w:spacing w:val="0"/>
          <w:w w:val="100"/>
          <w:kern w:val="0"/>
          <w:sz w:val="24"/>
          <w:szCs w:val="24"/>
          <w:highlight w:val="none"/>
          <w:lang w:val="en-US" w:eastAsia="zh-CN" w:bidi="ar-SA"/>
        </w:rPr>
        <w:t>东侧、南侧及西侧</w:t>
      </w:r>
      <w:r>
        <w:rPr>
          <w:rFonts w:hint="eastAsia" w:ascii="Times New Roman" w:hAnsi="Times New Roman" w:cs="Times New Roman"/>
          <w:caps w:val="0"/>
          <w:smallCaps w:val="0"/>
          <w:snapToGrid/>
          <w:color w:val="auto"/>
          <w:spacing w:val="0"/>
          <w:w w:val="100"/>
          <w:kern w:val="0"/>
          <w:sz w:val="24"/>
          <w:szCs w:val="24"/>
          <w:highlight w:val="none"/>
          <w:lang w:val="en-US" w:eastAsia="zh-CN" w:bidi="ar-SA"/>
        </w:rPr>
        <w:t>厂界</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噪声排放执行《工业企业厂界环境噪声排放标准》（GB12348-2008）2类标准</w:t>
      </w:r>
      <w:r>
        <w:rPr>
          <w:rFonts w:hint="eastAsia" w:cs="Times New Roman"/>
          <w:caps w:val="0"/>
          <w:smallCaps w:val="0"/>
          <w:snapToGrid/>
          <w:color w:val="auto"/>
          <w:spacing w:val="0"/>
          <w:w w:val="100"/>
          <w:kern w:val="0"/>
          <w:sz w:val="24"/>
          <w:szCs w:val="24"/>
          <w:highlight w:val="none"/>
          <w:lang w:val="en-US" w:eastAsia="zh-CN" w:bidi="ar-SA"/>
        </w:rPr>
        <w:t>；站址北侧紧邻G232国道，北侧噪声</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执行《工业企业厂界环境噪声排放标准》（GB12348-2008）</w:t>
      </w:r>
      <w:r>
        <w:rPr>
          <w:rFonts w:hint="eastAsia" w:cs="Times New Roman"/>
          <w:caps w:val="0"/>
          <w:smallCaps w:val="0"/>
          <w:snapToGrid/>
          <w:color w:val="auto"/>
          <w:spacing w:val="0"/>
          <w:w w:val="100"/>
          <w:kern w:val="0"/>
          <w:sz w:val="24"/>
          <w:szCs w:val="24"/>
          <w:highlight w:val="none"/>
          <w:lang w:val="en-US" w:eastAsia="zh-CN" w:bidi="ar-SA"/>
        </w:rPr>
        <w:t>4</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类标准</w:t>
      </w:r>
      <w:r>
        <w:rPr>
          <w:rFonts w:hint="eastAsia"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imes New Roman" w:hAnsi="Times New Roman"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w:t>
      </w:r>
      <w:r>
        <w:rPr>
          <w:rFonts w:hint="eastAsia" w:ascii="Times New Roman" w:hAnsi="Times New Roman" w:cs="Times New Roman"/>
          <w:b/>
          <w:bCs/>
          <w:caps w:val="0"/>
          <w:smallCaps w:val="0"/>
          <w:color w:val="auto"/>
          <w:spacing w:val="0"/>
          <w:w w:val="100"/>
          <w:kern w:val="0"/>
          <w:sz w:val="21"/>
          <w:szCs w:val="21"/>
          <w:highlight w:val="none"/>
          <w:vertAlign w:val="baseline"/>
          <w:lang w:val="en-US" w:eastAsia="zh-CN" w:bidi="ar-SA"/>
        </w:rPr>
        <w:t>2.3-8噪声污染排放标准限值一览表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82"/>
        <w:gridCol w:w="1772"/>
        <w:gridCol w:w="1200"/>
        <w:gridCol w:w="1009"/>
        <w:gridCol w:w="335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8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序号</w:t>
            </w:r>
          </w:p>
        </w:tc>
        <w:tc>
          <w:tcPr>
            <w:tcW w:w="177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厂（场）界噪声</w:t>
            </w:r>
          </w:p>
        </w:tc>
        <w:tc>
          <w:tcPr>
            <w:tcW w:w="120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标准限值</w:t>
            </w:r>
          </w:p>
        </w:tc>
        <w:tc>
          <w:tcPr>
            <w:tcW w:w="1009"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单位</w:t>
            </w:r>
          </w:p>
        </w:tc>
        <w:tc>
          <w:tcPr>
            <w:tcW w:w="33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标准名称及级别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8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w:t>
            </w:r>
          </w:p>
        </w:tc>
        <w:tc>
          <w:tcPr>
            <w:tcW w:w="177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昼间</w:t>
            </w:r>
          </w:p>
        </w:tc>
        <w:tc>
          <w:tcPr>
            <w:tcW w:w="120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≤70</w:t>
            </w:r>
          </w:p>
        </w:tc>
        <w:tc>
          <w:tcPr>
            <w:tcW w:w="100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dB（A）</w:t>
            </w:r>
          </w:p>
        </w:tc>
        <w:tc>
          <w:tcPr>
            <w:tcW w:w="335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《建筑施工场界环境噪声排放标准》（GB12523-2011）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8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p>
        </w:tc>
        <w:tc>
          <w:tcPr>
            <w:tcW w:w="177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夜间</w:t>
            </w:r>
          </w:p>
        </w:tc>
        <w:tc>
          <w:tcPr>
            <w:tcW w:w="120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≤55</w:t>
            </w:r>
          </w:p>
        </w:tc>
        <w:tc>
          <w:tcPr>
            <w:tcW w:w="1009" w:type="dxa"/>
            <w:vMerge w:val="continue"/>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335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8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177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昼间</w:t>
            </w:r>
          </w:p>
        </w:tc>
        <w:tc>
          <w:tcPr>
            <w:tcW w:w="120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≤60</w:t>
            </w:r>
          </w:p>
        </w:tc>
        <w:tc>
          <w:tcPr>
            <w:tcW w:w="1009" w:type="dxa"/>
            <w:vMerge w:val="continue"/>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335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aps w:val="0"/>
                <w:smallCaps w:val="0"/>
                <w:snapToGrid/>
                <w:color w:val="auto"/>
                <w:spacing w:val="0"/>
                <w:w w:val="100"/>
                <w:kern w:val="0"/>
                <w:sz w:val="21"/>
                <w:szCs w:val="21"/>
                <w:highlight w:val="none"/>
                <w:lang w:val="en-US" w:eastAsia="zh-CN" w:bidi="ar-SA"/>
              </w:rPr>
              <w:t>《工业企业厂界环境噪声排放标准》（GB12348-2008）2类标准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8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w:t>
            </w:r>
          </w:p>
        </w:tc>
        <w:tc>
          <w:tcPr>
            <w:tcW w:w="177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夜间</w:t>
            </w:r>
          </w:p>
        </w:tc>
        <w:tc>
          <w:tcPr>
            <w:tcW w:w="120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≤50</w:t>
            </w:r>
          </w:p>
        </w:tc>
        <w:tc>
          <w:tcPr>
            <w:tcW w:w="1009" w:type="dxa"/>
            <w:vMerge w:val="continue"/>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335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18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w:t>
            </w:r>
          </w:p>
        </w:tc>
        <w:tc>
          <w:tcPr>
            <w:tcW w:w="177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昼间</w:t>
            </w:r>
          </w:p>
        </w:tc>
        <w:tc>
          <w:tcPr>
            <w:tcW w:w="120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70</w:t>
            </w:r>
          </w:p>
        </w:tc>
        <w:tc>
          <w:tcPr>
            <w:tcW w:w="1009" w:type="dxa"/>
            <w:vMerge w:val="continue"/>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335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aps w:val="0"/>
                <w:smallCaps w:val="0"/>
                <w:snapToGrid/>
                <w:color w:val="auto"/>
                <w:spacing w:val="0"/>
                <w:w w:val="100"/>
                <w:kern w:val="0"/>
                <w:sz w:val="21"/>
                <w:szCs w:val="21"/>
                <w:highlight w:val="none"/>
                <w:lang w:val="en-US" w:eastAsia="zh-CN" w:bidi="ar-SA"/>
              </w:rPr>
              <w:t>《工业企业厂界环境噪声排</w:t>
            </w:r>
            <w:r>
              <w:rPr>
                <w:rFonts w:hint="eastAsia" w:cs="Times New Roman"/>
                <w:caps w:val="0"/>
                <w:smallCaps w:val="0"/>
                <w:snapToGrid/>
                <w:color w:val="auto"/>
                <w:spacing w:val="0"/>
                <w:w w:val="100"/>
                <w:kern w:val="0"/>
                <w:sz w:val="21"/>
                <w:szCs w:val="21"/>
                <w:highlight w:val="none"/>
                <w:lang w:val="en-US" w:eastAsia="zh-CN" w:bidi="ar-SA"/>
              </w:rPr>
              <w:t>4</w:t>
            </w:r>
            <w:r>
              <w:rPr>
                <w:rFonts w:hint="eastAsia" w:ascii="Times New Roman" w:hAnsi="Times New Roman" w:eastAsia="宋体" w:cs="Times New Roman"/>
                <w:caps w:val="0"/>
                <w:smallCaps w:val="0"/>
                <w:snapToGrid/>
                <w:color w:val="auto"/>
                <w:spacing w:val="0"/>
                <w:w w:val="100"/>
                <w:kern w:val="0"/>
                <w:sz w:val="21"/>
                <w:szCs w:val="21"/>
                <w:highlight w:val="none"/>
                <w:lang w:val="en-US" w:eastAsia="zh-CN" w:bidi="ar-SA"/>
              </w:rPr>
              <w:t>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8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w:t>
            </w:r>
          </w:p>
        </w:tc>
        <w:tc>
          <w:tcPr>
            <w:tcW w:w="177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夜间</w:t>
            </w:r>
          </w:p>
        </w:tc>
        <w:tc>
          <w:tcPr>
            <w:tcW w:w="120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w:t>
            </w:r>
            <w:r>
              <w:rPr>
                <w:rFonts w:hint="eastAsia" w:cs="Times New Roman"/>
                <w:color w:val="auto"/>
                <w:sz w:val="21"/>
                <w:szCs w:val="21"/>
                <w:highlight w:val="none"/>
                <w:vertAlign w:val="baseline"/>
                <w:lang w:val="en-US" w:eastAsia="zh-CN"/>
              </w:rPr>
              <w:t>5</w:t>
            </w:r>
          </w:p>
        </w:tc>
        <w:tc>
          <w:tcPr>
            <w:tcW w:w="1009" w:type="dxa"/>
            <w:vMerge w:val="continue"/>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335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bl>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cs="Times New Roman"/>
          <w:caps w:val="0"/>
          <w:smallCaps w:val="0"/>
          <w:snapToGrid/>
          <w:color w:val="auto"/>
          <w:spacing w:val="0"/>
          <w:w w:val="100"/>
          <w:kern w:val="0"/>
          <w:sz w:val="24"/>
          <w:szCs w:val="24"/>
          <w:highlight w:val="none"/>
          <w:lang w:val="en-US" w:eastAsia="zh-CN" w:bidi="ar-SA"/>
        </w:rPr>
        <w:t>（4）固体废物</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cs="Times New Roman"/>
          <w:caps w:val="0"/>
          <w:smallCaps w:val="0"/>
          <w:snapToGrid/>
          <w:color w:val="auto"/>
          <w:spacing w:val="0"/>
          <w:w w:val="100"/>
          <w:kern w:val="0"/>
          <w:sz w:val="24"/>
          <w:szCs w:val="24"/>
          <w:highlight w:val="none"/>
          <w:lang w:val="en-US" w:eastAsia="zh-CN" w:bidi="ar-SA"/>
        </w:rPr>
        <w:t>一般工业固体废物执行《一般工业固体废物贮存和填埋污染控制标准》（GB18599-2020）规定，危险废弃物执行《危险废物贮存污染控制标准》（GB18597-2023），生活垃圾执行《城市生活垃圾管理办法》（中华人民共和国建设部令第157号令）要求。</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Times New Roman" w:hAnsi="Times New Roman" w:eastAsia="宋体" w:cs="Times New Roman"/>
          <w:b/>
          <w:bCs/>
          <w:caps w:val="0"/>
          <w:smallCaps w:val="0"/>
          <w:color w:val="auto"/>
          <w:spacing w:val="0"/>
          <w:w w:val="100"/>
          <w:kern w:val="44"/>
          <w:sz w:val="28"/>
          <w:szCs w:val="28"/>
          <w:highlight w:val="none"/>
          <w:lang w:val="en-US" w:eastAsia="zh-CN" w:bidi="ar-SA"/>
        </w:rPr>
      </w:pPr>
      <w:r>
        <w:rPr>
          <w:rFonts w:hint="eastAsia" w:ascii="Times New Roman" w:hAnsi="Times New Roman" w:eastAsia="宋体" w:cs="Times New Roman"/>
          <w:b/>
          <w:bCs/>
          <w:caps w:val="0"/>
          <w:smallCaps w:val="0"/>
          <w:color w:val="auto"/>
          <w:spacing w:val="0"/>
          <w:w w:val="100"/>
          <w:kern w:val="44"/>
          <w:sz w:val="28"/>
          <w:szCs w:val="28"/>
          <w:highlight w:val="none"/>
          <w:lang w:val="en-US" w:eastAsia="zh-CN" w:bidi="ar-SA"/>
        </w:rPr>
        <w:t>2.</w:t>
      </w:r>
      <w:r>
        <w:rPr>
          <w:rFonts w:hint="eastAsia" w:ascii="Times New Roman" w:hAnsi="Times New Roman" w:cs="Times New Roman"/>
          <w:b/>
          <w:bCs/>
          <w:caps w:val="0"/>
          <w:smallCaps w:val="0"/>
          <w:color w:val="auto"/>
          <w:spacing w:val="0"/>
          <w:w w:val="100"/>
          <w:kern w:val="44"/>
          <w:sz w:val="28"/>
          <w:szCs w:val="28"/>
          <w:highlight w:val="none"/>
          <w:lang w:val="en-US" w:eastAsia="zh-CN" w:bidi="ar-SA"/>
        </w:rPr>
        <w:t>4</w:t>
      </w:r>
      <w:r>
        <w:rPr>
          <w:rFonts w:hint="eastAsia" w:ascii="Times New Roman" w:hAnsi="Times New Roman" w:eastAsia="宋体" w:cs="Times New Roman"/>
          <w:b/>
          <w:bCs/>
          <w:caps w:val="0"/>
          <w:smallCaps w:val="0"/>
          <w:color w:val="auto"/>
          <w:spacing w:val="0"/>
          <w:w w:val="100"/>
          <w:kern w:val="44"/>
          <w:sz w:val="28"/>
          <w:szCs w:val="28"/>
          <w:highlight w:val="none"/>
          <w:lang w:val="en-US" w:eastAsia="zh-CN" w:bidi="ar-SA"/>
        </w:rPr>
        <w:t>评价工作等级及评价范围</w:t>
      </w:r>
    </w:p>
    <w:p>
      <w:pPr>
        <w:pStyle w:val="11"/>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2.4.1大气环境</w:t>
      </w:r>
    </w:p>
    <w:p>
      <w:pPr>
        <w:pStyle w:val="11"/>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（1）评价工作等级</w:t>
      </w:r>
    </w:p>
    <w:p>
      <w:pPr>
        <w:pStyle w:val="11"/>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依据《环境影响评价技术导则 大气环境》（HJ2.2-2018）中相关要求，结合项目工程分析结果，选择正常排放的主要污染物及排放参数，采用附录A推荐模型中的AERSCREEN模式计算项目污染源的最大环境影响，然后按评价工作分级判据进行分级。</w:t>
      </w:r>
    </w:p>
    <w:p>
      <w:pPr>
        <w:pStyle w:val="11"/>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根据《环境影响评价技术导则 大气环境》（HJ2.2-2018），将环境空气影响评价工作分为一、二、三级，划分依据见表2.4-1。</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表2.4-1</w:t>
      </w:r>
      <w:r>
        <w:rPr>
          <w:rFonts w:hint="eastAsia" w:ascii="Times New Roman" w:hAnsi="Times New Roman" w:cs="Times New Roman"/>
          <w:b/>
          <w:bCs/>
          <w:caps w:val="0"/>
          <w:smallCaps w:val="0"/>
          <w:color w:val="auto"/>
          <w:spacing w:val="0"/>
          <w:w w:val="100"/>
          <w:kern w:val="0"/>
          <w:sz w:val="21"/>
          <w:szCs w:val="21"/>
          <w:highlight w:val="none"/>
          <w:vertAlign w:val="baseline"/>
          <w:lang w:val="en-US" w:eastAsia="zh-CN" w:bidi="ar-SA"/>
        </w:rPr>
        <w:t>大气环境</w:t>
      </w: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评价工作等级</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247"/>
        <w:gridCol w:w="626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评价工作等级</w:t>
            </w:r>
          </w:p>
        </w:tc>
        <w:tc>
          <w:tcPr>
            <w:tcW w:w="62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评价工作分级判据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一级</w:t>
            </w:r>
          </w:p>
        </w:tc>
        <w:tc>
          <w:tcPr>
            <w:tcW w:w="62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Pmax≥10%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二级</w:t>
            </w:r>
          </w:p>
        </w:tc>
        <w:tc>
          <w:tcPr>
            <w:tcW w:w="62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1%≤Pmax&lt;10%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三级</w:t>
            </w:r>
          </w:p>
        </w:tc>
        <w:tc>
          <w:tcPr>
            <w:tcW w:w="62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Pmax&lt;1%</w:t>
            </w:r>
          </w:p>
        </w:tc>
      </w:tr>
    </w:tbl>
    <w:p>
      <w:pPr>
        <w:keepNext w:val="0"/>
        <w:keepLines w:val="0"/>
        <w:pageBreakBefore w:val="0"/>
        <w:widowControl w:val="0"/>
        <w:kinsoku/>
        <w:wordWrap/>
        <w:overflowPunct/>
        <w:topLinePunct w:val="0"/>
        <w:autoSpaceDE/>
        <w:autoSpaceDN/>
        <w:bidi w:val="0"/>
        <w:adjustRightInd/>
        <w:snapToGrid/>
        <w:spacing w:line="500" w:lineRule="exact"/>
        <w:ind w:firstLine="494" w:firstLineChars="0"/>
        <w:jc w:val="both"/>
        <w:textAlignment w:val="auto"/>
        <w:rPr>
          <w:rFonts w:ascii="Times New Roman" w:hAnsi="Times New Roman" w:eastAsia="宋体" w:cs="Times New Roman"/>
          <w:color w:val="auto"/>
          <w:spacing w:val="0"/>
          <w:w w:val="100"/>
          <w:sz w:val="24"/>
          <w:highlight w:val="none"/>
          <w:lang w:val="zh-CN" w:bidi="zh-CN"/>
        </w:rPr>
      </w:pP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根据《环境影响评价技术导则 大气环境》（HJ2.2-2018）中的有关规定，评价工作等级由项目主要污染物的最大地面空气质量浓度占标率Pi及第i个污染物的地面空气质量浓度达到标准值的10%时所对应的最远距离D</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zh-CN" w:eastAsia="zh-CN" w:bidi="ar-SA"/>
        </w:rPr>
        <w:t>10%</w:t>
      </w: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进行等级划分。其中，P</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zh-CN" w:eastAsia="zh-CN" w:bidi="ar-SA"/>
        </w:rPr>
        <w:t>i</w:t>
      </w: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定义为：</w:t>
      </w:r>
    </w:p>
    <w:p>
      <w:pPr>
        <w:keepNext w:val="0"/>
        <w:keepLines w:val="0"/>
        <w:pageBreakBefore w:val="0"/>
        <w:widowControl w:val="0"/>
        <w:kinsoku/>
        <w:wordWrap/>
        <w:overflowPunct/>
        <w:topLinePunct w:val="0"/>
        <w:autoSpaceDE/>
        <w:autoSpaceDN/>
        <w:bidi w:val="0"/>
        <w:adjustRightInd/>
        <w:snapToGrid/>
        <w:spacing w:line="500" w:lineRule="exact"/>
        <w:ind w:firstLine="494" w:firstLineChars="0"/>
        <w:jc w:val="center"/>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P</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zh-CN" w:eastAsia="zh-CN" w:bidi="ar-SA"/>
        </w:rPr>
        <w:t>i</w:t>
      </w: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=C</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zh-CN" w:eastAsia="zh-CN" w:bidi="ar-SA"/>
        </w:rPr>
        <w:t>i</w:t>
      </w: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/C</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zh-CN" w:eastAsia="zh-CN" w:bidi="ar-SA"/>
        </w:rPr>
        <w:t>0j</w:t>
      </w: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×100%</w:t>
      </w:r>
    </w:p>
    <w:p>
      <w:pPr>
        <w:keepNext w:val="0"/>
        <w:keepLines w:val="0"/>
        <w:pageBreakBefore w:val="0"/>
        <w:widowControl w:val="0"/>
        <w:kinsoku/>
        <w:wordWrap/>
        <w:overflowPunct/>
        <w:topLinePunct w:val="0"/>
        <w:autoSpaceDE/>
        <w:autoSpaceDN/>
        <w:bidi w:val="0"/>
        <w:adjustRightInd/>
        <w:snapToGrid/>
        <w:spacing w:line="500" w:lineRule="exact"/>
        <w:ind w:firstLine="494" w:firstLineChars="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式中：P</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zh-CN" w:eastAsia="zh-CN" w:bidi="ar-SA"/>
        </w:rPr>
        <w:t>i</w:t>
      </w: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——第i个污染物的最大地面空气质量浓度占标率，%；</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C</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zh-CN" w:eastAsia="zh-CN" w:bidi="ar-SA"/>
        </w:rPr>
        <w:t>i</w:t>
      </w: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——采用估算模式计算出的第i个污染物的最大1h地面空气质量浓度，μg/m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zh-CN"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C</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zh-CN" w:eastAsia="zh-CN" w:bidi="ar-SA"/>
        </w:rPr>
        <w:t>0i</w:t>
      </w: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——第i个污染物的环境空气质量浓度标准，μg/m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zh-CN"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本项目环境空气主要污染源污染物排放参数见表2.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w:t>
      </w: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-2，2.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w:t>
      </w: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t>-3。</w:t>
      </w:r>
    </w:p>
    <w:p>
      <w:pP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br w:type="page"/>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zh-CN" w:eastAsia="zh-CN" w:bidi="ar-SA"/>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表2.4-2本项目点源参数一览表</w:t>
      </w:r>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435"/>
        <w:gridCol w:w="1851"/>
        <w:gridCol w:w="1799"/>
        <w:gridCol w:w="1091"/>
        <w:gridCol w:w="1131"/>
        <w:gridCol w:w="1037"/>
        <w:gridCol w:w="995"/>
        <w:gridCol w:w="928"/>
        <w:gridCol w:w="1169"/>
        <w:gridCol w:w="828"/>
        <w:gridCol w:w="89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9"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名称</w:t>
            </w:r>
          </w:p>
        </w:tc>
        <w:tc>
          <w:tcPr>
            <w:tcW w:w="653"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排气筒底部中心坐标（°）</w:t>
            </w:r>
          </w:p>
        </w:tc>
        <w:tc>
          <w:tcPr>
            <w:tcW w:w="635"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排气筒底部海拔</w:t>
            </w:r>
            <w:r>
              <w:rPr>
                <w:rFonts w:hint="eastAsia" w:cs="Times New Roman"/>
                <w:color w:val="auto"/>
                <w:sz w:val="21"/>
                <w:szCs w:val="21"/>
                <w:highlight w:val="none"/>
                <w:vertAlign w:val="baseline"/>
                <w:lang w:val="en-US" w:eastAsia="zh-CN"/>
              </w:rPr>
              <w:t>高度</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m</w:t>
            </w:r>
          </w:p>
        </w:tc>
        <w:tc>
          <w:tcPr>
            <w:tcW w:w="385"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排气筒折算高度m</w:t>
            </w:r>
          </w:p>
        </w:tc>
        <w:tc>
          <w:tcPr>
            <w:tcW w:w="399"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排气筒折算内径</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m</w:t>
            </w:r>
          </w:p>
        </w:tc>
        <w:tc>
          <w:tcPr>
            <w:tcW w:w="366"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烟气流速m</w:t>
            </w:r>
            <w:r>
              <w:rPr>
                <w:rFonts w:hint="eastAsia"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/h</w:t>
            </w:r>
          </w:p>
        </w:tc>
        <w:tc>
          <w:tcPr>
            <w:tcW w:w="351"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烟气温度</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w:t>
            </w:r>
          </w:p>
        </w:tc>
        <w:tc>
          <w:tcPr>
            <w:tcW w:w="32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年排放小时数</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h</w:t>
            </w:r>
          </w:p>
        </w:tc>
        <w:tc>
          <w:tcPr>
            <w:tcW w:w="412"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排放工况</w:t>
            </w:r>
          </w:p>
        </w:tc>
        <w:tc>
          <w:tcPr>
            <w:tcW w:w="609" w:type="pct"/>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污染物排放速率kg/</w:t>
            </w:r>
            <w:r>
              <w:rPr>
                <w:rFonts w:hint="eastAsia" w:ascii="Times New Roman" w:hAnsi="Times New Roman" w:cs="Times New Roman"/>
                <w:color w:val="auto"/>
                <w:sz w:val="21"/>
                <w:szCs w:val="21"/>
                <w:highlight w:val="none"/>
                <w:vertAlign w:val="baseline"/>
                <w:lang w:val="en-US" w:eastAsia="zh-CN"/>
              </w:rPr>
              <w:t>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9"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635"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5"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99"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6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51"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2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412"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2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NH</w:t>
            </w:r>
            <w:r>
              <w:rPr>
                <w:rFonts w:hint="eastAsia" w:ascii="Times New Roman" w:hAnsi="Times New Roman" w:cs="Times New Roman"/>
                <w:color w:val="auto"/>
                <w:sz w:val="21"/>
                <w:szCs w:val="21"/>
                <w:highlight w:val="none"/>
                <w:vertAlign w:val="subscript"/>
                <w:lang w:val="en-US" w:eastAsia="zh-CN"/>
              </w:rPr>
              <w:t>3</w:t>
            </w:r>
          </w:p>
        </w:tc>
        <w:tc>
          <w:tcPr>
            <w:tcW w:w="31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H</w:t>
            </w:r>
            <w:r>
              <w:rPr>
                <w:rFonts w:hint="eastAsia" w:ascii="Times New Roman" w:hAnsi="Times New Roman" w:cs="Times New Roman"/>
                <w:color w:val="auto"/>
                <w:sz w:val="21"/>
                <w:szCs w:val="21"/>
                <w:highlight w:val="none"/>
                <w:vertAlign w:val="subscript"/>
                <w:lang w:val="en-US" w:eastAsia="zh-CN"/>
              </w:rPr>
              <w:t>2</w:t>
            </w:r>
            <w:r>
              <w:rPr>
                <w:rFonts w:hint="eastAsia" w:ascii="Times New Roman" w:hAnsi="Times New Roman" w:cs="Times New Roman"/>
                <w:color w:val="auto"/>
                <w:sz w:val="21"/>
                <w:szCs w:val="21"/>
                <w:highlight w:val="none"/>
                <w:vertAlign w:val="baseline"/>
                <w:lang w:val="en-US" w:eastAsia="zh-CN"/>
              </w:rPr>
              <w:t>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恶臭气体15m排气筒</w:t>
            </w:r>
          </w:p>
        </w:tc>
        <w:tc>
          <w:tcPr>
            <w:tcW w:w="6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eastAsia="Arial" w:cs="Times New Roman"/>
                <w:snapToGrid w:val="0"/>
                <w:color w:val="auto"/>
                <w:kern w:val="0"/>
                <w:sz w:val="21"/>
                <w:szCs w:val="21"/>
                <w:highlight w:val="none"/>
                <w:vertAlign w:val="baseline"/>
                <w:lang w:val="en-US" w:eastAsia="zh-CN"/>
              </w:rPr>
              <w:t>124.270592109,45.740838926</w:t>
            </w:r>
          </w:p>
        </w:tc>
        <w:tc>
          <w:tcPr>
            <w:tcW w:w="63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129.3</w:t>
            </w:r>
          </w:p>
        </w:tc>
        <w:tc>
          <w:tcPr>
            <w:tcW w:w="38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c>
          <w:tcPr>
            <w:tcW w:w="3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0.3</w:t>
            </w:r>
          </w:p>
        </w:tc>
        <w:tc>
          <w:tcPr>
            <w:tcW w:w="36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5000</w:t>
            </w:r>
          </w:p>
        </w:tc>
        <w:tc>
          <w:tcPr>
            <w:tcW w:w="35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常温</w:t>
            </w:r>
          </w:p>
        </w:tc>
        <w:tc>
          <w:tcPr>
            <w:tcW w:w="32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8760</w:t>
            </w:r>
          </w:p>
        </w:tc>
        <w:tc>
          <w:tcPr>
            <w:tcW w:w="41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正常排放</w:t>
            </w:r>
          </w:p>
        </w:tc>
        <w:tc>
          <w:tcPr>
            <w:tcW w:w="82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0.0076</w:t>
            </w:r>
          </w:p>
        </w:tc>
        <w:tc>
          <w:tcPr>
            <w:tcW w:w="89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cs="Times New Roman"/>
                <w:color w:val="auto"/>
                <w:sz w:val="21"/>
                <w:szCs w:val="21"/>
                <w:highlight w:val="none"/>
                <w:vertAlign w:val="baseline"/>
                <w:lang w:val="en-US" w:eastAsia="zh-CN"/>
              </w:rPr>
              <w:t>8.22E-05</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表2.4-3本项目面源参数一览表</w:t>
      </w:r>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29"/>
        <w:gridCol w:w="1957"/>
        <w:gridCol w:w="1279"/>
        <w:gridCol w:w="1099"/>
        <w:gridCol w:w="1099"/>
        <w:gridCol w:w="1099"/>
        <w:gridCol w:w="1099"/>
        <w:gridCol w:w="1099"/>
        <w:gridCol w:w="1101"/>
        <w:gridCol w:w="960"/>
        <w:gridCol w:w="960"/>
        <w:gridCol w:w="138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40" w:hRule="atLeast"/>
        </w:trPr>
        <w:tc>
          <w:tcPr>
            <w:tcW w:w="363"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名称</w:t>
            </w:r>
          </w:p>
        </w:tc>
        <w:tc>
          <w:tcPr>
            <w:tcW w:w="690"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坐标（°）</w:t>
            </w:r>
          </w:p>
        </w:tc>
        <w:tc>
          <w:tcPr>
            <w:tcW w:w="451"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面源海拔高度</w:t>
            </w:r>
            <w:r>
              <w:rPr>
                <w:rFonts w:hint="eastAsia" w:ascii="Times New Roman" w:hAnsi="Times New Roman" w:cs="Times New Roman"/>
                <w:color w:val="auto"/>
                <w:sz w:val="21"/>
                <w:szCs w:val="21"/>
                <w:highlight w:val="none"/>
                <w:vertAlign w:val="baseline"/>
                <w:lang w:val="en-US" w:eastAsia="zh-CN"/>
              </w:rPr>
              <w:t>/m</w:t>
            </w:r>
          </w:p>
        </w:tc>
        <w:tc>
          <w:tcPr>
            <w:tcW w:w="38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面源长度</w:t>
            </w:r>
            <w:r>
              <w:rPr>
                <w:rFonts w:hint="eastAsia" w:ascii="Times New Roman" w:hAnsi="Times New Roman" w:cs="Times New Roman"/>
                <w:color w:val="auto"/>
                <w:sz w:val="21"/>
                <w:szCs w:val="21"/>
                <w:highlight w:val="none"/>
                <w:vertAlign w:val="baseline"/>
                <w:lang w:val="en-US" w:eastAsia="zh-CN"/>
              </w:rPr>
              <w:t>/m</w:t>
            </w:r>
          </w:p>
        </w:tc>
        <w:tc>
          <w:tcPr>
            <w:tcW w:w="38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面源宽度</w:t>
            </w:r>
            <w:r>
              <w:rPr>
                <w:rFonts w:hint="eastAsia" w:ascii="Times New Roman" w:hAnsi="Times New Roman" w:cs="Times New Roman"/>
                <w:color w:val="auto"/>
                <w:sz w:val="21"/>
                <w:szCs w:val="21"/>
                <w:highlight w:val="none"/>
                <w:vertAlign w:val="baseline"/>
                <w:lang w:val="en-US" w:eastAsia="zh-CN"/>
              </w:rPr>
              <w:t>/m</w:t>
            </w:r>
          </w:p>
        </w:tc>
        <w:tc>
          <w:tcPr>
            <w:tcW w:w="38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与正北向</w:t>
            </w:r>
            <w:r>
              <w:rPr>
                <w:rFonts w:hint="eastAsia" w:ascii="Times New Roman" w:hAnsi="Times New Roman" w:cs="Times New Roman"/>
                <w:color w:val="auto"/>
                <w:sz w:val="21"/>
                <w:szCs w:val="21"/>
                <w:highlight w:val="none"/>
                <w:vertAlign w:val="baseline"/>
                <w:lang w:val="en-US" w:eastAsia="zh-CN"/>
              </w:rPr>
              <w:t>夹角/°</w:t>
            </w:r>
          </w:p>
        </w:tc>
        <w:tc>
          <w:tcPr>
            <w:tcW w:w="38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面源有效排放</w:t>
            </w:r>
            <w:r>
              <w:rPr>
                <w:rFonts w:hint="eastAsia" w:ascii="Times New Roman" w:hAnsi="Times New Roman" w:cs="Times New Roman"/>
                <w:color w:val="auto"/>
                <w:sz w:val="21"/>
                <w:szCs w:val="21"/>
                <w:highlight w:val="none"/>
                <w:vertAlign w:val="baseline"/>
                <w:lang w:val="en-US" w:eastAsia="zh-CN"/>
              </w:rPr>
              <w:t>高度/m</w:t>
            </w:r>
          </w:p>
        </w:tc>
        <w:tc>
          <w:tcPr>
            <w:tcW w:w="38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年排放</w:t>
            </w:r>
            <w:r>
              <w:rPr>
                <w:rFonts w:hint="eastAsia" w:ascii="Times New Roman" w:hAnsi="Times New Roman" w:cs="Times New Roman"/>
                <w:color w:val="auto"/>
                <w:sz w:val="21"/>
                <w:szCs w:val="21"/>
                <w:highlight w:val="none"/>
                <w:vertAlign w:val="baseline"/>
                <w:lang w:val="en-US" w:eastAsia="zh-CN"/>
              </w:rPr>
              <w:t>小时/h</w:t>
            </w:r>
          </w:p>
        </w:tc>
        <w:tc>
          <w:tcPr>
            <w:tcW w:w="388"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排放工况</w:t>
            </w:r>
          </w:p>
        </w:tc>
        <w:tc>
          <w:tcPr>
            <w:tcW w:w="1165" w:type="pct"/>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污染物排放速率</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kg/h</w:t>
            </w: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6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9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p>
        </w:tc>
        <w:tc>
          <w:tcPr>
            <w:tcW w:w="451"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38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38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38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38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38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388"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33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NH</w:t>
            </w:r>
            <w:r>
              <w:rPr>
                <w:rFonts w:hint="eastAsia" w:ascii="Times New Roman" w:hAnsi="Times New Roman" w:cs="Times New Roman"/>
                <w:color w:val="auto"/>
                <w:sz w:val="21"/>
                <w:szCs w:val="21"/>
                <w:highlight w:val="none"/>
                <w:vertAlign w:val="subscript"/>
                <w:lang w:val="en-US" w:eastAsia="zh-CN"/>
              </w:rPr>
              <w:t>3</w:t>
            </w:r>
          </w:p>
        </w:tc>
        <w:tc>
          <w:tcPr>
            <w:tcW w:w="33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H</w:t>
            </w:r>
            <w:r>
              <w:rPr>
                <w:rFonts w:hint="eastAsia" w:ascii="Times New Roman" w:hAnsi="Times New Roman" w:cs="Times New Roman"/>
                <w:color w:val="auto"/>
                <w:sz w:val="21"/>
                <w:szCs w:val="21"/>
                <w:highlight w:val="none"/>
                <w:vertAlign w:val="subscript"/>
                <w:lang w:val="en-US" w:eastAsia="zh-CN"/>
              </w:rPr>
              <w:t>2</w:t>
            </w:r>
            <w:r>
              <w:rPr>
                <w:rFonts w:hint="eastAsia" w:ascii="Times New Roman" w:hAnsi="Times New Roman" w:cs="Times New Roman"/>
                <w:color w:val="auto"/>
                <w:sz w:val="21"/>
                <w:szCs w:val="21"/>
                <w:highlight w:val="none"/>
                <w:vertAlign w:val="baseline"/>
                <w:lang w:val="en-US" w:eastAsia="zh-CN"/>
              </w:rPr>
              <w:t>S</w:t>
            </w:r>
          </w:p>
        </w:tc>
        <w:tc>
          <w:tcPr>
            <w:tcW w:w="4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非甲烷总烃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6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预处理车间</w:t>
            </w:r>
          </w:p>
        </w:tc>
        <w:tc>
          <w:tcPr>
            <w:tcW w:w="69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cs="Times New Roman"/>
                <w:color w:val="auto"/>
                <w:sz w:val="21"/>
                <w:szCs w:val="21"/>
                <w:highlight w:val="none"/>
                <w:vertAlign w:val="baseline"/>
                <w:lang w:val="en-US" w:eastAsia="zh-CN"/>
              </w:rPr>
              <w:t>124.269808935,45.740767887</w:t>
            </w:r>
          </w:p>
        </w:tc>
        <w:tc>
          <w:tcPr>
            <w:tcW w:w="45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128.7</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62</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22</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15</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5</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8760</w:t>
            </w:r>
          </w:p>
        </w:tc>
        <w:tc>
          <w:tcPr>
            <w:tcW w:w="38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正常</w:t>
            </w:r>
          </w:p>
        </w:tc>
        <w:tc>
          <w:tcPr>
            <w:tcW w:w="9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0.017</w:t>
            </w:r>
          </w:p>
        </w:tc>
        <w:tc>
          <w:tcPr>
            <w:tcW w:w="9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0.0002</w:t>
            </w:r>
          </w:p>
        </w:tc>
        <w:tc>
          <w:tcPr>
            <w:tcW w:w="138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6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污油储罐区</w:t>
            </w:r>
          </w:p>
        </w:tc>
        <w:tc>
          <w:tcPr>
            <w:tcW w:w="69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124.269361408,45.740411220</w:t>
            </w:r>
          </w:p>
        </w:tc>
        <w:tc>
          <w:tcPr>
            <w:tcW w:w="45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129.1</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13</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13</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8760</w:t>
            </w:r>
          </w:p>
        </w:tc>
        <w:tc>
          <w:tcPr>
            <w:tcW w:w="38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正常</w:t>
            </w:r>
          </w:p>
        </w:tc>
        <w:tc>
          <w:tcPr>
            <w:tcW w:w="9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9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38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6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储液池区域</w:t>
            </w:r>
          </w:p>
        </w:tc>
        <w:tc>
          <w:tcPr>
            <w:tcW w:w="69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124.267041383,45.739006716</w:t>
            </w:r>
          </w:p>
        </w:tc>
        <w:tc>
          <w:tcPr>
            <w:tcW w:w="45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128.2-129.4</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186</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323</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8760</w:t>
            </w:r>
          </w:p>
        </w:tc>
        <w:tc>
          <w:tcPr>
            <w:tcW w:w="38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正常</w:t>
            </w:r>
          </w:p>
        </w:tc>
        <w:tc>
          <w:tcPr>
            <w:tcW w:w="9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9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38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0.000</w:t>
            </w:r>
            <w:r>
              <w:rPr>
                <w:rFonts w:hint="eastAsia" w:cs="Times New Roman"/>
                <w:color w:val="auto"/>
                <w:sz w:val="21"/>
                <w:szCs w:val="21"/>
                <w:highlight w:val="none"/>
                <w:vertAlign w:val="baseline"/>
                <w:lang w:val="en-US" w:eastAsia="zh-CN"/>
              </w:rPr>
              <w:t>5</w:t>
            </w:r>
          </w:p>
        </w:tc>
      </w:tr>
    </w:tbl>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p>
    <w:p>
      <w:pPr>
        <w:rPr>
          <w:rFonts w:hint="eastAsia" w:ascii="Times New Roman" w:hAnsi="Times New Roman"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cs="Times New Roman"/>
          <w:b/>
          <w:bCs/>
          <w:caps w:val="0"/>
          <w:smallCaps w:val="0"/>
          <w:color w:val="auto"/>
          <w:spacing w:val="0"/>
          <w:w w:val="100"/>
          <w:kern w:val="0"/>
          <w:sz w:val="21"/>
          <w:szCs w:val="21"/>
          <w:highlight w:val="none"/>
          <w:vertAlign w:val="baseline"/>
          <w:lang w:val="en-US" w:eastAsia="zh-CN" w:bidi="ar-SA"/>
        </w:rPr>
        <w:br w:type="page"/>
      </w:r>
    </w:p>
    <w:p>
      <w:pPr>
        <w:rPr>
          <w:rFonts w:hint="eastAsia"/>
          <w:color w:val="auto"/>
          <w:highlight w:val="none"/>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根据大气导则推荐的大气估算工具（AERSCREEN），按照排放参数，估算模型参数见表2.4-4，计算结果见表2.4-5。</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cs="Times New Roman"/>
          <w:b/>
          <w:bCs/>
          <w:caps w:val="0"/>
          <w:smallCaps w:val="0"/>
          <w:color w:val="auto"/>
          <w:spacing w:val="0"/>
          <w:w w:val="100"/>
          <w:kern w:val="0"/>
          <w:sz w:val="21"/>
          <w:szCs w:val="21"/>
          <w:highlight w:val="none"/>
          <w:vertAlign w:val="baseline"/>
          <w:lang w:val="en-US" w:eastAsia="zh-CN" w:bidi="ar-SA"/>
        </w:rPr>
        <w:t>表2.4-4估算模型参数表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982"/>
        <w:gridCol w:w="3695"/>
        <w:gridCol w:w="28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参数</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取值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82"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城市/农村选项</w:t>
            </w:r>
          </w:p>
        </w:tc>
        <w:tc>
          <w:tcPr>
            <w:tcW w:w="36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城市/农村</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农村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8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36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人口数 （城市选项时）</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最高环境温度/    ℃</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38.9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最低环境温度/    ℃</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-36.2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土地利用类型</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耕地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区域湿度条件</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中等湿润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82"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是否考虑地形</w:t>
            </w:r>
          </w:p>
        </w:tc>
        <w:tc>
          <w:tcPr>
            <w:tcW w:w="36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考虑地形</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☑是  □否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8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36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地形数据分辨率/m</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82"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是否考虑岸线熏烟</w:t>
            </w:r>
          </w:p>
        </w:tc>
        <w:tc>
          <w:tcPr>
            <w:tcW w:w="36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考虑岸线熏烟</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□是  ☑否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8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36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岸线距离/km</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8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36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岸线方向/°</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表2.4-5主要污染物Pmax和D10%计算结果表</w:t>
      </w:r>
    </w:p>
    <w:tbl>
      <w:tblPr>
        <w:tblStyle w:val="16"/>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701"/>
        <w:gridCol w:w="1701"/>
        <w:gridCol w:w="1701"/>
        <w:gridCol w:w="1704"/>
        <w:gridCol w:w="170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污染源名称</w:t>
            </w:r>
          </w:p>
        </w:tc>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评价因子</w:t>
            </w:r>
          </w:p>
        </w:tc>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C</w:t>
            </w:r>
            <w:r>
              <w:rPr>
                <w:rFonts w:hint="eastAsia" w:ascii="Times New Roman" w:hAnsi="Times New Roman" w:eastAsia="宋体" w:cs="Times New Roman"/>
                <w:color w:val="auto"/>
                <w:sz w:val="21"/>
                <w:szCs w:val="21"/>
                <w:highlight w:val="none"/>
                <w:vertAlign w:val="subscript"/>
                <w:lang w:val="en-US" w:eastAsia="zh-CN"/>
              </w:rPr>
              <w:t>max</w:t>
            </w:r>
            <w:r>
              <w:rPr>
                <w:rFonts w:hint="eastAsia" w:ascii="Times New Roman" w:hAnsi="Times New Roman" w:eastAsia="宋体"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m</w:t>
            </w:r>
            <w:r>
              <w:rPr>
                <w:rFonts w:hint="eastAsia" w:ascii="Times New Roman" w:hAnsi="Times New Roman" w:eastAsia="宋体" w:cs="Times New Roman"/>
                <w:color w:val="auto"/>
                <w:sz w:val="21"/>
                <w:szCs w:val="21"/>
                <w:highlight w:val="none"/>
                <w:vertAlign w:val="baseline"/>
                <w:lang w:val="en-US" w:eastAsia="zh-CN"/>
              </w:rPr>
              <w:t>g/m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vertAlign w:val="baseline"/>
                <w:lang w:val="en-US" w:eastAsia="zh-CN"/>
              </w:rPr>
              <w:t>）</w:t>
            </w:r>
          </w:p>
        </w:tc>
        <w:tc>
          <w:tcPr>
            <w:tcW w:w="10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P</w:t>
            </w:r>
            <w:r>
              <w:rPr>
                <w:rFonts w:hint="eastAsia" w:ascii="Times New Roman" w:hAnsi="Times New Roman" w:eastAsia="宋体" w:cs="Times New Roman"/>
                <w:color w:val="auto"/>
                <w:sz w:val="21"/>
                <w:szCs w:val="21"/>
                <w:highlight w:val="none"/>
                <w:vertAlign w:val="subscript"/>
                <w:lang w:val="en-US" w:eastAsia="zh-CN"/>
              </w:rPr>
              <w:t>max</w:t>
            </w:r>
            <w:r>
              <w:rPr>
                <w:rFonts w:hint="eastAsia" w:ascii="Times New Roman" w:hAnsi="Times New Roman" w:eastAsia="宋体" w:cs="Times New Roman"/>
                <w:color w:val="auto"/>
                <w:sz w:val="21"/>
                <w:szCs w:val="21"/>
                <w:highlight w:val="none"/>
                <w:vertAlign w:val="baseline"/>
                <w:lang w:val="en-US" w:eastAsia="zh-CN"/>
              </w:rPr>
              <w:t>（%）</w:t>
            </w:r>
          </w:p>
        </w:tc>
        <w:tc>
          <w:tcPr>
            <w:tcW w:w="10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D</w:t>
            </w:r>
            <w:r>
              <w:rPr>
                <w:rFonts w:hint="eastAsia" w:ascii="Times New Roman" w:hAnsi="Times New Roman" w:eastAsia="宋体" w:cs="Times New Roman"/>
                <w:color w:val="auto"/>
                <w:sz w:val="21"/>
                <w:szCs w:val="21"/>
                <w:highlight w:val="none"/>
                <w:vertAlign w:val="subscript"/>
                <w:lang w:val="en-US" w:eastAsia="zh-CN"/>
              </w:rPr>
              <w:t>10%</w:t>
            </w:r>
            <w:r>
              <w:rPr>
                <w:rFonts w:hint="eastAsia" w:ascii="Times New Roman" w:hAnsi="Times New Roman" w:eastAsia="宋体" w:cs="Times New Roman"/>
                <w:color w:val="auto"/>
                <w:sz w:val="21"/>
                <w:szCs w:val="21"/>
                <w:highlight w:val="none"/>
                <w:vertAlign w:val="baseline"/>
                <w:lang w:val="en-US" w:eastAsia="zh-CN"/>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9"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恶臭气体排气筒</w:t>
            </w:r>
          </w:p>
        </w:tc>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氨</w:t>
            </w:r>
          </w:p>
        </w:tc>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olor w:val="auto"/>
                <w:highlight w:val="none"/>
              </w:rPr>
              <w:t>3.25E-04</w:t>
            </w:r>
          </w:p>
        </w:tc>
        <w:tc>
          <w:tcPr>
            <w:tcW w:w="10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olor w:val="auto"/>
                <w:highlight w:val="none"/>
              </w:rPr>
              <w:t>0.16</w:t>
            </w:r>
          </w:p>
        </w:tc>
        <w:tc>
          <w:tcPr>
            <w:tcW w:w="1001"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9"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Cs w:val="21"/>
                <w:highlight w:val="none"/>
                <w:lang w:val="en-US" w:eastAsia="zh-CN"/>
              </w:rPr>
              <w:t>硫化氢</w:t>
            </w:r>
          </w:p>
        </w:tc>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olor w:val="auto"/>
                <w:highlight w:val="none"/>
              </w:rPr>
              <w:t>3.49E-06</w:t>
            </w:r>
          </w:p>
        </w:tc>
        <w:tc>
          <w:tcPr>
            <w:tcW w:w="10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olor w:val="auto"/>
                <w:highlight w:val="none"/>
                <w:lang w:val="en-US" w:eastAsia="zh-CN"/>
              </w:rPr>
              <w:t>3.49E-04</w:t>
            </w:r>
          </w:p>
        </w:tc>
        <w:tc>
          <w:tcPr>
            <w:tcW w:w="1001"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9"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预处理车间</w:t>
            </w:r>
          </w:p>
        </w:tc>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氨</w:t>
            </w:r>
          </w:p>
        </w:tc>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3.71E-03</w:t>
            </w:r>
          </w:p>
        </w:tc>
        <w:tc>
          <w:tcPr>
            <w:tcW w:w="10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1.86</w:t>
            </w:r>
          </w:p>
        </w:tc>
        <w:tc>
          <w:tcPr>
            <w:tcW w:w="1001"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9"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Cs w:val="21"/>
                <w:highlight w:val="none"/>
                <w:lang w:val="en-US" w:eastAsia="zh-CN"/>
              </w:rPr>
              <w:t>硫化氢</w:t>
            </w:r>
          </w:p>
        </w:tc>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8.25E-05</w:t>
            </w:r>
          </w:p>
        </w:tc>
        <w:tc>
          <w:tcPr>
            <w:tcW w:w="10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0.83</w:t>
            </w:r>
          </w:p>
        </w:tc>
        <w:tc>
          <w:tcPr>
            <w:tcW w:w="1001"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9"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非甲烷总烃</w:t>
            </w:r>
          </w:p>
        </w:tc>
        <w:tc>
          <w:tcPr>
            <w:tcW w:w="1701"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olor w:val="auto"/>
                <w:highlight w:val="none"/>
                <w:lang w:val="en-US" w:eastAsia="zh-CN"/>
              </w:rPr>
            </w:pPr>
            <w:r>
              <w:rPr>
                <w:rFonts w:hint="default"/>
                <w:color w:val="auto"/>
                <w:highlight w:val="none"/>
                <w:lang w:val="en-US" w:eastAsia="zh-CN"/>
              </w:rPr>
              <w:t>3.30E-05</w:t>
            </w:r>
          </w:p>
        </w:tc>
        <w:tc>
          <w:tcPr>
            <w:tcW w:w="17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olor w:val="auto"/>
                <w:highlight w:val="none"/>
                <w:lang w:val="en-US" w:eastAsia="zh-CN"/>
              </w:rPr>
            </w:pPr>
            <w:r>
              <w:rPr>
                <w:rFonts w:hint="default"/>
                <w:color w:val="auto"/>
                <w:highlight w:val="none"/>
                <w:lang w:val="en-US" w:eastAsia="zh-CN"/>
              </w:rPr>
              <w:t>1.65E-03</w:t>
            </w:r>
          </w:p>
        </w:tc>
        <w:tc>
          <w:tcPr>
            <w:tcW w:w="1001"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污油储罐区</w:t>
            </w:r>
          </w:p>
        </w:tc>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非甲烷总烃</w:t>
            </w:r>
          </w:p>
        </w:tc>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olor w:val="auto"/>
                <w:highlight w:val="none"/>
                <w:lang w:val="en-US" w:eastAsia="zh-CN"/>
              </w:rPr>
            </w:pPr>
            <w:r>
              <w:rPr>
                <w:rFonts w:hint="eastAsia"/>
                <w:color w:val="auto"/>
                <w:highlight w:val="none"/>
              </w:rPr>
              <w:t>3.68E-03</w:t>
            </w:r>
          </w:p>
        </w:tc>
        <w:tc>
          <w:tcPr>
            <w:tcW w:w="10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olor w:val="auto"/>
                <w:highlight w:val="none"/>
                <w:lang w:val="en-US" w:eastAsia="zh-CN"/>
              </w:rPr>
            </w:pPr>
            <w:r>
              <w:rPr>
                <w:rFonts w:hint="eastAsia"/>
                <w:color w:val="auto"/>
                <w:highlight w:val="none"/>
              </w:rPr>
              <w:t>0.18</w:t>
            </w:r>
          </w:p>
        </w:tc>
        <w:tc>
          <w:tcPr>
            <w:tcW w:w="10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储液池区域</w:t>
            </w:r>
          </w:p>
        </w:tc>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非甲烷总烃</w:t>
            </w:r>
          </w:p>
        </w:tc>
        <w:tc>
          <w:tcPr>
            <w:tcW w:w="9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olor w:val="auto"/>
                <w:highlight w:val="none"/>
                <w:lang w:val="en-US" w:eastAsia="zh-CN"/>
              </w:rPr>
            </w:pPr>
            <w:r>
              <w:rPr>
                <w:rFonts w:hint="eastAsia"/>
                <w:color w:val="auto"/>
                <w:highlight w:val="none"/>
              </w:rPr>
              <w:t>1.01E-05</w:t>
            </w:r>
          </w:p>
        </w:tc>
        <w:tc>
          <w:tcPr>
            <w:tcW w:w="10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olor w:val="auto"/>
                <w:highlight w:val="none"/>
                <w:lang w:val="en-US" w:eastAsia="zh-CN"/>
              </w:rPr>
            </w:pPr>
            <w:r>
              <w:rPr>
                <w:rFonts w:hint="eastAsia"/>
                <w:color w:val="auto"/>
                <w:highlight w:val="none"/>
                <w:lang w:val="en-US" w:eastAsia="zh-CN"/>
              </w:rPr>
              <w:t>5.51E-04</w:t>
            </w:r>
          </w:p>
        </w:tc>
        <w:tc>
          <w:tcPr>
            <w:tcW w:w="10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bl>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b w:val="0"/>
          <w:caps w:val="0"/>
          <w:smallCaps w:val="0"/>
          <w:snapToGrid/>
          <w:color w:val="auto"/>
          <w:spacing w:val="0"/>
          <w:w w:val="100"/>
          <w:kern w:val="0"/>
          <w:sz w:val="24"/>
          <w:szCs w:val="24"/>
          <w:highlight w:val="none"/>
          <w:lang w:val="en-US" w:eastAsia="zh-CN" w:bidi="ar-SA"/>
        </w:rPr>
        <w:t>根</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据《环境影响评价技术导则 大气环境》（HJ2.2-20</w:t>
      </w:r>
      <w:r>
        <w:rPr>
          <w:rFonts w:hint="eastAsia" w:cs="Times New Roman"/>
          <w:caps w:val="0"/>
          <w:smallCaps w:val="0"/>
          <w:snapToGrid/>
          <w:color w:val="auto"/>
          <w:spacing w:val="0"/>
          <w:w w:val="100"/>
          <w:kern w:val="0"/>
          <w:sz w:val="24"/>
          <w:szCs w:val="24"/>
          <w:highlight w:val="none"/>
          <w:lang w:val="en-US" w:eastAsia="zh-CN" w:bidi="ar-SA"/>
        </w:rPr>
        <w:t>18</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）判定，本项目大气环境评价工作等级为二级。具体判定情况见表2.4-6。</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表2.4-6本项目大气环境评价等级一览表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29"/>
        <w:gridCol w:w="2129"/>
        <w:gridCol w:w="2129"/>
        <w:gridCol w:w="21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评价工作分级判据</w:t>
            </w:r>
          </w:p>
        </w:tc>
        <w:tc>
          <w:tcPr>
            <w:tcW w:w="2129"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vertAlign w:val="baseline"/>
                <w:lang w:val="en-US" w:eastAsia="zh-CN"/>
              </w:rPr>
            </w:pPr>
            <w:r>
              <w:rPr>
                <w:rStyle w:val="23"/>
                <w:color w:val="auto"/>
                <w:highlight w:val="none"/>
                <w:lang w:val="en-US" w:eastAsia="zh-CN" w:bidi="ar"/>
              </w:rPr>
              <w:t>一级</w:t>
            </w:r>
          </w:p>
        </w:tc>
        <w:tc>
          <w:tcPr>
            <w:tcW w:w="2129"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vertAlign w:val="baseline"/>
                <w:lang w:val="en-US" w:eastAsia="zh-CN"/>
              </w:rPr>
            </w:pPr>
            <w:r>
              <w:rPr>
                <w:rStyle w:val="23"/>
                <w:color w:val="auto"/>
                <w:highlight w:val="none"/>
                <w:lang w:val="en-US" w:eastAsia="zh-CN" w:bidi="ar"/>
              </w:rPr>
              <w:t>二级</w:t>
            </w:r>
          </w:p>
        </w:tc>
        <w:tc>
          <w:tcPr>
            <w:tcW w:w="2129"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vertAlign w:val="baseline"/>
                <w:lang w:val="en-US" w:eastAsia="zh-CN"/>
              </w:rPr>
            </w:pPr>
            <w:r>
              <w:rPr>
                <w:rStyle w:val="23"/>
                <w:color w:val="auto"/>
                <w:highlight w:val="none"/>
                <w:lang w:val="en-US" w:eastAsia="zh-CN" w:bidi="ar"/>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vertAlign w:val="baseline"/>
                <w:lang w:val="en-US" w:eastAsia="zh-CN"/>
              </w:rPr>
            </w:pPr>
            <w:r>
              <w:rPr>
                <w:rStyle w:val="24"/>
                <w:rFonts w:eastAsia="宋体"/>
                <w:color w:val="auto"/>
                <w:highlight w:val="none"/>
                <w:lang w:val="en-US" w:eastAsia="zh-CN" w:bidi="ar"/>
              </w:rPr>
              <w:t>Pmax</w:t>
            </w:r>
            <w:r>
              <w:rPr>
                <w:rStyle w:val="23"/>
                <w:color w:val="auto"/>
                <w:highlight w:val="none"/>
                <w:lang w:val="en-US" w:eastAsia="zh-CN" w:bidi="ar"/>
              </w:rPr>
              <w:t>≥</w:t>
            </w:r>
            <w:r>
              <w:rPr>
                <w:rStyle w:val="24"/>
                <w:rFonts w:eastAsia="宋体"/>
                <w:color w:val="auto"/>
                <w:highlight w:val="none"/>
                <w:lang w:val="en-US" w:eastAsia="zh-CN" w:bidi="ar"/>
              </w:rPr>
              <w:t>10%</w:t>
            </w:r>
          </w:p>
        </w:tc>
        <w:tc>
          <w:tcPr>
            <w:tcW w:w="2129"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vertAlign w:val="baseline"/>
                <w:lang w:val="en-US" w:eastAsia="zh-CN"/>
              </w:rPr>
            </w:pPr>
            <w:r>
              <w:rPr>
                <w:rStyle w:val="24"/>
                <w:rFonts w:eastAsia="宋体"/>
                <w:color w:val="auto"/>
                <w:highlight w:val="none"/>
                <w:lang w:val="en-US" w:eastAsia="zh-CN" w:bidi="ar"/>
              </w:rPr>
              <w:t>1%</w:t>
            </w:r>
            <w:r>
              <w:rPr>
                <w:rStyle w:val="23"/>
                <w:color w:val="auto"/>
                <w:highlight w:val="none"/>
                <w:lang w:val="en-US" w:eastAsia="zh-CN" w:bidi="ar"/>
              </w:rPr>
              <w:t>≤</w:t>
            </w:r>
            <w:r>
              <w:rPr>
                <w:rStyle w:val="24"/>
                <w:rFonts w:eastAsia="宋体"/>
                <w:color w:val="auto"/>
                <w:highlight w:val="none"/>
                <w:lang w:val="en-US" w:eastAsia="zh-CN" w:bidi="ar"/>
              </w:rPr>
              <w:t>Pmax&lt;10%</w:t>
            </w:r>
          </w:p>
        </w:tc>
        <w:tc>
          <w:tcPr>
            <w:tcW w:w="2129"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vertAlign w:val="baseline"/>
                <w:lang w:val="en-US" w:eastAsia="zh-CN"/>
              </w:rPr>
            </w:pPr>
            <w:r>
              <w:rPr>
                <w:rStyle w:val="24"/>
                <w:rFonts w:eastAsia="宋体"/>
                <w:color w:val="auto"/>
                <w:highlight w:val="none"/>
                <w:lang w:val="en-US" w:eastAsia="zh-CN" w:bidi="ar"/>
              </w:rPr>
              <w:t>Pmax&lt;1%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本项目情况</w:t>
            </w:r>
          </w:p>
        </w:tc>
        <w:tc>
          <w:tcPr>
            <w:tcW w:w="6387"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olor w:val="auto"/>
                <w:highlight w:val="none"/>
              </w:rPr>
              <w:t>1.86</w:t>
            </w: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评价等级</w:t>
            </w:r>
          </w:p>
        </w:tc>
        <w:tc>
          <w:tcPr>
            <w:tcW w:w="6387"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二级</w:t>
            </w:r>
          </w:p>
        </w:tc>
      </w:tr>
    </w:tbl>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b w:val="0"/>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b w:val="0"/>
          <w:caps w:val="0"/>
          <w:smallCaps w:val="0"/>
          <w:snapToGrid/>
          <w:color w:val="auto"/>
          <w:spacing w:val="0"/>
          <w:w w:val="100"/>
          <w:kern w:val="0"/>
          <w:sz w:val="24"/>
          <w:szCs w:val="24"/>
          <w:highlight w:val="none"/>
          <w:lang w:val="en-US" w:eastAsia="zh-CN" w:bidi="ar-SA"/>
        </w:rPr>
        <w:t>（2）评价范围</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b w:val="0"/>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b w:val="0"/>
          <w:caps w:val="0"/>
          <w:smallCaps w:val="0"/>
          <w:snapToGrid/>
          <w:color w:val="auto"/>
          <w:spacing w:val="0"/>
          <w:w w:val="100"/>
          <w:kern w:val="0"/>
          <w:sz w:val="24"/>
          <w:szCs w:val="24"/>
          <w:highlight w:val="none"/>
          <w:lang w:val="en-US" w:eastAsia="zh-CN" w:bidi="ar-SA"/>
        </w:rPr>
        <w:t>本项目大气评价范围</w:t>
      </w:r>
      <w:r>
        <w:rPr>
          <w:rFonts w:hint="eastAsia" w:cs="Times New Roman"/>
          <w:b w:val="0"/>
          <w:caps w:val="0"/>
          <w:smallCaps w:val="0"/>
          <w:snapToGrid/>
          <w:color w:val="auto"/>
          <w:spacing w:val="0"/>
          <w:w w:val="100"/>
          <w:kern w:val="0"/>
          <w:sz w:val="24"/>
          <w:szCs w:val="24"/>
          <w:highlight w:val="none"/>
          <w:lang w:val="en-US" w:eastAsia="zh-CN" w:bidi="ar-SA"/>
        </w:rPr>
        <w:t>以3#服务站站址</w:t>
      </w:r>
      <w:r>
        <w:rPr>
          <w:rFonts w:hint="eastAsia" w:ascii="Times New Roman" w:hAnsi="Times New Roman" w:eastAsia="宋体" w:cs="Times New Roman"/>
          <w:b w:val="0"/>
          <w:caps w:val="0"/>
          <w:smallCaps w:val="0"/>
          <w:snapToGrid/>
          <w:color w:val="auto"/>
          <w:spacing w:val="0"/>
          <w:w w:val="100"/>
          <w:kern w:val="0"/>
          <w:sz w:val="24"/>
          <w:szCs w:val="24"/>
          <w:highlight w:val="none"/>
          <w:lang w:val="en-US" w:eastAsia="zh-CN" w:bidi="ar-SA"/>
        </w:rPr>
        <w:t>中心区域，边长为5km的区域。</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2.4.2地表水环境</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（1）评价工作等级</w:t>
      </w:r>
    </w:p>
    <w:p>
      <w:pPr>
        <w:keepNext w:val="0"/>
        <w:keepLines w:val="0"/>
        <w:pageBreakBefore w:val="0"/>
        <w:widowControl w:val="0"/>
        <w:kinsoku/>
        <w:wordWrap/>
        <w:overflowPunct/>
        <w:topLinePunct w:val="0"/>
        <w:autoSpaceDE/>
        <w:autoSpaceDN/>
        <w:bidi w:val="0"/>
        <w:adjustRightInd/>
        <w:snapToGrid/>
        <w:spacing w:line="500" w:lineRule="exact"/>
        <w:ind w:firstLine="494" w:firstLineChars="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本项目处理达标</w:t>
      </w:r>
      <w:r>
        <w:rPr>
          <w:rFonts w:hint="eastAsia" w:cs="Times New Roman"/>
          <w:caps w:val="0"/>
          <w:smallCaps w:val="0"/>
          <w:snapToGrid/>
          <w:color w:val="auto"/>
          <w:spacing w:val="0"/>
          <w:w w:val="100"/>
          <w:kern w:val="0"/>
          <w:sz w:val="24"/>
          <w:szCs w:val="24"/>
          <w:highlight w:val="none"/>
          <w:lang w:val="en-US" w:eastAsia="zh-CN" w:bidi="ar-SA"/>
        </w:rPr>
        <w:t>中</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水回用于页岩油试验区压裂</w:t>
      </w:r>
      <w:r>
        <w:rPr>
          <w:rFonts w:hint="eastAsia" w:cs="Times New Roman"/>
          <w:caps w:val="0"/>
          <w:smallCaps w:val="0"/>
          <w:snapToGrid/>
          <w:color w:val="auto"/>
          <w:spacing w:val="0"/>
          <w:w w:val="100"/>
          <w:kern w:val="0"/>
          <w:sz w:val="24"/>
          <w:szCs w:val="24"/>
          <w:highlight w:val="none"/>
          <w:lang w:val="en-US" w:eastAsia="zh-CN" w:bidi="ar-SA"/>
        </w:rPr>
        <w:t>复配</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，不外排；运行期生活污水排入化粪池内，定期清掏，拉运至新站镇生活污水处理厂处理。根据《环境影响评价技术导则 地表水环境》（HJ2.3-2018），评价等级判别见表2.4-7。</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表2.4-7水污染影响型建设项目评价等级判定</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53"/>
        <w:gridCol w:w="2464"/>
        <w:gridCol w:w="419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5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评价等级</w:t>
            </w:r>
          </w:p>
        </w:tc>
        <w:tc>
          <w:tcPr>
            <w:tcW w:w="6663"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判定依据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5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24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排放方式</w:t>
            </w:r>
          </w:p>
        </w:tc>
        <w:tc>
          <w:tcPr>
            <w:tcW w:w="419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废水排放量Q/</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/d</w:t>
            </w:r>
            <w:r>
              <w:rPr>
                <w:rFonts w:hint="eastAsia" w:ascii="Times New Roman" w:hAnsi="Times New Roman" w:eastAsia="宋体" w:cs="Times New Roman"/>
                <w:color w:val="auto"/>
                <w:sz w:val="21"/>
                <w:szCs w:val="21"/>
                <w:highlight w:val="none"/>
                <w:vertAlign w:val="baseline"/>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水污染物当量数W/</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量纲</w:t>
            </w:r>
            <w:r>
              <w:rPr>
                <w:rFonts w:hint="eastAsia" w:ascii="Times New Roman" w:hAnsi="Times New Roman" w:eastAsia="宋体" w:cs="Times New Roman"/>
                <w:color w:val="auto"/>
                <w:sz w:val="21"/>
                <w:szCs w:val="21"/>
                <w:highlight w:val="none"/>
                <w:vertAlign w:val="baseline"/>
                <w:lang w:val="en-US" w:eastAsia="zh-CN"/>
              </w:rPr>
              <w:t>一）</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一级</w:t>
            </w:r>
          </w:p>
        </w:tc>
        <w:tc>
          <w:tcPr>
            <w:tcW w:w="24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直接排放</w:t>
            </w:r>
          </w:p>
        </w:tc>
        <w:tc>
          <w:tcPr>
            <w:tcW w:w="419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Q≥20000或W≥600000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二级</w:t>
            </w:r>
          </w:p>
        </w:tc>
        <w:tc>
          <w:tcPr>
            <w:tcW w:w="24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直接排放</w:t>
            </w:r>
          </w:p>
        </w:tc>
        <w:tc>
          <w:tcPr>
            <w:tcW w:w="419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其他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三级A</w:t>
            </w:r>
          </w:p>
        </w:tc>
        <w:tc>
          <w:tcPr>
            <w:tcW w:w="24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直接排放</w:t>
            </w:r>
          </w:p>
        </w:tc>
        <w:tc>
          <w:tcPr>
            <w:tcW w:w="419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Q＜200且W＜6000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三级B</w:t>
            </w:r>
          </w:p>
        </w:tc>
        <w:tc>
          <w:tcPr>
            <w:tcW w:w="24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间接排放</w:t>
            </w:r>
          </w:p>
        </w:tc>
        <w:tc>
          <w:tcPr>
            <w:tcW w:w="419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16" w:type="dxa"/>
            <w:gridSpan w:val="3"/>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注1：水污染物当量数等于该污染物的年排放量除以该污染物的污染当量值</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见附录A</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注3：厂区存在堆积物</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露天堆放的原料、燃料、废渣等以及垃圾堆放场</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、降尘污染的，应将初期雨污水纳入废水排放量，相应的主要污染物纳入水污染当量计算。</w:t>
            </w:r>
          </w:p>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注4：建设项目直接排放第一类污染物的，其评价等级为一级；建设项目直接排放的污染物为受纳水体超标因子的，评价等级不低于二级。</w:t>
            </w:r>
          </w:p>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注5：直接排放受纳水体影响范围涉及饮用水水源保护区、饮用水取水口、重点保护与珍稀水生生物的栖息地、重要水生生物的自然产卵场等保护目标时，评价等级不低于二级。</w:t>
            </w:r>
          </w:p>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注6：建设项目向河流、湖库排放温排水引起受纳水体水温变化超过水环境质量标准要求，且评价范围有水温敏感目标时，评价等级为一级。</w:t>
            </w:r>
          </w:p>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注7：建设项目利用海水作为调节温度介质，排水量≥500万m3/d，评价等级为一级；排水量＜500万m3/d，评价等级为二级。</w:t>
            </w:r>
          </w:p>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注8：仅涉及清净下水排放的，如其排放水质满足受纳水体水环境质量标准要求的，评价等级为三级A</w:t>
            </w:r>
          </w:p>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注9：依托现有排放口，且对外环境未新增排放污染物的直接排放建设项目，评价等级参照间接排放，定为三级B。</w:t>
            </w:r>
          </w:p>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注10：建设项目生产工艺中有废水产生，但作为回水利用，不排放到外环境的，按三级B评价。</w:t>
            </w:r>
          </w:p>
        </w:tc>
      </w:tr>
    </w:tbl>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本项目地表水环境</w:t>
      </w:r>
      <w:r>
        <w:rPr>
          <w:rFonts w:hint="eastAsia" w:cs="Times New Roman"/>
          <w:caps w:val="0"/>
          <w:smallCaps w:val="0"/>
          <w:snapToGrid/>
          <w:color w:val="auto"/>
          <w:spacing w:val="0"/>
          <w:w w:val="100"/>
          <w:kern w:val="0"/>
          <w:sz w:val="24"/>
          <w:szCs w:val="24"/>
          <w:highlight w:val="none"/>
          <w:lang w:val="en-US" w:eastAsia="zh-CN" w:bidi="ar-SA"/>
        </w:rPr>
        <w:t>判定</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等级为</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三级B</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（2）评价范围</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涉及地表水环境风险的，覆盖环境风险影响范围所及的水环境保护目标水域</w:t>
      </w:r>
      <w:r>
        <w:rPr>
          <w:rFonts w:hint="eastAsia"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2.4.3地下水环境</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（1）评价等级</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本项目属于《环境影响评价技术导则 地下水环境》（HJ610-2016）行业分类表中的U城镇基础设施及房地产中工业废水集中处理项目，属于Ⅰ类项目。建设项目的地下水环境敏感程度可分为敏感、较敏感、不敏感三级，分级原则见表2.4-8。</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表2.4-8地下水环境敏感程度分级表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714"/>
        <w:gridCol w:w="680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71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敏感程度</w:t>
            </w:r>
          </w:p>
        </w:tc>
        <w:tc>
          <w:tcPr>
            <w:tcW w:w="6802"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地下水环境敏感特征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1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敏感</w:t>
            </w:r>
          </w:p>
        </w:tc>
        <w:tc>
          <w:tcPr>
            <w:tcW w:w="6802"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1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较敏感</w:t>
            </w:r>
          </w:p>
        </w:tc>
        <w:tc>
          <w:tcPr>
            <w:tcW w:w="6802"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1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不敏感</w:t>
            </w:r>
          </w:p>
        </w:tc>
        <w:tc>
          <w:tcPr>
            <w:tcW w:w="6802"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上述地区之外的其它地区。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16" w:type="dxa"/>
            <w:gridSpan w:val="2"/>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环境敏感区</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是指《建设项目环境影响评价分类管理名录》中界定涉及地下水的环境敏感区</w:t>
            </w:r>
          </w:p>
        </w:tc>
      </w:tr>
    </w:tbl>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根据《优化评价内容 严控新增污染-&lt;环境影响评价技术导则 地下水环境&gt;解读》（梁鹏，环境保护部环境工程评估中心，2016.7），结合《饮用水水源保护区划分技术规范》（HJ338-2018），地下水敏感性判定依据见图2.</w:t>
      </w:r>
      <w:r>
        <w:rPr>
          <w:rFonts w:hint="eastAsia" w:cs="Times New Roman"/>
          <w:caps w:val="0"/>
          <w:smallCaps w:val="0"/>
          <w:snapToGrid/>
          <w:color w:val="auto"/>
          <w:spacing w:val="0"/>
          <w:w w:val="100"/>
          <w:kern w:val="0"/>
          <w:sz w:val="24"/>
          <w:szCs w:val="24"/>
          <w:highlight w:val="none"/>
          <w:lang w:val="en-US" w:eastAsia="zh-CN" w:bidi="ar-SA"/>
        </w:rPr>
        <w:t>4</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w:t>
      </w:r>
    </w:p>
    <w:p>
      <w:pPr>
        <w:pStyle w:val="11"/>
        <w:ind w:left="0" w:leftChars="0" w:firstLine="0" w:firstLineChars="0"/>
        <w:rPr>
          <w:rFonts w:hint="eastAsia"/>
          <w:color w:val="auto"/>
          <w:highlight w:val="none"/>
          <w:lang w:val="en-US" w:eastAsia="zh-CN"/>
        </w:rPr>
      </w:pPr>
      <w:r>
        <w:rPr>
          <w:rFonts w:hint="eastAsia"/>
          <w:color w:val="auto"/>
          <w:highlight w:val="none"/>
          <w:lang w:val="en-US" w:eastAsia="zh-CN"/>
        </w:rPr>
        <w:drawing>
          <wp:inline distT="0" distB="0" distL="114300" distR="114300">
            <wp:extent cx="5263515" cy="2260600"/>
            <wp:effectExtent l="0" t="0" r="13335" b="6350"/>
            <wp:docPr id="2" name="图片 2" descr="地下水判定依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地下水判定依据"/>
                    <pic:cNvPicPr>
                      <a:picLocks noChangeAspect="1"/>
                    </pic:cNvPicPr>
                  </pic:nvPicPr>
                  <pic:blipFill>
                    <a:blip r:embed="rId10"/>
                    <a:stretch>
                      <a:fillRect/>
                    </a:stretch>
                  </pic:blipFill>
                  <pic:spPr>
                    <a:xfrm>
                      <a:off x="0" y="0"/>
                      <a:ext cx="5263515" cy="226060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图2.4-1地下水判定依据</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经现场调查，本项目</w:t>
      </w:r>
      <w:r>
        <w:rPr>
          <w:rFonts w:hint="eastAsia" w:cs="Times New Roman"/>
          <w:caps w:val="0"/>
          <w:smallCaps w:val="0"/>
          <w:snapToGrid/>
          <w:color w:val="auto"/>
          <w:spacing w:val="0"/>
          <w:w w:val="100"/>
          <w:kern w:val="0"/>
          <w:sz w:val="24"/>
          <w:szCs w:val="24"/>
          <w:highlight w:val="none"/>
          <w:lang w:val="en-US" w:eastAsia="zh-CN" w:bidi="ar-SA"/>
        </w:rPr>
        <w:t>废水处理服务站站址附近有</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集中式饮用水源</w:t>
      </w:r>
      <w:r>
        <w:rPr>
          <w:rFonts w:hint="eastAsia" w:cs="Times New Roman"/>
          <w:caps w:val="0"/>
          <w:smallCaps w:val="0"/>
          <w:snapToGrid/>
          <w:color w:val="auto"/>
          <w:spacing w:val="0"/>
          <w:w w:val="100"/>
          <w:kern w:val="0"/>
          <w:sz w:val="24"/>
          <w:szCs w:val="24"/>
          <w:highlight w:val="none"/>
          <w:lang w:val="en-US" w:eastAsia="zh-CN" w:bidi="ar-SA"/>
        </w:rPr>
        <w:t>井1口，为发展村</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集中饮用水</w:t>
      </w:r>
      <w:r>
        <w:rPr>
          <w:rFonts w:hint="eastAsia" w:cs="Times New Roman"/>
          <w:caps w:val="0"/>
          <w:smallCaps w:val="0"/>
          <w:snapToGrid/>
          <w:color w:val="auto"/>
          <w:spacing w:val="0"/>
          <w:w w:val="100"/>
          <w:kern w:val="0"/>
          <w:sz w:val="24"/>
          <w:szCs w:val="24"/>
          <w:highlight w:val="none"/>
          <w:lang w:val="en-US" w:eastAsia="zh-CN" w:bidi="ar-SA"/>
        </w:rPr>
        <w:t>井（124.257038960,45.740906640），发展村水源为农村集中式饮用水源，供水人数大于1000人，已设立一级水源保护区（黑政函[2017]89号），一级保护区范围为：以水源井为中心，36m为半径的圆形区域，该水源为承压水源，不设二级保护区，为中小型。分散式饮用水源主要为村屯中单井饮用水源井，未划定保护区。</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管道铺设区域周围村屯有鸭木蛋格屯、道宝村、长发屯、长山屯、南烧锅屯、古龙镇、西葫芦代、河北村、大五家屯及新立屯散户。根据现场调查，其中古龙镇为集中式饮用水水源地，供周围长发屯、长山屯、南烧锅屯、古龙镇、西葫芦代等附近村屯饮用，供水人数超过1000人，道宝村及河北村为分散式饮用水水源地，其中道宝村供水井供道宝村及鸭木蛋格屯共同饮用，饮用人数约为800人，河北村供水井供河北村及大五家子屯共同饮用，饮用人数约为300人。管道铺设区域村屯供水井距离管道最近距离为605m。</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根据《饮用水水源保护区划分技术规范》（HJ338-2018）及《地下水型饮用水水源补给区划定技术指南》（试行）中地下水的补给径流区划分标准：对于仅划定了一级保护区的地下水型饮用水水源，以水源一级保护区边界为基准，流程时间相应增加1000天（即15年+1000天）。</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根据地下水导则地下水扩散公式：</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L=α×K×I×T/n</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e</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式中：L-下游迁移距离，m；</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α-变化系数，α≥1，一般取2；</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K-渗透系数，m/d；</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I-水力坡度；</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T-质点迁移天数；</w:t>
      </w:r>
    </w:p>
    <w:p>
      <w:pPr>
        <w:keepNext w:val="0"/>
        <w:keepLines w:val="0"/>
        <w:pageBreakBefore w:val="0"/>
        <w:widowControl w:val="0"/>
        <w:kinsoku/>
        <w:wordWrap/>
        <w:overflowPunct/>
        <w:topLinePunct w:val="0"/>
        <w:autoSpaceDE/>
        <w:autoSpaceDN/>
        <w:bidi w:val="0"/>
        <w:adjustRightInd/>
        <w:snapToGrid/>
        <w:spacing w:line="500" w:lineRule="exact"/>
        <w:ind w:firstLine="1200" w:firstLineChars="5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n</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e</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-有效孔隙度，量纲为1。</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所在区域潜水为第四系上更新统松散层孔隙潜水，含水层岩性为粉细砂；承压水为泰康组孔隙裂隙承压水，岩性主要是中粗砂。根据根据《肇源西部区域水文地质勘察报告》及《大庆西部区域水文地质勘察报告》，确定所在区域地下水含水层参数。</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w:t>
      </w:r>
      <w:r>
        <w:rPr>
          <w:rFonts w:hint="eastAsia" w:cs="Times New Roman"/>
          <w:b/>
          <w:bCs/>
          <w:caps w:val="0"/>
          <w:smallCaps w:val="0"/>
          <w:color w:val="auto"/>
          <w:spacing w:val="0"/>
          <w:w w:val="100"/>
          <w:kern w:val="0"/>
          <w:sz w:val="21"/>
          <w:szCs w:val="21"/>
          <w:highlight w:val="none"/>
          <w:vertAlign w:val="baseline"/>
          <w:lang w:val="en-US" w:eastAsia="zh-CN" w:bidi="ar-SA"/>
        </w:rPr>
        <w:t>2.4-9</w:t>
      </w:r>
      <w:r>
        <w:rPr>
          <w:rFonts w:hint="eastAsia" w:ascii="Times New Roman" w:hAnsi="Times New Roman" w:eastAsia="宋体" w:cs="Times New Roman"/>
          <w:b/>
          <w:bCs/>
          <w:caps w:val="0"/>
          <w:smallCaps w:val="0"/>
          <w:snapToGrid w:val="0"/>
          <w:color w:val="auto"/>
          <w:spacing w:val="0"/>
          <w:w w:val="100"/>
          <w:kern w:val="0"/>
          <w:sz w:val="21"/>
          <w:szCs w:val="21"/>
          <w:highlight w:val="none"/>
          <w:vertAlign w:val="baseline"/>
          <w:lang w:val="en-US" w:eastAsia="zh-CN" w:bidi="ar-SA"/>
        </w:rPr>
        <w:t>潜水含水层参数</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344"/>
        <w:gridCol w:w="1914"/>
        <w:gridCol w:w="2129"/>
        <w:gridCol w:w="21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234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含水层</w:t>
            </w:r>
          </w:p>
        </w:tc>
        <w:tc>
          <w:tcPr>
            <w:tcW w:w="19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有效孔隙</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ne</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渗透系数</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K</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m/d</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水力坡度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34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第四系上更新统松散层</w:t>
            </w:r>
          </w:p>
        </w:tc>
        <w:tc>
          <w:tcPr>
            <w:tcW w:w="19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0.32</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0.07‰</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w:t>
      </w:r>
      <w:r>
        <w:rPr>
          <w:rFonts w:hint="eastAsia" w:cs="Times New Roman"/>
          <w:b/>
          <w:bCs/>
          <w:caps w:val="0"/>
          <w:smallCaps w:val="0"/>
          <w:color w:val="auto"/>
          <w:spacing w:val="0"/>
          <w:w w:val="100"/>
          <w:kern w:val="0"/>
          <w:sz w:val="21"/>
          <w:szCs w:val="21"/>
          <w:highlight w:val="none"/>
          <w:vertAlign w:val="baseline"/>
          <w:lang w:val="en-US" w:eastAsia="zh-CN" w:bidi="ar-SA"/>
        </w:rPr>
        <w:t>2.4-10</w:t>
      </w:r>
      <w:r>
        <w:rPr>
          <w:rFonts w:hint="eastAsia" w:ascii="Times New Roman" w:hAnsi="Times New Roman" w:eastAsia="宋体" w:cs="Times New Roman"/>
          <w:b/>
          <w:bCs/>
          <w:caps w:val="0"/>
          <w:smallCaps w:val="0"/>
          <w:snapToGrid w:val="0"/>
          <w:color w:val="auto"/>
          <w:spacing w:val="0"/>
          <w:w w:val="100"/>
          <w:kern w:val="0"/>
          <w:sz w:val="21"/>
          <w:szCs w:val="21"/>
          <w:highlight w:val="none"/>
          <w:vertAlign w:val="baseline"/>
          <w:lang w:val="en-US" w:eastAsia="zh-CN" w:bidi="ar-SA"/>
        </w:rPr>
        <w:t>承压水含水层参数</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344"/>
        <w:gridCol w:w="1914"/>
        <w:gridCol w:w="2129"/>
        <w:gridCol w:w="21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234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含水层</w:t>
            </w:r>
          </w:p>
        </w:tc>
        <w:tc>
          <w:tcPr>
            <w:tcW w:w="19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有效孔隙</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ne</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渗透系数</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K</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m/d</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水力坡度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34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泰康组</w:t>
            </w:r>
          </w:p>
        </w:tc>
        <w:tc>
          <w:tcPr>
            <w:tcW w:w="19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0.335</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35</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0.07‰</w:t>
            </w:r>
          </w:p>
        </w:tc>
      </w:tr>
    </w:tbl>
    <w:p>
      <w:pPr>
        <w:pStyle w:val="2"/>
        <w:ind w:left="0" w:leftChars="0" w:firstLine="480" w:firstLineChars="200"/>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经计算得出：</w:t>
      </w:r>
    </w:p>
    <w:p>
      <w:pPr>
        <w:pStyle w:val="2"/>
        <w:ind w:left="0" w:leftChars="0" w:firstLine="480" w:firstLineChars="200"/>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L</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潜水</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=2×8×</w:t>
      </w:r>
      <w:r>
        <w:rPr>
          <w:rFonts w:hint="eastAsia" w:cs="Times New Roman"/>
          <w:caps w:val="0"/>
          <w:smallCaps w:val="0"/>
          <w:snapToGrid/>
          <w:color w:val="auto"/>
          <w:spacing w:val="0"/>
          <w:w w:val="100"/>
          <w:kern w:val="0"/>
          <w:sz w:val="24"/>
          <w:szCs w:val="24"/>
          <w:highlight w:val="none"/>
          <w:lang w:val="en-US" w:eastAsia="zh-CN" w:bidi="ar-SA"/>
        </w:rPr>
        <w:t>0.00007</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×6475/0.</w:t>
      </w:r>
      <w:r>
        <w:rPr>
          <w:rFonts w:hint="eastAsia" w:cs="Times New Roman"/>
          <w:caps w:val="0"/>
          <w:smallCaps w:val="0"/>
          <w:snapToGrid/>
          <w:color w:val="auto"/>
          <w:spacing w:val="0"/>
          <w:w w:val="100"/>
          <w:kern w:val="0"/>
          <w:sz w:val="24"/>
          <w:szCs w:val="24"/>
          <w:highlight w:val="none"/>
          <w:lang w:val="en-US" w:eastAsia="zh-CN" w:bidi="ar-SA"/>
        </w:rPr>
        <w:t>32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cs="Times New Roman"/>
          <w:caps w:val="0"/>
          <w:smallCaps w:val="0"/>
          <w:snapToGrid/>
          <w:color w:val="auto"/>
          <w:spacing w:val="0"/>
          <w:w w:val="100"/>
          <w:kern w:val="0"/>
          <w:sz w:val="24"/>
          <w:szCs w:val="24"/>
          <w:highlight w:val="none"/>
          <w:lang w:val="en-US" w:eastAsia="zh-CN" w:bidi="ar-SA"/>
        </w:rPr>
        <w:t>22.66</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m</w:t>
      </w:r>
    </w:p>
    <w:p>
      <w:pPr>
        <w:pStyle w:val="2"/>
        <w:ind w:left="0" w:leftChars="0" w:firstLine="480" w:firstLineChars="200"/>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L</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承压水</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35</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×0.0000</w:t>
      </w:r>
      <w:r>
        <w:rPr>
          <w:rFonts w:hint="eastAsia" w:cs="Times New Roman"/>
          <w:caps w:val="0"/>
          <w:smallCaps w:val="0"/>
          <w:snapToGrid/>
          <w:color w:val="auto"/>
          <w:spacing w:val="0"/>
          <w:w w:val="100"/>
          <w:kern w:val="0"/>
          <w:sz w:val="24"/>
          <w:szCs w:val="24"/>
          <w:highlight w:val="none"/>
          <w:lang w:val="en-US" w:eastAsia="zh-CN" w:bidi="ar-SA"/>
        </w:rPr>
        <w:t>7</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×6475/0.</w:t>
      </w:r>
      <w:r>
        <w:rPr>
          <w:rFonts w:hint="eastAsia" w:cs="Times New Roman"/>
          <w:caps w:val="0"/>
          <w:smallCaps w:val="0"/>
          <w:snapToGrid/>
          <w:color w:val="auto"/>
          <w:spacing w:val="0"/>
          <w:w w:val="100"/>
          <w:kern w:val="0"/>
          <w:sz w:val="24"/>
          <w:szCs w:val="24"/>
          <w:highlight w:val="none"/>
          <w:lang w:val="en-US" w:eastAsia="zh-CN" w:bidi="ar-SA"/>
        </w:rPr>
        <w:t>335</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cs="Times New Roman"/>
          <w:caps w:val="0"/>
          <w:smallCaps w:val="0"/>
          <w:snapToGrid/>
          <w:color w:val="auto"/>
          <w:spacing w:val="0"/>
          <w:w w:val="100"/>
          <w:kern w:val="0"/>
          <w:sz w:val="24"/>
          <w:szCs w:val="24"/>
          <w:highlight w:val="none"/>
          <w:lang w:val="en-US" w:eastAsia="zh-CN" w:bidi="ar-SA"/>
        </w:rPr>
        <w:t>284.12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m。</w:t>
      </w:r>
    </w:p>
    <w:p>
      <w:pPr>
        <w:pStyle w:val="2"/>
        <w:ind w:left="0" w:leftChars="0" w:firstLine="480" w:firstLineChars="200"/>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以村屯饮用水源井为中心36+</w:t>
      </w:r>
      <w:r>
        <w:rPr>
          <w:rFonts w:hint="eastAsia" w:cs="Times New Roman"/>
          <w:caps w:val="0"/>
          <w:smallCaps w:val="0"/>
          <w:snapToGrid/>
          <w:color w:val="auto"/>
          <w:spacing w:val="0"/>
          <w:w w:val="100"/>
          <w:kern w:val="0"/>
          <w:sz w:val="24"/>
          <w:szCs w:val="24"/>
          <w:highlight w:val="none"/>
          <w:lang w:val="en-US" w:eastAsia="zh-CN" w:bidi="ar-SA"/>
        </w:rPr>
        <w:t>284.12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cs="Times New Roman"/>
          <w:caps w:val="0"/>
          <w:smallCaps w:val="0"/>
          <w:snapToGrid/>
          <w:color w:val="auto"/>
          <w:spacing w:val="0"/>
          <w:w w:val="100"/>
          <w:kern w:val="0"/>
          <w:sz w:val="24"/>
          <w:szCs w:val="24"/>
          <w:highlight w:val="none"/>
          <w:lang w:val="en-US" w:eastAsia="zh-CN" w:bidi="ar-SA"/>
        </w:rPr>
        <w:t>320.12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m，区域内为较敏感区，以外为不敏感区。本项目最近村屯供水井为河北村</w:t>
      </w:r>
      <w:r>
        <w:rPr>
          <w:rFonts w:hint="eastAsia" w:cs="Times New Roman"/>
          <w:caps w:val="0"/>
          <w:smallCaps w:val="0"/>
          <w:snapToGrid/>
          <w:color w:val="auto"/>
          <w:spacing w:val="0"/>
          <w:w w:val="100"/>
          <w:kern w:val="0"/>
          <w:sz w:val="24"/>
          <w:szCs w:val="24"/>
          <w:highlight w:val="none"/>
          <w:lang w:val="en-US" w:eastAsia="zh-CN" w:bidi="ar-SA"/>
        </w:rPr>
        <w:t>集中饮用水井，相对最近距离605m。</w:t>
      </w:r>
    </w:p>
    <w:p>
      <w:pPr>
        <w:pStyle w:val="2"/>
        <w:ind w:left="0" w:leftChars="0" w:firstLine="480" w:firstLineChars="200"/>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综上所述，评价区域地下水环境属于“不敏感”区域。确定本项目地下水评价等级为二级。</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w:t>
      </w:r>
      <w:r>
        <w:rPr>
          <w:rFonts w:hint="eastAsia" w:cs="Times New Roman"/>
          <w:b/>
          <w:bCs/>
          <w:caps w:val="0"/>
          <w:smallCaps w:val="0"/>
          <w:color w:val="auto"/>
          <w:spacing w:val="0"/>
          <w:w w:val="100"/>
          <w:kern w:val="0"/>
          <w:sz w:val="21"/>
          <w:szCs w:val="21"/>
          <w:highlight w:val="none"/>
          <w:vertAlign w:val="baseline"/>
          <w:lang w:val="en-US" w:eastAsia="zh-CN" w:bidi="ar-SA"/>
        </w:rPr>
        <w:t>2.4-9评价工作等级分级表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29"/>
        <w:gridCol w:w="2129"/>
        <w:gridCol w:w="2129"/>
        <w:gridCol w:w="21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tcBorders>
              <w:tl2br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right"/>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项目类别</w:t>
            </w:r>
          </w:p>
          <w:p>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环境敏感程度</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I类项目</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Ⅱ类项目</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Ⅲ类项目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敏感</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一</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一</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较敏感</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一</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二</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不敏感</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二</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三</w:t>
            </w:r>
          </w:p>
        </w:tc>
        <w:tc>
          <w:tcPr>
            <w:tcW w:w="212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三</w:t>
            </w:r>
          </w:p>
        </w:tc>
      </w:tr>
    </w:tbl>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评价范围</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根据《环境影响评价技术导则-地下水环境》（HJ610-2016），结合项目所在区域水文地质情况，</w:t>
      </w:r>
      <w:r>
        <w:rPr>
          <w:rFonts w:hint="eastAsia" w:cs="Times New Roman"/>
          <w:caps w:val="0"/>
          <w:smallCaps w:val="0"/>
          <w:snapToGrid/>
          <w:color w:val="auto"/>
          <w:spacing w:val="0"/>
          <w:w w:val="100"/>
          <w:kern w:val="0"/>
          <w:sz w:val="24"/>
          <w:szCs w:val="24"/>
          <w:highlight w:val="none"/>
          <w:lang w:val="en-US" w:eastAsia="zh-CN" w:bidi="ar-SA"/>
        </w:rPr>
        <w:t>潜水含水层地下水流向由</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南部区和北部区地下水的总径流方向均为由北向南，局部地区受地势影响。</w:t>
      </w:r>
      <w:r>
        <w:rPr>
          <w:rFonts w:hint="eastAsia" w:cs="Times New Roman"/>
          <w:caps w:val="0"/>
          <w:smallCaps w:val="0"/>
          <w:snapToGrid/>
          <w:color w:val="auto"/>
          <w:spacing w:val="0"/>
          <w:w w:val="100"/>
          <w:kern w:val="0"/>
          <w:sz w:val="24"/>
          <w:szCs w:val="24"/>
          <w:highlight w:val="none"/>
          <w:lang w:val="en-US" w:eastAsia="zh-CN" w:bidi="ar-SA"/>
        </w:rPr>
        <w:t>承压含水层地下水流向：</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北部调查区：调查区新近系泰康组地下水径流方向受他拉哈镇及腰新屯用水影响为由东北向西南；南部调查区：调查区新近系泰康组地下水径流方向受新站镇及革志屯用水影响为由西南向东北。</w:t>
      </w:r>
      <w:r>
        <w:rPr>
          <w:rFonts w:hint="eastAsia" w:cs="Times New Roman"/>
          <w:caps w:val="0"/>
          <w:smallCaps w:val="0"/>
          <w:snapToGrid/>
          <w:color w:val="auto"/>
          <w:spacing w:val="0"/>
          <w:w w:val="100"/>
          <w:kern w:val="0"/>
          <w:sz w:val="24"/>
          <w:szCs w:val="24"/>
          <w:highlight w:val="none"/>
          <w:lang w:val="en-US" w:eastAsia="zh-CN" w:bidi="ar-SA"/>
        </w:rPr>
        <w:t>确定本项目地下水评价范围为以服务站站址外北侧外扩1km，东、西两侧外扩1km，南侧外扩3km，总评价面积10.76km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。站外输液管道地下水评价范围为管道沿线两侧200m范围内的区域。</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2.4.4声环境</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（1）评价等级</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根据《环境影响评价技术导则 声环境》（HJ2.4-2021）中规定：建设项目所处的声环境功能区为《声环境质量标准》（GB3096-2008）规定的1类、2类地区，或建设项目建设前后评价范围内敏感目标噪声级增高量达3dB（A）~5dB（A）（含5dB（A）），或受噪声影响人口数量增加较多时，评价等级为二级评价。</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本项目废水处理服务站位于2类声功能区，输液管道穿越1类和2类声功能区。运行期间，输液管道正常运行，无噪声产生。服务站产噪设备位于厂房内，经减振、合理布局、</w:t>
      </w:r>
      <w:r>
        <w:rPr>
          <w:rFonts w:hint="eastAsia" w:cs="Times New Roman"/>
          <w:caps w:val="0"/>
          <w:smallCaps w:val="0"/>
          <w:snapToGrid/>
          <w:color w:val="auto"/>
          <w:spacing w:val="0"/>
          <w:w w:val="100"/>
          <w:kern w:val="0"/>
          <w:sz w:val="24"/>
          <w:szCs w:val="24"/>
          <w:highlight w:val="none"/>
          <w:lang w:val="en-US" w:eastAsia="zh-CN" w:bidi="ar-SA"/>
        </w:rPr>
        <w:t>墙体</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隔音降噪后，服务站</w:t>
      </w:r>
      <w:r>
        <w:rPr>
          <w:rFonts w:hint="eastAsia" w:cs="Times New Roman"/>
          <w:caps w:val="0"/>
          <w:smallCaps w:val="0"/>
          <w:snapToGrid/>
          <w:color w:val="auto"/>
          <w:spacing w:val="0"/>
          <w:w w:val="100"/>
          <w:kern w:val="0"/>
          <w:sz w:val="24"/>
          <w:szCs w:val="24"/>
          <w:highlight w:val="none"/>
          <w:lang w:val="en-US" w:eastAsia="zh-CN" w:bidi="ar-SA"/>
        </w:rPr>
        <w:t>站址西侧发展村噪声贡献值小于</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3dB（A），项目建设前后噪声级没有明显升高，受噪声影响人口变化不大，因此，本项目声环境评价等级为二级。</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（2）评价范围</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项目服务站站址厂界外扩200m范围，管道两侧各200m范围。</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2.4.5土壤环境</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（1）评价等级</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根据《环境影响评价技术导则 土壤环境（试行）》（HJ964-2018）附录A土壤环境影响评价行业分类表，本项目属于“电力热力燃气及水生产和供应业工业废水处理”，属于Ⅱ类项目。项目占地共29.62hm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，为中型占地规模，服务站周围为耕地及村屯集中居住区，管道沿村屯集中居住区周围穿过，附近为耕地、林地及沟渠等，项目所在区域土壤敏感程度为敏感。本项目土壤环境评价等级为二级。</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表2.4-10</w:t>
      </w:r>
      <w:r>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污染影响型敏感程度分级表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72"/>
        <w:gridCol w:w="724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7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敏感程度</w:t>
            </w:r>
          </w:p>
        </w:tc>
        <w:tc>
          <w:tcPr>
            <w:tcW w:w="724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判别依据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7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敏感</w:t>
            </w:r>
          </w:p>
        </w:tc>
        <w:tc>
          <w:tcPr>
            <w:tcW w:w="724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建设项目周边存在耕地、园地、牧草地、饮用水水源地或居民区、学校、医院、疗养院、养老院等土壤环境敏感目标的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7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较敏感</w:t>
            </w:r>
          </w:p>
        </w:tc>
        <w:tc>
          <w:tcPr>
            <w:tcW w:w="724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建设项目周边存在其他土壤环境敏感目标的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7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不敏感</w:t>
            </w:r>
          </w:p>
        </w:tc>
        <w:tc>
          <w:tcPr>
            <w:tcW w:w="724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其他情况</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表2.4-11</w:t>
      </w:r>
      <w:r>
        <w:rPr>
          <w:rFonts w:hint="default" w:ascii="Times New Roman" w:hAnsi="Times New Roman" w:eastAsia="宋体" w:cs="Times New Roman"/>
          <w:b/>
          <w:bCs/>
          <w:caps w:val="0"/>
          <w:smallCaps w:val="0"/>
          <w:color w:val="auto"/>
          <w:spacing w:val="0"/>
          <w:w w:val="100"/>
          <w:kern w:val="0"/>
          <w:sz w:val="21"/>
          <w:szCs w:val="21"/>
          <w:highlight w:val="none"/>
          <w:vertAlign w:val="baseline"/>
          <w:lang w:val="en-US" w:eastAsia="zh-CN" w:bidi="ar-SA"/>
        </w:rPr>
        <w:t>污染影响型评价工作等级划分表</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792"/>
        <w:gridCol w:w="792"/>
        <w:gridCol w:w="792"/>
        <w:gridCol w:w="792"/>
        <w:gridCol w:w="792"/>
        <w:gridCol w:w="792"/>
        <w:gridCol w:w="792"/>
        <w:gridCol w:w="792"/>
        <w:gridCol w:w="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restart"/>
            <w:tcBorders>
              <w:top w:val="single" w:color="auto" w:sz="12" w:space="0"/>
              <w:left w:val="nil"/>
              <w:right w:val="single" w:color="auto" w:sz="6" w:space="0"/>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right"/>
              <w:textAlignment w:val="auto"/>
              <w:rPr>
                <w:rFonts w:hint="default" w:ascii="Times New Roman" w:hAnsi="Times New Roman" w:cs="Times New Roman"/>
                <w:color w:val="auto"/>
                <w:sz w:val="21"/>
                <w:szCs w:val="21"/>
                <w:highlight w:val="none"/>
                <w:vertAlign w:val="baseline"/>
                <w:lang w:val="en-US" w:eastAsia="zh-CN"/>
              </w:rPr>
            </w:pPr>
            <w:r>
              <w:rPr>
                <w:color w:val="auto"/>
                <w:sz w:val="21"/>
                <w:szCs w:val="21"/>
                <w:highlight w:val="none"/>
              </w:rPr>
              <mc:AlternateContent>
                <mc:Choice Requires="wps">
                  <w:drawing>
                    <wp:anchor distT="0" distB="0" distL="114300" distR="114300" simplePos="0" relativeHeight="251660288" behindDoc="0" locked="0" layoutInCell="1" allowOverlap="1">
                      <wp:simplePos x="0" y="0"/>
                      <wp:positionH relativeFrom="column">
                        <wp:posOffset>-58420</wp:posOffset>
                      </wp:positionH>
                      <wp:positionV relativeFrom="paragraph">
                        <wp:posOffset>-10160</wp:posOffset>
                      </wp:positionV>
                      <wp:extent cx="838200" cy="323850"/>
                      <wp:effectExtent l="1905" t="4445" r="17145" b="14605"/>
                      <wp:wrapNone/>
                      <wp:docPr id="18" name="直接连接符 18"/>
                      <wp:cNvGraphicFramePr/>
                      <a:graphic xmlns:a="http://schemas.openxmlformats.org/drawingml/2006/main">
                        <a:graphicData uri="http://schemas.microsoft.com/office/word/2010/wordprocessingShape">
                          <wps:wsp>
                            <wps:cNvCnPr/>
                            <wps:spPr>
                              <a:xfrm>
                                <a:off x="1086485" y="4481195"/>
                                <a:ext cx="838200" cy="323850"/>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4.6pt;margin-top:-0.8pt;height:25.5pt;width:66pt;z-index:251660288;mso-width-relative:page;mso-height-relative:page;" filled="f" stroked="t" coordsize="21600,21600" o:gfxdata="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zNwKO9cAAAAIAQAADwAAAAAAAAABACAAAAAiAAAAZHJzL2Rvd25yZXYueG1s&#10;UEsBAhQAFAAAAAgAh07iQHKdN+n5AQAA0QMAAA4AAAAAAAAAAQAgAAAAJgEAAGRycy9lMm9Eb2Mu&#10;eG1sUEsFBgAAAAAGAAYAWQEAAJEFAAAAAA==&#10;">
                      <v:fill on="f" focussize="0,0"/>
                      <v:stroke weight="0.5pt" color="#000000" miterlimit="8" joinstyle="miter"/>
                      <v:imagedata o:title=""/>
                      <o:lock v:ext="edit" aspectratio="f"/>
                    </v:line>
                  </w:pict>
                </mc:Fallback>
              </mc:AlternateContent>
            </w:r>
            <w:r>
              <w:rPr>
                <w:rFonts w:hint="default" w:ascii="Times New Roman" w:hAnsi="Times New Roman" w:cs="Times New Roman"/>
                <w:color w:val="auto"/>
                <w:sz w:val="21"/>
                <w:szCs w:val="21"/>
                <w:highlight w:val="none"/>
                <w:vertAlign w:val="baseline"/>
                <w:lang w:val="en-US" w:eastAsia="zh-CN"/>
              </w:rPr>
              <w:t>占地规模</w:t>
            </w:r>
          </w:p>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color w:val="auto"/>
                <w:sz w:val="21"/>
                <w:szCs w:val="21"/>
                <w:highlight w:val="none"/>
              </w:rPr>
              <mc:AlternateContent>
                <mc:Choice Requires="wps">
                  <w:drawing>
                    <wp:anchor distT="0" distB="0" distL="114300" distR="114300" simplePos="0" relativeHeight="251661312" behindDoc="0" locked="0" layoutInCell="1" allowOverlap="1">
                      <wp:simplePos x="0" y="0"/>
                      <wp:positionH relativeFrom="column">
                        <wp:posOffset>-20320</wp:posOffset>
                      </wp:positionH>
                      <wp:positionV relativeFrom="paragraph">
                        <wp:posOffset>380365</wp:posOffset>
                      </wp:positionV>
                      <wp:extent cx="762000" cy="142875"/>
                      <wp:effectExtent l="635" t="4445" r="18415" b="5080"/>
                      <wp:wrapNone/>
                      <wp:docPr id="21" name="直接连接符 21"/>
                      <wp:cNvGraphicFramePr/>
                      <a:graphic xmlns:a="http://schemas.openxmlformats.org/drawingml/2006/main">
                        <a:graphicData uri="http://schemas.microsoft.com/office/word/2010/wordprocessingShape">
                          <wps:wsp>
                            <wps:cNvCnPr/>
                            <wps:spPr>
                              <a:xfrm flipH="1" flipV="1">
                                <a:off x="1124585" y="5100320"/>
                                <a:ext cx="762000" cy="14287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flip:x y;margin-left:-1.6pt;margin-top:29.95pt;height:11.25pt;width:60pt;z-index:251661312;mso-width-relative:page;mso-height-relative:page;" filled="f" stroked="t" coordsize="21600,21600" o:gfxdata="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xqIcV2AAAAAgBAAAPAAAAAAAAAAEAIAAAACIAAABk&#10;cnMvZG93bnJldi54bWxQSwECFAAUAAAACACHTuJABwAmugYCAADlAwAADgAAAAAAAAABACAAAAAn&#10;AQAAZHJzL2Uyb0RvYy54bWxQSwUGAAAAAAYABgBZAQAAnwUAAAAA&#10;">
                      <v:fill on="f" focussize="0,0"/>
                      <v:stroke weight="0.5pt" color="#000000" miterlimit="8" joinstyle="miter"/>
                      <v:imagedata o:title=""/>
                      <o:lock v:ext="edit" aspectratio="f"/>
                    </v:line>
                  </w:pict>
                </mc:Fallback>
              </mc:AlternateContent>
            </w:r>
            <w:r>
              <w:rPr>
                <w:rFonts w:hint="default" w:ascii="Times New Roman" w:hAnsi="Times New Roman" w:cs="Times New Roman"/>
                <w:color w:val="auto"/>
                <w:sz w:val="21"/>
                <w:szCs w:val="21"/>
                <w:highlight w:val="none"/>
                <w:vertAlign w:val="baseline"/>
                <w:lang w:val="en-US" w:eastAsia="zh-CN"/>
              </w:rPr>
              <w:t>评价工作等级</w:t>
            </w:r>
          </w:p>
          <w:p>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敏感程度</w:t>
            </w:r>
          </w:p>
        </w:tc>
        <w:tc>
          <w:tcPr>
            <w:tcW w:w="2376" w:type="dxa"/>
            <w:gridSpan w:val="3"/>
            <w:tcBorders>
              <w:top w:val="single" w:color="auto" w:sz="12"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Ⅰ类</w:t>
            </w:r>
          </w:p>
        </w:tc>
        <w:tc>
          <w:tcPr>
            <w:tcW w:w="2376" w:type="dxa"/>
            <w:gridSpan w:val="3"/>
            <w:tcBorders>
              <w:top w:val="single" w:color="auto" w:sz="12"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Ⅱ类</w:t>
            </w:r>
          </w:p>
        </w:tc>
        <w:tc>
          <w:tcPr>
            <w:tcW w:w="2380" w:type="dxa"/>
            <w:gridSpan w:val="3"/>
            <w:tcBorders>
              <w:top w:val="single" w:color="auto" w:sz="12" w:space="0"/>
              <w:left w:val="single" w:color="auto" w:sz="6" w:space="0"/>
              <w:bottom w:val="single" w:color="auto" w:sz="6" w:space="0"/>
              <w:right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tcBorders>
              <w:left w:val="nil"/>
              <w:bottom w:val="single" w:color="auto" w:sz="6" w:space="0"/>
              <w:right w:val="single" w:color="auto" w:sz="6" w:space="0"/>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中</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小</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中</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小</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中</w:t>
            </w:r>
          </w:p>
        </w:tc>
        <w:tc>
          <w:tcPr>
            <w:tcW w:w="796" w:type="dxa"/>
            <w:tcBorders>
              <w:top w:val="single" w:color="auto" w:sz="6" w:space="0"/>
              <w:left w:val="single" w:color="auto" w:sz="6" w:space="0"/>
              <w:bottom w:val="single" w:color="auto" w:sz="6" w:space="0"/>
              <w:right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tcBorders>
              <w:top w:val="single" w:color="auto" w:sz="6" w:space="0"/>
              <w:left w:val="nil"/>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敏感</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一级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一级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一级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二级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二级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二级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三级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三级</w:t>
            </w:r>
          </w:p>
        </w:tc>
        <w:tc>
          <w:tcPr>
            <w:tcW w:w="796" w:type="dxa"/>
            <w:tcBorders>
              <w:top w:val="single" w:color="auto" w:sz="6" w:space="0"/>
              <w:left w:val="single" w:color="auto" w:sz="6" w:space="0"/>
              <w:bottom w:val="single" w:color="auto" w:sz="6" w:space="0"/>
              <w:right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1384" w:type="dxa"/>
            <w:tcBorders>
              <w:top w:val="single" w:color="auto" w:sz="6" w:space="0"/>
              <w:left w:val="nil"/>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较敏感</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一级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一级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二级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二级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二级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三级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三级</w:t>
            </w:r>
          </w:p>
        </w:tc>
        <w:tc>
          <w:tcPr>
            <w:tcW w:w="792" w:type="dxa"/>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三级</w:t>
            </w:r>
          </w:p>
        </w:tc>
        <w:tc>
          <w:tcPr>
            <w:tcW w:w="796" w:type="dxa"/>
            <w:tcBorders>
              <w:top w:val="single" w:color="auto" w:sz="6" w:space="0"/>
              <w:left w:val="single" w:color="auto" w:sz="6" w:space="0"/>
              <w:bottom w:val="single" w:color="auto" w:sz="6" w:space="0"/>
              <w:right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tcBorders>
              <w:top w:val="single" w:color="auto" w:sz="6" w:space="0"/>
              <w:left w:val="nil"/>
              <w:bottom w:val="single" w:color="auto" w:sz="12"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不敏感</w:t>
            </w:r>
          </w:p>
        </w:tc>
        <w:tc>
          <w:tcPr>
            <w:tcW w:w="792" w:type="dxa"/>
            <w:tcBorders>
              <w:top w:val="single" w:color="auto" w:sz="6" w:space="0"/>
              <w:left w:val="single" w:color="auto" w:sz="6" w:space="0"/>
              <w:bottom w:val="single" w:color="auto" w:sz="12"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一级</w:t>
            </w:r>
          </w:p>
        </w:tc>
        <w:tc>
          <w:tcPr>
            <w:tcW w:w="792" w:type="dxa"/>
            <w:tcBorders>
              <w:top w:val="single" w:color="auto" w:sz="6" w:space="0"/>
              <w:left w:val="single" w:color="auto" w:sz="6" w:space="0"/>
              <w:bottom w:val="single" w:color="auto" w:sz="12"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二级</w:t>
            </w:r>
          </w:p>
        </w:tc>
        <w:tc>
          <w:tcPr>
            <w:tcW w:w="792" w:type="dxa"/>
            <w:tcBorders>
              <w:top w:val="single" w:color="auto" w:sz="6" w:space="0"/>
              <w:left w:val="single" w:color="auto" w:sz="6" w:space="0"/>
              <w:bottom w:val="single" w:color="auto" w:sz="12"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二级</w:t>
            </w:r>
          </w:p>
        </w:tc>
        <w:tc>
          <w:tcPr>
            <w:tcW w:w="792" w:type="dxa"/>
            <w:tcBorders>
              <w:top w:val="single" w:color="auto" w:sz="6" w:space="0"/>
              <w:left w:val="single" w:color="auto" w:sz="6" w:space="0"/>
              <w:bottom w:val="single" w:color="auto" w:sz="12"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二级</w:t>
            </w:r>
          </w:p>
        </w:tc>
        <w:tc>
          <w:tcPr>
            <w:tcW w:w="792" w:type="dxa"/>
            <w:tcBorders>
              <w:top w:val="single" w:color="auto" w:sz="6" w:space="0"/>
              <w:left w:val="single" w:color="auto" w:sz="6" w:space="0"/>
              <w:bottom w:val="single" w:color="auto" w:sz="12"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三级</w:t>
            </w:r>
          </w:p>
        </w:tc>
        <w:tc>
          <w:tcPr>
            <w:tcW w:w="792" w:type="dxa"/>
            <w:tcBorders>
              <w:top w:val="single" w:color="auto" w:sz="6" w:space="0"/>
              <w:left w:val="single" w:color="auto" w:sz="6" w:space="0"/>
              <w:bottom w:val="single" w:color="auto" w:sz="12"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三级</w:t>
            </w:r>
          </w:p>
        </w:tc>
        <w:tc>
          <w:tcPr>
            <w:tcW w:w="792" w:type="dxa"/>
            <w:tcBorders>
              <w:top w:val="single" w:color="auto" w:sz="6" w:space="0"/>
              <w:left w:val="single" w:color="auto" w:sz="6" w:space="0"/>
              <w:bottom w:val="single" w:color="auto" w:sz="12"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三级</w:t>
            </w:r>
          </w:p>
        </w:tc>
        <w:tc>
          <w:tcPr>
            <w:tcW w:w="792" w:type="dxa"/>
            <w:tcBorders>
              <w:top w:val="single" w:color="auto" w:sz="6" w:space="0"/>
              <w:left w:val="single" w:color="auto" w:sz="6" w:space="0"/>
              <w:bottom w:val="single" w:color="auto" w:sz="12" w:space="0"/>
              <w:right w:val="single" w:color="auto" w:sz="6"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w:t>
            </w:r>
          </w:p>
        </w:tc>
        <w:tc>
          <w:tcPr>
            <w:tcW w:w="796" w:type="dxa"/>
            <w:tcBorders>
              <w:top w:val="single" w:color="auto" w:sz="6" w:space="0"/>
              <w:left w:val="single" w:color="auto" w:sz="6" w:space="0"/>
              <w:bottom w:val="single" w:color="auto" w:sz="12" w:space="0"/>
              <w:right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w:t>
            </w:r>
          </w:p>
        </w:tc>
      </w:tr>
    </w:tbl>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评价范围</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本项目土壤环境评价范围为</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服务站站址外200m范围内及输液管道沿线两侧200m范围内。</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2.4.6生态环境</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（1）评价等级</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根据《环境影响评价技术导则 生态影响》（HJ19-2022）</w:t>
      </w:r>
      <w:r>
        <w:rPr>
          <w:rFonts w:hint="eastAsia"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本项目生态影响评价等级为三级。</w:t>
      </w:r>
    </w:p>
    <w:p>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t>表2.</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4</w:t>
      </w:r>
      <w:r>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t>-</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12</w:t>
      </w:r>
      <w:r>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t>生态评价等级判定</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768"/>
        <w:gridCol w:w="3404"/>
        <w:gridCol w:w="134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68"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导则要求</w:t>
            </w:r>
          </w:p>
        </w:tc>
        <w:tc>
          <w:tcPr>
            <w:tcW w:w="340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本项目</w:t>
            </w:r>
          </w:p>
        </w:tc>
        <w:tc>
          <w:tcPr>
            <w:tcW w:w="134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评价等级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68" w:type="dxa"/>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a）涉及国家公园、自然保护区、世界自然遗产、重要生境时，评价等级为一级；</w:t>
            </w:r>
          </w:p>
        </w:tc>
        <w:tc>
          <w:tcPr>
            <w:tcW w:w="3404" w:type="dxa"/>
            <w:tcBorders>
              <w:tl2br w:val="nil"/>
              <w:tr2bl w:val="nil"/>
            </w:tcBorders>
          </w:tcPr>
          <w:p>
            <w:pPr>
              <w:widowControl w:val="0"/>
              <w:kinsoku/>
              <w:autoSpaceDE/>
              <w:autoSpaceDN/>
              <w:adjustRightInd/>
              <w:snapToGrid/>
              <w:spacing w:line="360" w:lineRule="exact"/>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本项目选址</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选线不涉及国家公园、自然保护区、世界自然遗产、重要生境</w:t>
            </w:r>
          </w:p>
        </w:tc>
        <w:tc>
          <w:tcPr>
            <w:tcW w:w="134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68" w:type="dxa"/>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b）涉及自然公园时，评价等级为二级；</w:t>
            </w:r>
          </w:p>
        </w:tc>
        <w:tc>
          <w:tcPr>
            <w:tcW w:w="3404" w:type="dxa"/>
            <w:tcBorders>
              <w:tl2br w:val="nil"/>
              <w:tr2bl w:val="nil"/>
            </w:tcBorders>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本项目选址选线不涉及</w:t>
            </w:r>
            <w:r>
              <w:rPr>
                <w:rFonts w:hint="default" w:ascii="Times New Roman" w:hAnsi="Times New Roman" w:cs="Times New Roman"/>
                <w:color w:val="auto"/>
                <w:sz w:val="21"/>
                <w:szCs w:val="21"/>
                <w:highlight w:val="none"/>
              </w:rPr>
              <w:t>自然公园</w:t>
            </w:r>
          </w:p>
        </w:tc>
        <w:tc>
          <w:tcPr>
            <w:tcW w:w="134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68" w:type="dxa"/>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c）涉及生态保护红线时，评价等级不低于二级；</w:t>
            </w:r>
          </w:p>
        </w:tc>
        <w:tc>
          <w:tcPr>
            <w:tcW w:w="3404" w:type="dxa"/>
            <w:tcBorders>
              <w:tl2br w:val="nil"/>
              <w:tr2bl w:val="nil"/>
            </w:tcBorders>
          </w:tcPr>
          <w:p>
            <w:pPr>
              <w:widowControl w:val="0"/>
              <w:kinsoku/>
              <w:autoSpaceDE/>
              <w:autoSpaceDN/>
              <w:adjustRightInd/>
              <w:snapToGrid/>
              <w:spacing w:line="360" w:lineRule="exact"/>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本项目与大庆市三区三线划定成果进行对照，项目</w:t>
            </w:r>
            <w:r>
              <w:rPr>
                <w:rFonts w:hint="eastAsia" w:cs="Times New Roman"/>
                <w:color w:val="auto"/>
                <w:highlight w:val="none"/>
                <w:lang w:val="en-US" w:eastAsia="zh-CN"/>
              </w:rPr>
              <w:t>选、址选线</w:t>
            </w:r>
            <w:r>
              <w:rPr>
                <w:rFonts w:hint="default" w:ascii="Times New Roman" w:hAnsi="Times New Roman" w:cs="Times New Roman"/>
                <w:color w:val="auto"/>
                <w:highlight w:val="none"/>
                <w:lang w:val="en-US" w:eastAsia="zh-CN"/>
              </w:rPr>
              <w:t>不占用及跨越生态</w:t>
            </w:r>
            <w:r>
              <w:rPr>
                <w:rFonts w:hint="eastAsia" w:cs="Times New Roman"/>
                <w:color w:val="auto"/>
                <w:highlight w:val="none"/>
                <w:lang w:val="en-US" w:eastAsia="zh-CN"/>
              </w:rPr>
              <w:t>保护</w:t>
            </w:r>
            <w:r>
              <w:rPr>
                <w:rFonts w:hint="default" w:ascii="Times New Roman" w:hAnsi="Times New Roman" w:cs="Times New Roman"/>
                <w:color w:val="auto"/>
                <w:highlight w:val="none"/>
                <w:lang w:val="en-US" w:eastAsia="zh-CN"/>
              </w:rPr>
              <w:t>红线</w:t>
            </w:r>
          </w:p>
        </w:tc>
        <w:tc>
          <w:tcPr>
            <w:tcW w:w="134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68" w:type="dxa"/>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d）根据HJ2.3判断属于水文要素影响型且地表水评价等级不低于二级的建设项目，生态影响评价等级不低于二级；</w:t>
            </w:r>
          </w:p>
        </w:tc>
        <w:tc>
          <w:tcPr>
            <w:tcW w:w="3404" w:type="dxa"/>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w:t>
            </w:r>
            <w:r>
              <w:rPr>
                <w:rFonts w:hint="eastAsia" w:cs="Times New Roman"/>
                <w:color w:val="auto"/>
                <w:highlight w:val="none"/>
                <w:lang w:val="en-US" w:eastAsia="zh-CN"/>
              </w:rPr>
              <w:t>工业废水集中处理项目，不属于</w:t>
            </w:r>
            <w:r>
              <w:rPr>
                <w:rFonts w:hint="default" w:ascii="Times New Roman" w:hAnsi="Times New Roman" w:cs="Times New Roman"/>
                <w:color w:val="auto"/>
                <w:sz w:val="21"/>
                <w:szCs w:val="21"/>
                <w:highlight w:val="none"/>
              </w:rPr>
              <w:t>水文要素影响型</w:t>
            </w:r>
            <w:r>
              <w:rPr>
                <w:rFonts w:hint="eastAsia" w:cs="Times New Roman"/>
                <w:color w:val="auto"/>
                <w:sz w:val="21"/>
                <w:szCs w:val="21"/>
                <w:highlight w:val="none"/>
                <w:lang w:eastAsia="zh-CN"/>
              </w:rPr>
              <w:t>。</w:t>
            </w:r>
          </w:p>
        </w:tc>
        <w:tc>
          <w:tcPr>
            <w:tcW w:w="134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68" w:type="dxa"/>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e）根据HJ610、HJ64</w:t>
            </w:r>
            <w:r>
              <w:rPr>
                <w:rFonts w:hint="default" w:ascii="Times New Roman" w:hAnsi="Times New Roman" w:eastAsia="宋体" w:cs="Times New Roman"/>
                <w:color w:val="auto"/>
                <w:sz w:val="21"/>
                <w:szCs w:val="21"/>
                <w:highlight w:val="none"/>
                <w:lang w:val="en-US" w:eastAsia="zh-CN"/>
              </w:rPr>
              <w:t>判断</w:t>
            </w:r>
            <w:r>
              <w:rPr>
                <w:rFonts w:hint="default" w:ascii="Times New Roman" w:hAnsi="Times New Roman" w:cs="Times New Roman"/>
                <w:color w:val="auto"/>
                <w:sz w:val="21"/>
                <w:szCs w:val="21"/>
                <w:highlight w:val="none"/>
              </w:rPr>
              <w:t>地下水水位或土壤影响范围内分布有天然林、公益林、湿地等生态保护目标的建设项目，生态影响评价等级不低于二级；</w:t>
            </w:r>
          </w:p>
        </w:tc>
        <w:tc>
          <w:tcPr>
            <w:tcW w:w="3404" w:type="dxa"/>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w:t>
            </w:r>
            <w:r>
              <w:rPr>
                <w:rFonts w:hint="eastAsia" w:cs="Times New Roman"/>
                <w:color w:val="auto"/>
                <w:highlight w:val="none"/>
                <w:lang w:val="en-US" w:eastAsia="zh-CN"/>
              </w:rPr>
              <w:t>站外输液管道部分管段穿越林带，经核实，穿越林带不属于</w:t>
            </w:r>
            <w:r>
              <w:rPr>
                <w:rFonts w:hint="default" w:ascii="Times New Roman" w:hAnsi="Times New Roman" w:cs="Times New Roman"/>
                <w:color w:val="auto"/>
                <w:sz w:val="21"/>
                <w:szCs w:val="21"/>
                <w:highlight w:val="none"/>
              </w:rPr>
              <w:t>天然林</w:t>
            </w:r>
            <w:r>
              <w:rPr>
                <w:rFonts w:hint="eastAsia" w:cs="Times New Roman"/>
                <w:color w:val="auto"/>
                <w:sz w:val="21"/>
                <w:szCs w:val="21"/>
                <w:highlight w:val="none"/>
                <w:lang w:val="en-US" w:eastAsia="zh-CN"/>
              </w:rPr>
              <w:t>及</w:t>
            </w:r>
            <w:r>
              <w:rPr>
                <w:rFonts w:hint="default" w:ascii="Times New Roman" w:hAnsi="Times New Roman" w:cs="Times New Roman"/>
                <w:color w:val="auto"/>
                <w:sz w:val="21"/>
                <w:szCs w:val="21"/>
                <w:highlight w:val="none"/>
              </w:rPr>
              <w:t>公益林</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项目评价范围内无湿地保护目标</w:t>
            </w:r>
          </w:p>
        </w:tc>
        <w:tc>
          <w:tcPr>
            <w:tcW w:w="134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70" w:hRule="atLeast"/>
        </w:trPr>
        <w:tc>
          <w:tcPr>
            <w:tcW w:w="3768"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f）当工程占地规模大于20km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时（包括永久和临时占用陆域和水域），评价等级不低于二级；改扩建项目的占地范围以新增占地（包括陆域和水域）确定；</w:t>
            </w:r>
          </w:p>
        </w:tc>
        <w:tc>
          <w:tcPr>
            <w:tcW w:w="3404" w:type="dxa"/>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w:t>
            </w:r>
            <w:r>
              <w:rPr>
                <w:rFonts w:hint="eastAsia" w:cs="Times New Roman"/>
                <w:color w:val="auto"/>
                <w:highlight w:val="none"/>
                <w:lang w:val="en-US" w:eastAsia="zh-CN"/>
              </w:rPr>
              <w:t>站外输液管道采取定向穿越的施工方式穿越坑塘水面及沟渠，不进行涉水施工。</w:t>
            </w:r>
            <w:r>
              <w:rPr>
                <w:rFonts w:hint="default" w:ascii="Times New Roman" w:hAnsi="Times New Roman" w:cs="Times New Roman"/>
                <w:color w:val="auto"/>
                <w:highlight w:val="none"/>
                <w:lang w:val="en-US" w:eastAsia="zh-CN"/>
              </w:rPr>
              <w:t>陆地占地面积共</w:t>
            </w:r>
            <w:r>
              <w:rPr>
                <w:rFonts w:hint="eastAsia" w:cs="Times New Roman"/>
                <w:color w:val="auto"/>
                <w:highlight w:val="none"/>
                <w:lang w:val="en-US" w:eastAsia="zh-CN"/>
              </w:rPr>
              <w:t>29.62</w:t>
            </w:r>
            <w:r>
              <w:rPr>
                <w:rFonts w:hint="default" w:ascii="Times New Roman" w:hAnsi="Times New Roman" w:cs="Times New Roman"/>
                <w:color w:val="auto"/>
                <w:highlight w:val="none"/>
                <w:lang w:val="en-US" w:eastAsia="zh-CN"/>
              </w:rPr>
              <w:t>hm</w:t>
            </w:r>
            <w:r>
              <w:rPr>
                <w:rFonts w:hint="default" w:ascii="Times New Roman" w:hAnsi="Times New Roman" w:cs="Times New Roman"/>
                <w:color w:val="auto"/>
                <w:highlight w:val="none"/>
                <w:vertAlign w:val="superscript"/>
                <w:lang w:val="en-US" w:eastAsia="zh-CN"/>
              </w:rPr>
              <w:t>2</w:t>
            </w:r>
          </w:p>
        </w:tc>
        <w:tc>
          <w:tcPr>
            <w:tcW w:w="134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68"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rPr>
              <w:t>除本条a）、b）、c）、d）、e）、f）以外的情况，评价等级为三级；</w:t>
            </w:r>
          </w:p>
        </w:tc>
        <w:tc>
          <w:tcPr>
            <w:tcW w:w="340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三级</w:t>
            </w:r>
          </w:p>
        </w:tc>
        <w:tc>
          <w:tcPr>
            <w:tcW w:w="134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68" w:type="dxa"/>
            <w:tcBorders>
              <w:tl2br w:val="nil"/>
              <w:tr2bl w:val="nil"/>
            </w:tcBorders>
            <w:vAlign w:val="center"/>
          </w:tcPr>
          <w:p>
            <w:pPr>
              <w:widowControl/>
              <w:spacing w:line="360" w:lineRule="exact"/>
              <w:jc w:val="both"/>
              <w:rPr>
                <w:rFonts w:hint="default" w:ascii="Times New Roman" w:hAnsi="Times New Roman" w:cs="Times New Roman"/>
                <w:color w:val="auto"/>
                <w:highlight w:val="none"/>
                <w:lang w:val="en-US" w:eastAsia="zh-CN"/>
              </w:rPr>
            </w:pPr>
            <w:r>
              <w:rPr>
                <w:rFonts w:hint="default" w:ascii="Times New Roman" w:hAnsi="Times New Roman" w:cs="Times New Roman"/>
                <w:smallCaps w:val="0"/>
                <w:color w:val="auto"/>
                <w:spacing w:val="0"/>
                <w:w w:val="100"/>
                <w:sz w:val="21"/>
                <w:szCs w:val="21"/>
                <w:highlight w:val="none"/>
              </w:rPr>
              <w:t>建设项目涉及经论证对保护生物多样性具有重要意义的区域时，可适当上调评价等级</w:t>
            </w:r>
          </w:p>
        </w:tc>
        <w:tc>
          <w:tcPr>
            <w:tcW w:w="340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本项目选址</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选线不涉及</w:t>
            </w:r>
            <w:r>
              <w:rPr>
                <w:rFonts w:hint="eastAsia" w:cs="Times New Roman"/>
                <w:color w:val="auto"/>
                <w:highlight w:val="none"/>
                <w:lang w:val="en-US" w:eastAsia="zh-CN"/>
              </w:rPr>
              <w:t>及穿越</w:t>
            </w:r>
            <w:r>
              <w:rPr>
                <w:rFonts w:hint="default" w:ascii="Times New Roman" w:hAnsi="Times New Roman" w:cs="Times New Roman"/>
                <w:smallCaps w:val="0"/>
                <w:color w:val="auto"/>
                <w:spacing w:val="0"/>
                <w:w w:val="100"/>
                <w:sz w:val="21"/>
                <w:szCs w:val="21"/>
                <w:highlight w:val="none"/>
              </w:rPr>
              <w:t>保护生物多样性具有重要意义的区域</w:t>
            </w:r>
          </w:p>
        </w:tc>
        <w:tc>
          <w:tcPr>
            <w:tcW w:w="134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6" w:hRule="atLeast"/>
        </w:trPr>
        <w:tc>
          <w:tcPr>
            <w:tcW w:w="3768" w:type="dxa"/>
            <w:tcBorders>
              <w:tl2br w:val="nil"/>
              <w:tr2bl w:val="nil"/>
            </w:tcBorders>
            <w:vAlign w:val="center"/>
          </w:tcPr>
          <w:p>
            <w:pPr>
              <w:widowControl/>
              <w:spacing w:line="360" w:lineRule="exact"/>
              <w:jc w:val="both"/>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smallCaps w:val="0"/>
                <w:color w:val="auto"/>
                <w:spacing w:val="0"/>
                <w:w w:val="100"/>
                <w:sz w:val="21"/>
                <w:szCs w:val="21"/>
                <w:highlight w:val="none"/>
              </w:rPr>
              <w:t>建设项目同时涉及陆生、水生生态影响时，可针对陆生生态、水生生态分别判定评价等级</w:t>
            </w:r>
          </w:p>
        </w:tc>
        <w:tc>
          <w:tcPr>
            <w:tcW w:w="3404" w:type="dxa"/>
            <w:tcBorders>
              <w:tl2br w:val="nil"/>
              <w:tr2bl w:val="nil"/>
            </w:tcBorders>
            <w:vAlign w:val="center"/>
          </w:tcPr>
          <w:p>
            <w:pPr>
              <w:widowControl w:val="0"/>
              <w:kinsoku/>
              <w:autoSpaceDE/>
              <w:autoSpaceDN/>
              <w:adjustRightInd/>
              <w:snapToGrid/>
              <w:spacing w:line="360" w:lineRule="exact"/>
              <w:jc w:val="both"/>
              <w:textAlignment w:val="auto"/>
              <w:rPr>
                <w:rFonts w:hint="default" w:eastAsia="宋体" w:cs="Times New Roman"/>
                <w:color w:val="auto"/>
                <w:highlight w:val="none"/>
                <w:lang w:val="en-US" w:eastAsia="zh-CN"/>
              </w:rPr>
            </w:pPr>
            <w:r>
              <w:rPr>
                <w:rFonts w:hint="default" w:ascii="Times New Roman" w:hAnsi="Times New Roman" w:cs="Times New Roman"/>
                <w:color w:val="auto"/>
                <w:highlight w:val="none"/>
                <w:lang w:val="en-US" w:eastAsia="zh-CN"/>
              </w:rPr>
              <w:t>本项目</w:t>
            </w:r>
            <w:r>
              <w:rPr>
                <w:rFonts w:hint="eastAsia" w:cs="Times New Roman"/>
                <w:color w:val="auto"/>
                <w:highlight w:val="none"/>
                <w:lang w:val="en-US" w:eastAsia="zh-CN"/>
              </w:rPr>
              <w:t>建设为陆地施工建设，陆地</w:t>
            </w:r>
            <w:r>
              <w:rPr>
                <w:rFonts w:hint="default" w:ascii="Times New Roman" w:hAnsi="Times New Roman" w:cs="Times New Roman"/>
                <w:color w:val="auto"/>
                <w:highlight w:val="none"/>
                <w:lang w:val="en-US" w:eastAsia="zh-CN"/>
              </w:rPr>
              <w:t>选址</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选线不涉及国家公园、自然保护区、世界自然遗产、重要生境</w:t>
            </w:r>
            <w:r>
              <w:rPr>
                <w:rFonts w:hint="eastAsia" w:cs="Times New Roman"/>
                <w:color w:val="auto"/>
                <w:highlight w:val="none"/>
                <w:lang w:val="en-US" w:eastAsia="zh-CN"/>
              </w:rPr>
              <w:t>、自然公园，不涉及</w:t>
            </w:r>
            <w:r>
              <w:rPr>
                <w:rFonts w:hint="default" w:ascii="Times New Roman" w:hAnsi="Times New Roman" w:cs="Times New Roman"/>
                <w:color w:val="auto"/>
                <w:sz w:val="21"/>
                <w:szCs w:val="21"/>
                <w:highlight w:val="none"/>
              </w:rPr>
              <w:t>天然林、公益林、湿地等生态保护目标</w:t>
            </w:r>
            <w:r>
              <w:rPr>
                <w:rFonts w:hint="eastAsia" w:cs="Times New Roman"/>
                <w:color w:val="auto"/>
                <w:sz w:val="21"/>
                <w:szCs w:val="21"/>
                <w:highlight w:val="none"/>
                <w:lang w:eastAsia="zh-CN"/>
              </w:rPr>
              <w:t>，</w:t>
            </w:r>
            <w:r>
              <w:rPr>
                <w:rFonts w:hint="default" w:ascii="Times New Roman" w:hAnsi="Times New Roman" w:cs="Times New Roman"/>
                <w:smallCaps w:val="0"/>
                <w:color w:val="auto"/>
                <w:spacing w:val="0"/>
                <w:w w:val="100"/>
                <w:sz w:val="21"/>
                <w:szCs w:val="21"/>
                <w:highlight w:val="none"/>
              </w:rPr>
              <w:t>陆生生态</w:t>
            </w:r>
            <w:r>
              <w:rPr>
                <w:rFonts w:hint="eastAsia" w:cs="Times New Roman"/>
                <w:color w:val="auto"/>
                <w:sz w:val="21"/>
                <w:szCs w:val="21"/>
                <w:highlight w:val="none"/>
                <w:lang w:val="en-US" w:eastAsia="zh-CN"/>
              </w:rPr>
              <w:t>评级等级为三级。</w:t>
            </w:r>
          </w:p>
          <w:p>
            <w:pPr>
              <w:widowControl w:val="0"/>
              <w:kinsoku/>
              <w:autoSpaceDE/>
              <w:autoSpaceDN/>
              <w:adjustRightInd/>
              <w:snapToGrid/>
              <w:spacing w:line="360" w:lineRule="exact"/>
              <w:jc w:val="both"/>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站外输液管道采取定向穿越的施工方式穿越坑塘水面、沟渠及林地，不进行涉水施工。</w:t>
            </w:r>
          </w:p>
        </w:tc>
        <w:tc>
          <w:tcPr>
            <w:tcW w:w="134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6" w:hRule="atLeast"/>
        </w:trPr>
        <w:tc>
          <w:tcPr>
            <w:tcW w:w="3768" w:type="dxa"/>
            <w:tcBorders>
              <w:tl2br w:val="nil"/>
              <w:tr2bl w:val="nil"/>
            </w:tcBorders>
            <w:vAlign w:val="center"/>
          </w:tcPr>
          <w:p>
            <w:pPr>
              <w:widowControl/>
              <w:spacing w:line="360" w:lineRule="exact"/>
              <w:jc w:val="both"/>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smallCaps w:val="0"/>
                <w:color w:val="auto"/>
                <w:spacing w:val="0"/>
                <w:w w:val="100"/>
                <w:sz w:val="21"/>
                <w:szCs w:val="21"/>
                <w:highlight w:val="none"/>
              </w:rPr>
              <w:t>在矿山开采可能导致矿区土地利用类型明显改变，或拦河闸坝建设可能明显改变水文情势等情况下，评价等级应上调一级</w:t>
            </w:r>
          </w:p>
        </w:tc>
        <w:tc>
          <w:tcPr>
            <w:tcW w:w="340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项目建设</w:t>
            </w:r>
            <w:r>
              <w:rPr>
                <w:rFonts w:hint="default" w:ascii="Times New Roman" w:hAnsi="Times New Roman" w:cs="Times New Roman"/>
                <w:color w:val="auto"/>
                <w:highlight w:val="none"/>
                <w:lang w:val="en-US" w:eastAsia="zh-CN"/>
              </w:rPr>
              <w:t>不涉及</w:t>
            </w:r>
            <w:r>
              <w:rPr>
                <w:rFonts w:hint="default" w:ascii="Times New Roman" w:hAnsi="Times New Roman" w:cs="Times New Roman"/>
                <w:smallCaps w:val="0"/>
                <w:color w:val="auto"/>
                <w:spacing w:val="0"/>
                <w:w w:val="100"/>
                <w:sz w:val="21"/>
                <w:szCs w:val="21"/>
                <w:highlight w:val="none"/>
              </w:rPr>
              <w:t>矿山开采</w:t>
            </w:r>
            <w:r>
              <w:rPr>
                <w:rFonts w:hint="default" w:ascii="Times New Roman" w:hAnsi="Times New Roman" w:eastAsia="宋体" w:cs="Times New Roman"/>
                <w:smallCaps w:val="0"/>
                <w:color w:val="auto"/>
                <w:spacing w:val="0"/>
                <w:w w:val="100"/>
                <w:sz w:val="21"/>
                <w:szCs w:val="21"/>
                <w:highlight w:val="none"/>
                <w:lang w:eastAsia="zh-CN"/>
              </w:rPr>
              <w:t>、</w:t>
            </w:r>
            <w:r>
              <w:rPr>
                <w:rFonts w:hint="default" w:ascii="Times New Roman" w:hAnsi="Times New Roman" w:cs="Times New Roman"/>
                <w:smallCaps w:val="0"/>
                <w:color w:val="auto"/>
                <w:spacing w:val="0"/>
                <w:w w:val="100"/>
                <w:sz w:val="21"/>
                <w:szCs w:val="21"/>
                <w:highlight w:val="none"/>
              </w:rPr>
              <w:t>拦河闸坝建设</w:t>
            </w:r>
          </w:p>
        </w:tc>
        <w:tc>
          <w:tcPr>
            <w:tcW w:w="134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6" w:hRule="atLeast"/>
        </w:trPr>
        <w:tc>
          <w:tcPr>
            <w:tcW w:w="3768" w:type="dxa"/>
            <w:tcBorders>
              <w:tl2br w:val="nil"/>
              <w:tr2bl w:val="nil"/>
            </w:tcBorders>
            <w:vAlign w:val="center"/>
          </w:tcPr>
          <w:p>
            <w:pPr>
              <w:widowControl/>
              <w:spacing w:line="360" w:lineRule="exact"/>
              <w:jc w:val="both"/>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smallCaps w:val="0"/>
                <w:color w:val="auto"/>
                <w:spacing w:val="0"/>
                <w:w w:val="100"/>
                <w:sz w:val="21"/>
                <w:szCs w:val="21"/>
                <w:highlight w:val="none"/>
              </w:rPr>
              <w:t>线性工程可分段确定评价等级。线性工程地下穿越或地表跨越生态敏感区，在生态敏感区范围内无永久、临时占地时，评价等级可下调一级</w:t>
            </w:r>
          </w:p>
        </w:tc>
        <w:tc>
          <w:tcPr>
            <w:tcW w:w="340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本项目选址、选线不涉及</w:t>
            </w:r>
            <w:r>
              <w:rPr>
                <w:rFonts w:hint="default" w:ascii="Times New Roman" w:hAnsi="Times New Roman" w:cs="Times New Roman"/>
                <w:smallCaps w:val="0"/>
                <w:color w:val="auto"/>
                <w:spacing w:val="0"/>
                <w:w w:val="100"/>
                <w:sz w:val="21"/>
                <w:szCs w:val="21"/>
                <w:highlight w:val="none"/>
              </w:rPr>
              <w:t>生态敏感区</w:t>
            </w:r>
          </w:p>
        </w:tc>
        <w:tc>
          <w:tcPr>
            <w:tcW w:w="134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6" w:hRule="atLeast"/>
        </w:trPr>
        <w:tc>
          <w:tcPr>
            <w:tcW w:w="3768" w:type="dxa"/>
            <w:tcBorders>
              <w:tl2br w:val="nil"/>
              <w:tr2bl w:val="nil"/>
            </w:tcBorders>
            <w:vAlign w:val="center"/>
          </w:tcPr>
          <w:p>
            <w:pPr>
              <w:widowControl/>
              <w:spacing w:line="360" w:lineRule="exact"/>
              <w:jc w:val="both"/>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smallCaps w:val="0"/>
                <w:color w:val="auto"/>
                <w:spacing w:val="0"/>
                <w:w w:val="100"/>
                <w:sz w:val="21"/>
                <w:szCs w:val="21"/>
                <w:highlight w:val="none"/>
              </w:rPr>
              <w:t>涉海工程评价等级判定参照GB/T19485</w:t>
            </w:r>
          </w:p>
        </w:tc>
        <w:tc>
          <w:tcPr>
            <w:tcW w:w="3404" w:type="dxa"/>
            <w:tcBorders>
              <w:tl2br w:val="nil"/>
              <w:tr2bl w:val="nil"/>
            </w:tcBorders>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本项目不涉及海洋工程</w:t>
            </w:r>
          </w:p>
        </w:tc>
        <w:tc>
          <w:tcPr>
            <w:tcW w:w="1344" w:type="dxa"/>
            <w:tcBorders>
              <w:tl2br w:val="nil"/>
              <w:tr2bl w:val="nil"/>
            </w:tcBorders>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不涉及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6" w:hRule="atLeast"/>
        </w:trPr>
        <w:tc>
          <w:tcPr>
            <w:tcW w:w="3768" w:type="dxa"/>
            <w:tcBorders>
              <w:tl2br w:val="nil"/>
              <w:tr2bl w:val="nil"/>
            </w:tcBorders>
            <w:vAlign w:val="center"/>
          </w:tcPr>
          <w:p>
            <w:pPr>
              <w:widowControl/>
              <w:spacing w:line="360" w:lineRule="exact"/>
              <w:jc w:val="both"/>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smallCaps w:val="0"/>
                <w:color w:val="auto"/>
                <w:spacing w:val="0"/>
                <w:w w:val="100"/>
                <w:sz w:val="21"/>
                <w:szCs w:val="21"/>
                <w:highlight w:val="none"/>
              </w:rPr>
              <w:t>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tc>
        <w:tc>
          <w:tcPr>
            <w:tcW w:w="340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w:t>
            </w:r>
            <w:r>
              <w:rPr>
                <w:rFonts w:hint="eastAsia" w:cs="Times New Roman"/>
                <w:snapToGrid/>
                <w:color w:val="auto"/>
                <w:kern w:val="2"/>
                <w:sz w:val="21"/>
                <w:szCs w:val="21"/>
                <w:highlight w:val="none"/>
                <w:lang w:val="en-US" w:eastAsia="zh-CN" w:bidi="ar-SA"/>
              </w:rPr>
              <w:t>不涉及</w:t>
            </w:r>
          </w:p>
        </w:tc>
        <w:tc>
          <w:tcPr>
            <w:tcW w:w="1344"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不涉及</w:t>
            </w:r>
          </w:p>
        </w:tc>
      </w:tr>
    </w:tbl>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（2）评价范围</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以3#服务站站址</w:t>
      </w:r>
      <w:r>
        <w:rPr>
          <w:rFonts w:hint="eastAsia" w:cs="Times New Roman"/>
          <w:caps w:val="0"/>
          <w:smallCaps w:val="0"/>
          <w:snapToGrid/>
          <w:color w:val="auto"/>
          <w:spacing w:val="0"/>
          <w:w w:val="100"/>
          <w:kern w:val="0"/>
          <w:sz w:val="24"/>
          <w:szCs w:val="24"/>
          <w:highlight w:val="none"/>
          <w:lang w:val="en-US" w:eastAsia="zh-CN" w:bidi="ar-SA"/>
        </w:rPr>
        <w:t>永久占地外</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扩500m范围内及管道沿线两侧外300m范围内的区域。</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2.4.</w:t>
      </w:r>
      <w:r>
        <w:rPr>
          <w:rFonts w:hint="eastAsia" w:cs="Times New Roman"/>
          <w:caps w:val="0"/>
          <w:smallCaps w:val="0"/>
          <w:snapToGrid/>
          <w:color w:val="auto"/>
          <w:spacing w:val="0"/>
          <w:w w:val="100"/>
          <w:kern w:val="0"/>
          <w:sz w:val="24"/>
          <w:szCs w:val="24"/>
          <w:highlight w:val="none"/>
          <w:lang w:val="en-US" w:eastAsia="zh-CN" w:bidi="ar-SA"/>
        </w:rPr>
        <w:t>7环境</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风险</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（1）评价等级</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根据《建设项目环境风险评价技术导则》（HJ/T169-2018）中划分评价工作等级的方法，本项目评价等级判定具体见下表。</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表2.3-13风险评价工作级别</w:t>
      </w:r>
    </w:p>
    <w:tbl>
      <w:tblPr>
        <w:tblStyle w:val="16"/>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700"/>
        <w:gridCol w:w="1700"/>
        <w:gridCol w:w="1700"/>
        <w:gridCol w:w="1701"/>
        <w:gridCol w:w="171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999" w:type="pct"/>
            <w:tcBorders>
              <w:tl2br w:val="nil"/>
              <w:tr2bl w:val="nil"/>
            </w:tcBorders>
            <w:noWrap w:val="0"/>
            <w:vAlign w:val="center"/>
          </w:tcPr>
          <w:p>
            <w:pPr>
              <w:widowControl w:val="0"/>
              <w:spacing w:line="360" w:lineRule="exact"/>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环境风险潜势</w:t>
            </w:r>
          </w:p>
        </w:tc>
        <w:tc>
          <w:tcPr>
            <w:tcW w:w="999" w:type="pct"/>
            <w:tcBorders>
              <w:tl2br w:val="nil"/>
              <w:tr2bl w:val="nil"/>
            </w:tcBorders>
            <w:noWrap w:val="0"/>
            <w:vAlign w:val="center"/>
          </w:tcPr>
          <w:p>
            <w:pPr>
              <w:widowControl w:val="0"/>
              <w:spacing w:line="360" w:lineRule="exact"/>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IV、IV+</w:t>
            </w:r>
          </w:p>
        </w:tc>
        <w:tc>
          <w:tcPr>
            <w:tcW w:w="999" w:type="pct"/>
            <w:tcBorders>
              <w:tl2br w:val="nil"/>
              <w:tr2bl w:val="nil"/>
            </w:tcBorders>
            <w:noWrap w:val="0"/>
            <w:vAlign w:val="center"/>
          </w:tcPr>
          <w:p>
            <w:pPr>
              <w:widowControl w:val="0"/>
              <w:spacing w:line="360" w:lineRule="exact"/>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III</w:t>
            </w:r>
          </w:p>
        </w:tc>
        <w:tc>
          <w:tcPr>
            <w:tcW w:w="999" w:type="pct"/>
            <w:tcBorders>
              <w:tl2br w:val="nil"/>
              <w:tr2bl w:val="nil"/>
            </w:tcBorders>
            <w:noWrap w:val="0"/>
            <w:vAlign w:val="center"/>
          </w:tcPr>
          <w:p>
            <w:pPr>
              <w:widowControl w:val="0"/>
              <w:spacing w:line="360" w:lineRule="exact"/>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II</w:t>
            </w:r>
          </w:p>
        </w:tc>
        <w:tc>
          <w:tcPr>
            <w:tcW w:w="1000" w:type="pct"/>
            <w:tcBorders>
              <w:tl2br w:val="nil"/>
              <w:tr2bl w:val="nil"/>
            </w:tcBorders>
            <w:noWrap w:val="0"/>
            <w:vAlign w:val="center"/>
          </w:tcPr>
          <w:p>
            <w:pPr>
              <w:widowControl w:val="0"/>
              <w:spacing w:line="360" w:lineRule="exact"/>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I</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9" w:type="pct"/>
            <w:tcBorders>
              <w:tl2br w:val="nil"/>
              <w:tr2bl w:val="nil"/>
            </w:tcBorders>
            <w:noWrap w:val="0"/>
            <w:vAlign w:val="center"/>
          </w:tcPr>
          <w:p>
            <w:pPr>
              <w:widowControl w:val="0"/>
              <w:spacing w:line="360" w:lineRule="exact"/>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评价工作等级</w:t>
            </w:r>
          </w:p>
        </w:tc>
        <w:tc>
          <w:tcPr>
            <w:tcW w:w="999" w:type="pct"/>
            <w:tcBorders>
              <w:tl2br w:val="nil"/>
              <w:tr2bl w:val="nil"/>
            </w:tcBorders>
            <w:noWrap w:val="0"/>
            <w:vAlign w:val="center"/>
          </w:tcPr>
          <w:p>
            <w:pPr>
              <w:widowControl w:val="0"/>
              <w:spacing w:line="360" w:lineRule="exact"/>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一</w:t>
            </w:r>
          </w:p>
        </w:tc>
        <w:tc>
          <w:tcPr>
            <w:tcW w:w="999" w:type="pct"/>
            <w:tcBorders>
              <w:tl2br w:val="nil"/>
              <w:tr2bl w:val="nil"/>
            </w:tcBorders>
            <w:noWrap w:val="0"/>
            <w:vAlign w:val="center"/>
          </w:tcPr>
          <w:p>
            <w:pPr>
              <w:widowControl w:val="0"/>
              <w:spacing w:line="360" w:lineRule="exact"/>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二</w:t>
            </w:r>
          </w:p>
        </w:tc>
        <w:tc>
          <w:tcPr>
            <w:tcW w:w="999" w:type="pct"/>
            <w:tcBorders>
              <w:tl2br w:val="nil"/>
              <w:tr2bl w:val="nil"/>
            </w:tcBorders>
            <w:noWrap w:val="0"/>
            <w:vAlign w:val="center"/>
          </w:tcPr>
          <w:p>
            <w:pPr>
              <w:widowControl w:val="0"/>
              <w:spacing w:line="360" w:lineRule="exact"/>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三</w:t>
            </w:r>
          </w:p>
        </w:tc>
        <w:tc>
          <w:tcPr>
            <w:tcW w:w="1000" w:type="pct"/>
            <w:tcBorders>
              <w:tl2br w:val="nil"/>
              <w:tr2bl w:val="nil"/>
            </w:tcBorders>
            <w:noWrap w:val="0"/>
            <w:vAlign w:val="center"/>
          </w:tcPr>
          <w:p>
            <w:pPr>
              <w:widowControl w:val="0"/>
              <w:spacing w:line="360" w:lineRule="exact"/>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简单分析a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00" w:type="pct"/>
            <w:gridSpan w:val="5"/>
            <w:tcBorders>
              <w:tl2br w:val="nil"/>
              <w:tr2bl w:val="nil"/>
            </w:tcBorders>
            <w:noWrap w:val="0"/>
            <w:vAlign w:val="center"/>
          </w:tcPr>
          <w:p>
            <w:pPr>
              <w:widowControl w:val="0"/>
              <w:spacing w:line="360" w:lineRule="exact"/>
              <w:jc w:val="both"/>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a是相对于详细评价工作内容而言，在描述危险物质、环境影响途径、环境危害后果、风险防范措施等方面给出定性的说明。</w:t>
            </w:r>
          </w:p>
        </w:tc>
      </w:tr>
    </w:tbl>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根据《建设项目环境风险评价技术导则》（HJ169-2018）中附录C危险物质及工艺系统危险性（P）的分级中C1.1危险物质数量与临界量比值（Q），计算所涉及的每种危险物质在厂界内的最大存在总量与其在附录B中对应临界量的比值Q。在不同厂区的同一种物质，按其在厂界内的最大存在总量计算。</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当只涉及一种危险物质时，计算该物质的总量与其临界量比值，即为Q；</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当存在多种危险物质时，则按下式计算物质总量与其临界量比值Q：</w:t>
      </w:r>
    </w:p>
    <w:p>
      <w:pPr>
        <w:keepNext w:val="0"/>
        <w:keepLines w:val="0"/>
        <w:pageBreakBefore w:val="0"/>
        <w:widowControl w:val="0"/>
        <w:kinsoku/>
        <w:wordWrap/>
        <w:overflowPunct/>
        <w:topLinePunct w:val="0"/>
        <w:autoSpaceDE/>
        <w:autoSpaceDN/>
        <w:bidi w:val="0"/>
        <w:adjustRightInd/>
        <w:snapToGrid/>
        <w:spacing w:line="500" w:lineRule="exact"/>
        <w:ind w:firstLine="960" w:firstLineChars="4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Q＝q</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1</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/Q</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1</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＋q</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/Q</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＋…q</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n</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/Q</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n</w:t>
      </w:r>
    </w:p>
    <w:p>
      <w:pPr>
        <w:keepNext w:val="0"/>
        <w:keepLines w:val="0"/>
        <w:pageBreakBefore w:val="0"/>
        <w:widowControl w:val="0"/>
        <w:kinsoku/>
        <w:wordWrap/>
        <w:overflowPunct/>
        <w:topLinePunct w:val="0"/>
        <w:autoSpaceDE/>
        <w:autoSpaceDN/>
        <w:bidi w:val="0"/>
        <w:adjustRightInd/>
        <w:snapToGrid/>
        <w:spacing w:line="500" w:lineRule="exact"/>
        <w:ind w:firstLine="960" w:firstLineChars="4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式中：q</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1</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，q</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，…，qn——每种危险物质的最大存在总量，t；</w:t>
      </w:r>
    </w:p>
    <w:p>
      <w:pPr>
        <w:keepNext w:val="0"/>
        <w:keepLines w:val="0"/>
        <w:pageBreakBefore w:val="0"/>
        <w:widowControl w:val="0"/>
        <w:kinsoku/>
        <w:wordWrap/>
        <w:overflowPunct/>
        <w:topLinePunct w:val="0"/>
        <w:autoSpaceDE/>
        <w:autoSpaceDN/>
        <w:bidi w:val="0"/>
        <w:adjustRightInd/>
        <w:snapToGrid/>
        <w:spacing w:line="500" w:lineRule="exact"/>
        <w:ind w:firstLine="1680" w:firstLineChars="7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Q</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1</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，Q</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，…，Qn——每种危险物质的临界量，t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500" w:lineRule="exact"/>
        <w:ind w:firstLine="960" w:firstLineChars="4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当Q＜1时，该项目环境风险潜势为I。</w:t>
      </w:r>
    </w:p>
    <w:p>
      <w:pPr>
        <w:keepNext w:val="0"/>
        <w:keepLines w:val="0"/>
        <w:pageBreakBefore w:val="0"/>
        <w:widowControl w:val="0"/>
        <w:kinsoku/>
        <w:wordWrap/>
        <w:overflowPunct/>
        <w:topLinePunct w:val="0"/>
        <w:autoSpaceDE/>
        <w:autoSpaceDN/>
        <w:bidi w:val="0"/>
        <w:adjustRightInd/>
        <w:snapToGrid/>
        <w:spacing w:line="500" w:lineRule="exact"/>
        <w:ind w:firstLine="960" w:firstLineChars="4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当Q≥1时，将Q值划分为：（1）1≤Q＜10；（2）10≤Q＜100；（3）Q≥100。危险物质数量与临界量比值（Q）的确定</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对照</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《建设项目环境风险评价技术导则》（HJ169-2018）附录B，分析建设项目生产、使用、储存过程中涉及的有毒有害、易燃易爆物质，本项目涉及的风险物质为</w:t>
      </w:r>
      <w:r>
        <w:rPr>
          <w:rFonts w:hint="eastAsia" w:cs="Times New Roman"/>
          <w:caps w:val="0"/>
          <w:smallCaps w:val="0"/>
          <w:snapToGrid/>
          <w:color w:val="auto"/>
          <w:spacing w:val="0"/>
          <w:w w:val="100"/>
          <w:kern w:val="0"/>
          <w:sz w:val="24"/>
          <w:szCs w:val="24"/>
          <w:highlight w:val="none"/>
          <w:lang w:val="en-US" w:eastAsia="zh-CN" w:bidi="ar-SA"/>
        </w:rPr>
        <w:t>工艺过程中产生的污油和废机油。</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eastAsia" w:ascii="Times New Roman" w:hAnsi="Arial" w:eastAsia="Times New Roman" w:cs="Arial"/>
          <w:b/>
          <w:bCs/>
          <w:snapToGrid w:val="0"/>
          <w:color w:val="auto"/>
          <w:kern w:val="0"/>
          <w:sz w:val="21"/>
          <w:szCs w:val="21"/>
          <w:highlight w:val="none"/>
          <w:lang w:val="en-US" w:eastAsia="zh-CN"/>
        </w:rPr>
      </w:pPr>
      <w:r>
        <w:rPr>
          <w:rFonts w:hint="eastAsia" w:ascii="Times New Roman" w:hAnsi="Arial" w:eastAsia="Times New Roman" w:cs="Arial"/>
          <w:b/>
          <w:bCs/>
          <w:snapToGrid w:val="0"/>
          <w:color w:val="auto"/>
          <w:kern w:val="0"/>
          <w:sz w:val="21"/>
          <w:szCs w:val="21"/>
          <w:highlight w:val="none"/>
          <w:lang w:val="en-US" w:eastAsia="zh-CN"/>
        </w:rPr>
        <w:t>表2.3-</w:t>
      </w:r>
      <w:r>
        <w:rPr>
          <w:rFonts w:hint="eastAsia" w:hAnsi="Arial" w:eastAsia="Times New Roman" w:cs="Arial"/>
          <w:b/>
          <w:bCs/>
          <w:snapToGrid w:val="0"/>
          <w:color w:val="auto"/>
          <w:kern w:val="0"/>
          <w:sz w:val="21"/>
          <w:szCs w:val="21"/>
          <w:highlight w:val="none"/>
          <w:lang w:val="en-US" w:eastAsia="zh-CN"/>
        </w:rPr>
        <w:t>14</w:t>
      </w:r>
      <w:r>
        <w:rPr>
          <w:rFonts w:hint="eastAsia" w:ascii="Times New Roman" w:hAnsi="Arial" w:eastAsia="Times New Roman" w:cs="Arial"/>
          <w:b/>
          <w:bCs/>
          <w:snapToGrid w:val="0"/>
          <w:color w:val="auto"/>
          <w:kern w:val="0"/>
          <w:sz w:val="21"/>
          <w:szCs w:val="21"/>
          <w:highlight w:val="none"/>
          <w:lang w:val="en-US" w:eastAsia="zh-CN"/>
        </w:rPr>
        <w:t>本项目Q值计算过程</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70"/>
        <w:gridCol w:w="1498"/>
        <w:gridCol w:w="1480"/>
        <w:gridCol w:w="1216"/>
        <w:gridCol w:w="1217"/>
        <w:gridCol w:w="1217"/>
        <w:gridCol w:w="12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70" w:type="dxa"/>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1498" w:type="dxa"/>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风险</w:t>
            </w:r>
            <w:r>
              <w:rPr>
                <w:rFonts w:hint="default" w:ascii="Times New Roman" w:hAnsi="Times New Roman" w:eastAsia="宋体" w:cs="Times New Roman"/>
                <w:color w:val="auto"/>
                <w:sz w:val="21"/>
                <w:szCs w:val="21"/>
                <w:highlight w:val="none"/>
                <w:lang w:val="en-US" w:eastAsia="zh-CN"/>
              </w:rPr>
              <w:t>物质名称</w:t>
            </w:r>
          </w:p>
        </w:tc>
        <w:tc>
          <w:tcPr>
            <w:tcW w:w="1480" w:type="dxa"/>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存在位置</w:t>
            </w:r>
          </w:p>
        </w:tc>
        <w:tc>
          <w:tcPr>
            <w:tcW w:w="1216"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CAS号</w:t>
            </w:r>
          </w:p>
        </w:tc>
        <w:tc>
          <w:tcPr>
            <w:tcW w:w="1217" w:type="dxa"/>
            <w:tcBorders>
              <w:tl2br w:val="nil"/>
              <w:tr2bl w:val="nil"/>
            </w:tcBorders>
            <w:vAlign w:val="center"/>
          </w:tcPr>
          <w:p>
            <w:pPr>
              <w:widowControl w:val="0"/>
              <w:spacing w:line="360" w:lineRule="exact"/>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最大存在总量qn/t</w:t>
            </w:r>
          </w:p>
        </w:tc>
        <w:tc>
          <w:tcPr>
            <w:tcW w:w="1217" w:type="dxa"/>
            <w:tcBorders>
              <w:tl2br w:val="nil"/>
              <w:tr2bl w:val="nil"/>
            </w:tcBorders>
            <w:vAlign w:val="center"/>
          </w:tcPr>
          <w:p>
            <w:pPr>
              <w:widowControl w:val="0"/>
              <w:spacing w:line="360" w:lineRule="exact"/>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临界量Qn/t</w:t>
            </w:r>
          </w:p>
        </w:tc>
        <w:tc>
          <w:tcPr>
            <w:tcW w:w="1217" w:type="dxa"/>
            <w:tcBorders>
              <w:tl2br w:val="nil"/>
              <w:tr2bl w:val="nil"/>
            </w:tcBorders>
            <w:vAlign w:val="center"/>
          </w:tcPr>
          <w:p>
            <w:pPr>
              <w:widowControl w:val="0"/>
              <w:spacing w:line="360" w:lineRule="exact"/>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Q值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70" w:type="dxa"/>
            <w:tcBorders>
              <w:tl2br w:val="nil"/>
              <w:tr2bl w:val="nil"/>
            </w:tcBorders>
            <w:vAlign w:val="center"/>
          </w:tcPr>
          <w:p>
            <w:pPr>
              <w:widowControl w:val="0"/>
              <w:spacing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1498" w:type="dxa"/>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油类物质</w:t>
            </w:r>
          </w:p>
        </w:tc>
        <w:tc>
          <w:tcPr>
            <w:tcW w:w="1480" w:type="dxa"/>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Cs w:val="24"/>
                <w:highlight w:val="none"/>
                <w:lang w:val="en-US" w:eastAsia="zh-CN"/>
              </w:rPr>
              <w:t>污油储罐</w:t>
            </w:r>
          </w:p>
        </w:tc>
        <w:tc>
          <w:tcPr>
            <w:tcW w:w="1216"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vertAlign w:val="baseline"/>
                <w:lang w:val="en-US" w:eastAsia="zh-CN"/>
              </w:rPr>
              <w:t>158</w:t>
            </w:r>
          </w:p>
        </w:tc>
        <w:tc>
          <w:tcPr>
            <w:tcW w:w="1217"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2500</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vertAlign w:val="baseline"/>
                <w:lang w:val="en-US" w:eastAsia="zh-CN"/>
              </w:rPr>
              <w:t>0.0632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70" w:type="dxa"/>
            <w:tcBorders>
              <w:tl2br w:val="nil"/>
              <w:tr2bl w:val="nil"/>
            </w:tcBorders>
            <w:vAlign w:val="center"/>
          </w:tcPr>
          <w:p>
            <w:pPr>
              <w:widowControl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w:t>
            </w:r>
          </w:p>
        </w:tc>
        <w:tc>
          <w:tcPr>
            <w:tcW w:w="1498" w:type="dxa"/>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vertAlign w:val="baseline"/>
                <w:lang w:val="en-US" w:eastAsia="zh-CN"/>
              </w:rPr>
              <w:t>废机油</w:t>
            </w:r>
          </w:p>
        </w:tc>
        <w:tc>
          <w:tcPr>
            <w:tcW w:w="1480" w:type="dxa"/>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vertAlign w:val="baseline"/>
                <w:lang w:val="en-US" w:eastAsia="zh-CN"/>
              </w:rPr>
              <w:t>危废暂存间</w:t>
            </w:r>
          </w:p>
        </w:tc>
        <w:tc>
          <w:tcPr>
            <w:tcW w:w="1216" w:type="dxa"/>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vertAlign w:val="baseline"/>
                <w:lang w:val="en-US" w:eastAsia="zh-CN"/>
              </w:rPr>
              <w:t>0.186</w:t>
            </w:r>
          </w:p>
        </w:tc>
        <w:tc>
          <w:tcPr>
            <w:tcW w:w="1217"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2500</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vertAlign w:val="baseline"/>
                <w:lang w:val="en-US" w:eastAsia="zh-CN"/>
              </w:rPr>
              <w:t>0.00007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298" w:type="dxa"/>
            <w:gridSpan w:val="6"/>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合计</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0.063</w:t>
            </w:r>
          </w:p>
        </w:tc>
      </w:tr>
    </w:tbl>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本项目Q</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1，环境风险潜势为I。风险评价工作等级为简单分析。</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（2）评价范围</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不设置环境风险评价范围；本次对涉及的危险物质、环境影响途径、环境危害、风险防范措施等方面进行分析。</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2.4.</w:t>
      </w:r>
      <w:r>
        <w:rPr>
          <w:rFonts w:hint="eastAsia" w:cs="Times New Roman"/>
          <w:caps w:val="0"/>
          <w:smallCaps w:val="0"/>
          <w:snapToGrid/>
          <w:color w:val="auto"/>
          <w:spacing w:val="0"/>
          <w:w w:val="100"/>
          <w:kern w:val="0"/>
          <w:sz w:val="24"/>
          <w:szCs w:val="24"/>
          <w:highlight w:val="none"/>
          <w:lang w:val="en-US" w:eastAsia="zh-CN" w:bidi="ar-SA"/>
        </w:rPr>
        <w:t>8小结</w:t>
      </w:r>
    </w:p>
    <w:p>
      <w:pPr>
        <w:pStyle w:val="2"/>
        <w:ind w:left="0" w:leftChars="0" w:firstLine="480" w:firstLineChars="200"/>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综合以上，本项目环境要素的评价工作等级及评价范围见下表。</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表2.4-15环境要素的评价等级及评价范围一览表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21"/>
        <w:gridCol w:w="1395"/>
        <w:gridCol w:w="1455"/>
        <w:gridCol w:w="494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21"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序号</w:t>
            </w:r>
          </w:p>
        </w:tc>
        <w:tc>
          <w:tcPr>
            <w:tcW w:w="1395"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环境要素</w:t>
            </w:r>
          </w:p>
        </w:tc>
        <w:tc>
          <w:tcPr>
            <w:tcW w:w="1455" w:type="dxa"/>
            <w:tcBorders>
              <w:tl2br w:val="nil"/>
              <w:tr2bl w:val="nil"/>
            </w:tcBorders>
            <w:vAlign w:val="center"/>
          </w:tcPr>
          <w:p>
            <w:pPr>
              <w:widowControl/>
              <w:spacing w:line="360" w:lineRule="exact"/>
              <w:jc w:val="center"/>
              <w:rPr>
                <w:rFonts w:hint="eastAsia"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工作等级</w:t>
            </w:r>
          </w:p>
        </w:tc>
        <w:tc>
          <w:tcPr>
            <w:tcW w:w="4945" w:type="dxa"/>
            <w:tcBorders>
              <w:tl2br w:val="nil"/>
              <w:tr2bl w:val="nil"/>
            </w:tcBorders>
            <w:vAlign w:val="center"/>
          </w:tcPr>
          <w:p>
            <w:pPr>
              <w:widowControl/>
              <w:spacing w:line="360" w:lineRule="exact"/>
              <w:jc w:val="center"/>
              <w:rPr>
                <w:rFonts w:hint="eastAsia"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评价范围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21"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1</w:t>
            </w:r>
          </w:p>
        </w:tc>
        <w:tc>
          <w:tcPr>
            <w:tcW w:w="1395"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环境空气</w:t>
            </w:r>
          </w:p>
        </w:tc>
        <w:tc>
          <w:tcPr>
            <w:tcW w:w="1455"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二级</w:t>
            </w:r>
          </w:p>
        </w:tc>
        <w:tc>
          <w:tcPr>
            <w:tcW w:w="4945" w:type="dxa"/>
            <w:tcBorders>
              <w:tl2br w:val="nil"/>
              <w:tr2bl w:val="nil"/>
            </w:tcBorders>
            <w:vAlign w:val="center"/>
          </w:tcPr>
          <w:p>
            <w:pPr>
              <w:widowControl/>
              <w:spacing w:line="360" w:lineRule="exact"/>
              <w:jc w:val="center"/>
              <w:rPr>
                <w:rFonts w:hint="eastAsia"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以3#服务站站址中心区域，边长为5km的区域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21"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2</w:t>
            </w:r>
          </w:p>
        </w:tc>
        <w:tc>
          <w:tcPr>
            <w:tcW w:w="1395"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地表水</w:t>
            </w:r>
          </w:p>
        </w:tc>
        <w:tc>
          <w:tcPr>
            <w:tcW w:w="1455"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三级B</w:t>
            </w:r>
          </w:p>
        </w:tc>
        <w:tc>
          <w:tcPr>
            <w:tcW w:w="4945"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涉及地表水环境风险的，覆盖环境风险影响范围所及的水环境保护目标水域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21"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3</w:t>
            </w:r>
          </w:p>
        </w:tc>
        <w:tc>
          <w:tcPr>
            <w:tcW w:w="1395"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地下水</w:t>
            </w:r>
          </w:p>
        </w:tc>
        <w:tc>
          <w:tcPr>
            <w:tcW w:w="1455"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二级</w:t>
            </w:r>
          </w:p>
        </w:tc>
        <w:tc>
          <w:tcPr>
            <w:tcW w:w="4945" w:type="dxa"/>
            <w:tcBorders>
              <w:tl2br w:val="nil"/>
              <w:tr2bl w:val="nil"/>
            </w:tcBorders>
            <w:vAlign w:val="center"/>
          </w:tcPr>
          <w:p>
            <w:pPr>
              <w:widowControl/>
              <w:spacing w:line="360" w:lineRule="exact"/>
              <w:jc w:val="both"/>
              <w:rPr>
                <w:rFonts w:hint="eastAsia"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为以服务站站址外北侧外扩1km，东、西两侧外扩1km，南侧外扩3km，总评价面积10.76km</w:t>
            </w:r>
            <w:r>
              <w:rPr>
                <w:rFonts w:hint="eastAsia" w:ascii="Times New Roman" w:hAnsi="Times New Roman" w:eastAsia="宋体" w:cs="Times New Roman"/>
                <w:smallCaps w:val="0"/>
                <w:color w:val="auto"/>
                <w:spacing w:val="0"/>
                <w:w w:val="100"/>
                <w:sz w:val="21"/>
                <w:szCs w:val="21"/>
                <w:highlight w:val="none"/>
                <w:vertAlign w:val="superscript"/>
                <w:lang w:val="en-US" w:eastAsia="zh-CN"/>
              </w:rPr>
              <w:t>2</w:t>
            </w:r>
            <w:r>
              <w:rPr>
                <w:rFonts w:hint="eastAsia" w:ascii="Times New Roman" w:hAnsi="Times New Roman" w:eastAsia="宋体" w:cs="Times New Roman"/>
                <w:smallCaps w:val="0"/>
                <w:color w:val="auto"/>
                <w:spacing w:val="0"/>
                <w:w w:val="100"/>
                <w:sz w:val="21"/>
                <w:szCs w:val="21"/>
                <w:highlight w:val="none"/>
                <w:lang w:val="en-US" w:eastAsia="zh-CN"/>
              </w:rPr>
              <w:t>。站外输液管道地下水评价范围为管道沿线两侧200m范围内的区域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21"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4</w:t>
            </w:r>
          </w:p>
        </w:tc>
        <w:tc>
          <w:tcPr>
            <w:tcW w:w="1395"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声环境</w:t>
            </w:r>
          </w:p>
        </w:tc>
        <w:tc>
          <w:tcPr>
            <w:tcW w:w="1455"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二级</w:t>
            </w:r>
          </w:p>
        </w:tc>
        <w:tc>
          <w:tcPr>
            <w:tcW w:w="4945" w:type="dxa"/>
            <w:tcBorders>
              <w:tl2br w:val="nil"/>
              <w:tr2bl w:val="nil"/>
            </w:tcBorders>
            <w:vAlign w:val="center"/>
          </w:tcPr>
          <w:p>
            <w:pPr>
              <w:widowControl/>
              <w:spacing w:line="360" w:lineRule="exact"/>
              <w:jc w:val="both"/>
              <w:rPr>
                <w:rFonts w:hint="eastAsia" w:ascii="Times New Roman" w:hAnsi="Times New Roman" w:eastAsia="宋体" w:cs="Times New Roman"/>
                <w:smallCaps w:val="0"/>
                <w:color w:val="auto"/>
                <w:spacing w:val="0"/>
                <w:w w:val="100"/>
                <w:sz w:val="21"/>
                <w:szCs w:val="21"/>
                <w:highlight w:val="none"/>
                <w:lang w:val="en-US" w:eastAsia="zh-CN"/>
              </w:rPr>
            </w:pPr>
            <w:r>
              <w:rPr>
                <w:rFonts w:hint="eastAsia" w:cs="Times New Roman"/>
                <w:smallCaps w:val="0"/>
                <w:color w:val="auto"/>
                <w:spacing w:val="0"/>
                <w:w w:val="100"/>
                <w:sz w:val="21"/>
                <w:szCs w:val="21"/>
                <w:highlight w:val="none"/>
                <w:lang w:val="en-US" w:eastAsia="zh-CN"/>
              </w:rPr>
              <w:t>3#</w:t>
            </w:r>
            <w:r>
              <w:rPr>
                <w:rFonts w:hint="eastAsia" w:ascii="Times New Roman" w:hAnsi="Times New Roman" w:eastAsia="宋体" w:cs="Times New Roman"/>
                <w:smallCaps w:val="0"/>
                <w:color w:val="auto"/>
                <w:spacing w:val="0"/>
                <w:w w:val="100"/>
                <w:sz w:val="21"/>
                <w:szCs w:val="21"/>
                <w:highlight w:val="none"/>
                <w:lang w:val="en-US" w:eastAsia="zh-CN"/>
              </w:rPr>
              <w:t>服务站站址厂界外扩200m范围，管道两侧各200m范围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21"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5</w:t>
            </w:r>
          </w:p>
        </w:tc>
        <w:tc>
          <w:tcPr>
            <w:tcW w:w="1395"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土壤</w:t>
            </w:r>
          </w:p>
        </w:tc>
        <w:tc>
          <w:tcPr>
            <w:tcW w:w="1455"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二级</w:t>
            </w:r>
          </w:p>
        </w:tc>
        <w:tc>
          <w:tcPr>
            <w:tcW w:w="4945" w:type="dxa"/>
            <w:tcBorders>
              <w:tl2br w:val="nil"/>
              <w:tr2bl w:val="nil"/>
            </w:tcBorders>
            <w:vAlign w:val="center"/>
          </w:tcPr>
          <w:p>
            <w:pPr>
              <w:widowControl/>
              <w:spacing w:line="360" w:lineRule="exact"/>
              <w:jc w:val="both"/>
              <w:rPr>
                <w:rFonts w:hint="eastAsia" w:ascii="Times New Roman" w:hAnsi="Times New Roman" w:eastAsia="宋体" w:cs="Times New Roman"/>
                <w:smallCaps w:val="0"/>
                <w:color w:val="auto"/>
                <w:spacing w:val="0"/>
                <w:w w:val="100"/>
                <w:sz w:val="21"/>
                <w:szCs w:val="21"/>
                <w:highlight w:val="none"/>
                <w:lang w:val="en-US" w:eastAsia="zh-CN"/>
              </w:rPr>
            </w:pPr>
            <w:r>
              <w:rPr>
                <w:rFonts w:hint="eastAsia" w:cs="Times New Roman"/>
                <w:smallCaps w:val="0"/>
                <w:color w:val="auto"/>
                <w:spacing w:val="0"/>
                <w:w w:val="100"/>
                <w:sz w:val="21"/>
                <w:szCs w:val="21"/>
                <w:highlight w:val="none"/>
                <w:lang w:val="en-US" w:eastAsia="zh-CN"/>
              </w:rPr>
              <w:t>3#</w:t>
            </w:r>
            <w:r>
              <w:rPr>
                <w:rFonts w:hint="eastAsia" w:ascii="Times New Roman" w:hAnsi="Times New Roman" w:eastAsia="宋体" w:cs="Times New Roman"/>
                <w:smallCaps w:val="0"/>
                <w:color w:val="auto"/>
                <w:spacing w:val="0"/>
                <w:w w:val="100"/>
                <w:sz w:val="21"/>
                <w:szCs w:val="21"/>
                <w:highlight w:val="none"/>
                <w:lang w:val="en-US" w:eastAsia="zh-CN"/>
              </w:rPr>
              <w:t>服务站站址外200m范围内及输液管道沿线两侧200m范围内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60" w:hRule="atLeast"/>
        </w:trPr>
        <w:tc>
          <w:tcPr>
            <w:tcW w:w="721"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6</w:t>
            </w:r>
          </w:p>
        </w:tc>
        <w:tc>
          <w:tcPr>
            <w:tcW w:w="1395"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生态环境</w:t>
            </w:r>
          </w:p>
        </w:tc>
        <w:tc>
          <w:tcPr>
            <w:tcW w:w="1455"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三级</w:t>
            </w:r>
          </w:p>
        </w:tc>
        <w:tc>
          <w:tcPr>
            <w:tcW w:w="4945" w:type="dxa"/>
            <w:tcBorders>
              <w:tl2br w:val="nil"/>
              <w:tr2bl w:val="nil"/>
            </w:tcBorders>
            <w:vAlign w:val="center"/>
          </w:tcPr>
          <w:p>
            <w:pPr>
              <w:widowControl/>
              <w:spacing w:line="360" w:lineRule="exact"/>
              <w:jc w:val="both"/>
              <w:rPr>
                <w:rFonts w:hint="eastAsia"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以3#服务站站址厂界外扩500m范围内及管道沿线两侧外300m范围内的区域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21"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7</w:t>
            </w:r>
          </w:p>
        </w:tc>
        <w:tc>
          <w:tcPr>
            <w:tcW w:w="1395"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环境风险</w:t>
            </w:r>
          </w:p>
        </w:tc>
        <w:tc>
          <w:tcPr>
            <w:tcW w:w="1455" w:type="dxa"/>
            <w:tcBorders>
              <w:tl2br w:val="nil"/>
              <w:tr2bl w:val="nil"/>
            </w:tcBorders>
            <w:vAlign w:val="center"/>
          </w:tcPr>
          <w:p>
            <w:pPr>
              <w:widowControl/>
              <w:spacing w:line="360" w:lineRule="exact"/>
              <w:jc w:val="center"/>
              <w:rPr>
                <w:rFonts w:hint="default"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简单分析</w:t>
            </w:r>
          </w:p>
        </w:tc>
        <w:tc>
          <w:tcPr>
            <w:tcW w:w="4945" w:type="dxa"/>
            <w:tcBorders>
              <w:tl2br w:val="nil"/>
              <w:tr2bl w:val="nil"/>
            </w:tcBorders>
            <w:vAlign w:val="center"/>
          </w:tcPr>
          <w:p>
            <w:pPr>
              <w:widowControl/>
              <w:spacing w:line="360" w:lineRule="exact"/>
              <w:jc w:val="both"/>
              <w:rPr>
                <w:rFonts w:hint="eastAsia" w:ascii="Times New Roman" w:hAnsi="Times New Roman" w:eastAsia="宋体" w:cs="Times New Roman"/>
                <w:smallCaps w:val="0"/>
                <w:color w:val="auto"/>
                <w:spacing w:val="0"/>
                <w:w w:val="100"/>
                <w:sz w:val="21"/>
                <w:szCs w:val="21"/>
                <w:highlight w:val="none"/>
                <w:lang w:val="en-US" w:eastAsia="zh-CN"/>
              </w:rPr>
            </w:pPr>
            <w:r>
              <w:rPr>
                <w:rFonts w:hint="eastAsia" w:ascii="Times New Roman" w:hAnsi="Times New Roman" w:eastAsia="宋体" w:cs="Times New Roman"/>
                <w:smallCaps w:val="0"/>
                <w:color w:val="auto"/>
                <w:spacing w:val="0"/>
                <w:w w:val="100"/>
                <w:sz w:val="21"/>
                <w:szCs w:val="21"/>
                <w:highlight w:val="none"/>
                <w:lang w:val="en-US" w:eastAsia="zh-CN"/>
              </w:rPr>
              <w:t>不设置环境风险评价范围；本次对涉及的危险物质、环境影响途径、环境危害、风险防范措施等方面进行分析</w:t>
            </w:r>
          </w:p>
        </w:tc>
      </w:tr>
    </w:tbl>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21" w:name="_Toc32057"/>
      <w:r>
        <w:rPr>
          <w:rFonts w:hint="eastAsia" w:ascii="Times New Roman" w:hAnsi="Times New Roman" w:eastAsia="宋体" w:cs="Times New Roman"/>
          <w:snapToGrid/>
          <w:color w:val="auto"/>
          <w:sz w:val="32"/>
          <w:highlight w:val="none"/>
          <w:lang w:val="en-US" w:eastAsia="zh-CN" w:bidi="ar-SA"/>
        </w:rPr>
        <w:t>2.5环境保护目标</w:t>
      </w:r>
      <w:bookmarkEnd w:id="21"/>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2.5.1大气环境</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本项目大气环境保护</w:t>
      </w:r>
      <w:r>
        <w:rPr>
          <w:rFonts w:hint="eastAsia" w:cs="Times New Roman"/>
          <w:caps w:val="0"/>
          <w:smallCaps w:val="0"/>
          <w:snapToGrid/>
          <w:color w:val="auto"/>
          <w:spacing w:val="0"/>
          <w:w w:val="100"/>
          <w:kern w:val="0"/>
          <w:sz w:val="24"/>
          <w:szCs w:val="24"/>
          <w:highlight w:val="none"/>
          <w:lang w:val="en-US" w:eastAsia="zh-CN" w:bidi="ar-SA"/>
        </w:rPr>
        <w:t>目标详</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见表2.5-1。</w:t>
      </w:r>
    </w:p>
    <w:p>
      <w:pPr>
        <w:pStyle w:val="2"/>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Arial" w:eastAsia="Times New Roman" w:cs="Arial"/>
          <w:b/>
          <w:bCs/>
          <w:snapToGrid w:val="0"/>
          <w:color w:val="auto"/>
          <w:kern w:val="0"/>
          <w:sz w:val="21"/>
          <w:szCs w:val="21"/>
          <w:highlight w:val="none"/>
          <w:lang w:val="en-US" w:eastAsia="zh-CN"/>
        </w:rPr>
      </w:pPr>
      <w:r>
        <w:rPr>
          <w:rFonts w:hint="eastAsia" w:ascii="Times New Roman" w:hAnsi="Arial" w:eastAsia="Times New Roman" w:cs="Arial"/>
          <w:b/>
          <w:bCs/>
          <w:snapToGrid w:val="0"/>
          <w:color w:val="auto"/>
          <w:kern w:val="0"/>
          <w:sz w:val="21"/>
          <w:szCs w:val="21"/>
          <w:highlight w:val="none"/>
          <w:lang w:val="en-US" w:eastAsia="zh-CN"/>
        </w:rPr>
        <w:t>表2.5-1大气环境空气保护目标一览表</w:t>
      </w:r>
    </w:p>
    <w:tbl>
      <w:tblPr>
        <w:tblStyle w:val="16"/>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29"/>
        <w:gridCol w:w="1919"/>
        <w:gridCol w:w="1105"/>
        <w:gridCol w:w="1500"/>
        <w:gridCol w:w="736"/>
        <w:gridCol w:w="1366"/>
        <w:gridCol w:w="95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45" w:type="pct"/>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保护目标</w:t>
            </w:r>
          </w:p>
        </w:tc>
        <w:tc>
          <w:tcPr>
            <w:tcW w:w="1127" w:type="pct"/>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坐标（°）</w:t>
            </w:r>
          </w:p>
        </w:tc>
        <w:tc>
          <w:tcPr>
            <w:tcW w:w="649"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default" w:ascii="Times New Roman" w:hAnsi="Times New Roman" w:cs="Times New Roman"/>
                <w:caps w:val="0"/>
                <w:smallCaps w:val="0"/>
                <w:color w:val="auto"/>
                <w:spacing w:val="0"/>
                <w:w w:val="100"/>
                <w:sz w:val="21"/>
                <w:szCs w:val="21"/>
                <w:highlight w:val="none"/>
              </w:rPr>
              <w:t>保护对象</w:t>
            </w:r>
          </w:p>
        </w:tc>
        <w:tc>
          <w:tcPr>
            <w:tcW w:w="881"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default" w:ascii="Times New Roman" w:hAnsi="Times New Roman" w:cs="Times New Roman"/>
                <w:caps w:val="0"/>
                <w:smallCaps w:val="0"/>
                <w:color w:val="auto"/>
                <w:spacing w:val="0"/>
                <w:w w:val="100"/>
                <w:sz w:val="21"/>
                <w:szCs w:val="21"/>
                <w:highlight w:val="none"/>
              </w:rPr>
              <w:t>保护内容及规模</w:t>
            </w:r>
          </w:p>
        </w:tc>
        <w:tc>
          <w:tcPr>
            <w:tcW w:w="432"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default" w:ascii="Times New Roman" w:hAnsi="Times New Roman" w:cs="Times New Roman"/>
                <w:caps w:val="0"/>
                <w:smallCaps w:val="0"/>
                <w:color w:val="auto"/>
                <w:spacing w:val="0"/>
                <w:w w:val="100"/>
                <w:sz w:val="21"/>
                <w:szCs w:val="21"/>
                <w:highlight w:val="none"/>
              </w:rPr>
              <w:t>环境功能区</w:t>
            </w:r>
          </w:p>
        </w:tc>
        <w:tc>
          <w:tcPr>
            <w:tcW w:w="802" w:type="pct"/>
            <w:tcBorders>
              <w:tl2br w:val="nil"/>
              <w:tr2bl w:val="nil"/>
            </w:tcBorders>
            <w:vAlign w:val="center"/>
          </w:tcPr>
          <w:p>
            <w:pPr>
              <w:pStyle w:val="20"/>
              <w:pageBreakBefore w:val="0"/>
              <w:bidi w:val="0"/>
              <w:spacing w:line="360" w:lineRule="auto"/>
              <w:ind w:firstLine="0" w:firstLineChars="0"/>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default" w:ascii="Times New Roman" w:hAnsi="Times New Roman" w:cs="Times New Roman"/>
                <w:caps w:val="0"/>
                <w:smallCaps w:val="0"/>
                <w:color w:val="auto"/>
                <w:spacing w:val="0"/>
                <w:w w:val="100"/>
                <w:sz w:val="21"/>
                <w:szCs w:val="21"/>
                <w:highlight w:val="none"/>
              </w:rPr>
              <w:t>相对方位</w:t>
            </w:r>
          </w:p>
        </w:tc>
        <w:tc>
          <w:tcPr>
            <w:tcW w:w="562" w:type="pct"/>
            <w:tcBorders>
              <w:tl2br w:val="nil"/>
              <w:tr2bl w:val="nil"/>
            </w:tcBorders>
            <w:vAlign w:val="center"/>
          </w:tcPr>
          <w:p>
            <w:pPr>
              <w:pStyle w:val="20"/>
              <w:pageBreakBefore w:val="0"/>
              <w:bidi w:val="0"/>
              <w:spacing w:line="360" w:lineRule="auto"/>
              <w:ind w:firstLine="0" w:firstLineChars="0"/>
              <w:rPr>
                <w:rFonts w:hint="default" w:ascii="Times New Roman" w:hAnsi="Times New Roman" w:cs="Times New Roman"/>
                <w:caps w:val="0"/>
                <w:smallCaps w:val="0"/>
                <w:color w:val="auto"/>
                <w:spacing w:val="0"/>
                <w:w w:val="100"/>
                <w:sz w:val="21"/>
                <w:szCs w:val="21"/>
                <w:highlight w:val="none"/>
              </w:rPr>
            </w:pPr>
            <w:r>
              <w:rPr>
                <w:rFonts w:hint="default" w:ascii="Times New Roman" w:hAnsi="Times New Roman" w:cs="Times New Roman"/>
                <w:caps w:val="0"/>
                <w:smallCaps w:val="0"/>
                <w:color w:val="auto"/>
                <w:spacing w:val="0"/>
                <w:w w:val="100"/>
                <w:sz w:val="21"/>
                <w:szCs w:val="21"/>
                <w:highlight w:val="none"/>
              </w:rPr>
              <w:t>最近距离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28" w:hRule="atLeast"/>
        </w:trPr>
        <w:tc>
          <w:tcPr>
            <w:tcW w:w="545" w:type="pct"/>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发展村</w:t>
            </w:r>
          </w:p>
        </w:tc>
        <w:tc>
          <w:tcPr>
            <w:tcW w:w="1127" w:type="pct"/>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124.261360538,45.738349264</w:t>
            </w:r>
          </w:p>
        </w:tc>
        <w:tc>
          <w:tcPr>
            <w:tcW w:w="649" w:type="pct"/>
            <w:vMerge w:val="restart"/>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农村居住区</w:t>
            </w:r>
          </w:p>
        </w:tc>
        <w:tc>
          <w:tcPr>
            <w:tcW w:w="881" w:type="pct"/>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ascii="Times New Roman" w:hAnsi="Times New Roman"/>
                <w:color w:val="auto"/>
                <w:highlight w:val="none"/>
              </w:rPr>
              <w:t>村民，约350户，1100人</w:t>
            </w:r>
          </w:p>
        </w:tc>
        <w:tc>
          <w:tcPr>
            <w:tcW w:w="432" w:type="pct"/>
            <w:vMerge w:val="restart"/>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二类</w:t>
            </w:r>
          </w:p>
        </w:tc>
        <w:tc>
          <w:tcPr>
            <w:tcW w:w="802" w:type="pct"/>
            <w:tcBorders>
              <w:tl2br w:val="nil"/>
              <w:tr2bl w:val="nil"/>
            </w:tcBorders>
            <w:vAlign w:val="center"/>
          </w:tcPr>
          <w:p>
            <w:pPr>
              <w:jc w:val="both"/>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位于3#服务站站址西侧</w:t>
            </w:r>
          </w:p>
        </w:tc>
        <w:tc>
          <w:tcPr>
            <w:tcW w:w="562" w:type="pct"/>
            <w:tcBorders>
              <w:tl2br w:val="nil"/>
              <w:tr2bl w:val="nil"/>
            </w:tcBorders>
            <w:vAlign w:val="center"/>
          </w:tcPr>
          <w:p>
            <w:pPr>
              <w:jc w:val="center"/>
              <w:rPr>
                <w:rFonts w:hint="default"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40m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45" w:type="pct"/>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向前村</w:t>
            </w:r>
          </w:p>
        </w:tc>
        <w:tc>
          <w:tcPr>
            <w:tcW w:w="1127" w:type="pct"/>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124.228605401,45.734207933</w:t>
            </w:r>
          </w:p>
        </w:tc>
        <w:tc>
          <w:tcPr>
            <w:tcW w:w="649" w:type="pct"/>
            <w:vMerge w:val="continue"/>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c>
          <w:tcPr>
            <w:tcW w:w="881" w:type="pct"/>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ascii="Times New Roman" w:hAnsi="Times New Roman"/>
                <w:color w:val="auto"/>
                <w:highlight w:val="none"/>
              </w:rPr>
              <w:t>村民，约</w:t>
            </w:r>
            <w:r>
              <w:rPr>
                <w:rFonts w:hint="eastAsia"/>
                <w:color w:val="auto"/>
                <w:highlight w:val="none"/>
                <w:lang w:val="en-US" w:eastAsia="zh-CN"/>
              </w:rPr>
              <w:t>400</w:t>
            </w:r>
            <w:r>
              <w:rPr>
                <w:rFonts w:ascii="Times New Roman" w:hAnsi="Times New Roman"/>
                <w:color w:val="auto"/>
                <w:highlight w:val="none"/>
              </w:rPr>
              <w:t>户，</w:t>
            </w:r>
            <w:r>
              <w:rPr>
                <w:rFonts w:hint="eastAsia"/>
                <w:color w:val="auto"/>
                <w:highlight w:val="none"/>
                <w:lang w:val="en-US" w:eastAsia="zh-CN"/>
              </w:rPr>
              <w:t>1140</w:t>
            </w:r>
            <w:r>
              <w:rPr>
                <w:rFonts w:ascii="Times New Roman" w:hAnsi="Times New Roman"/>
                <w:color w:val="auto"/>
                <w:highlight w:val="none"/>
              </w:rPr>
              <w:t>人</w:t>
            </w:r>
          </w:p>
        </w:tc>
        <w:tc>
          <w:tcPr>
            <w:tcW w:w="432" w:type="pct"/>
            <w:vMerge w:val="continue"/>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c>
          <w:tcPr>
            <w:tcW w:w="802" w:type="pct"/>
            <w:tcBorders>
              <w:tl2br w:val="nil"/>
              <w:tr2bl w:val="nil"/>
            </w:tcBorders>
            <w:vAlign w:val="center"/>
          </w:tcPr>
          <w:p>
            <w:pPr>
              <w:jc w:val="both"/>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位于3#服务站站址西侧</w:t>
            </w:r>
          </w:p>
        </w:tc>
        <w:tc>
          <w:tcPr>
            <w:tcW w:w="562" w:type="pct"/>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2.</w:t>
            </w:r>
            <w:r>
              <w:rPr>
                <w:rFonts w:hint="eastAsia" w:cs="Times New Roman"/>
                <w:caps w:val="0"/>
                <w:smallCaps w:val="0"/>
                <w:snapToGrid/>
                <w:color w:val="auto"/>
                <w:spacing w:val="0"/>
                <w:w w:val="100"/>
                <w:kern w:val="0"/>
                <w:sz w:val="21"/>
                <w:szCs w:val="21"/>
                <w:highlight w:val="none"/>
                <w:vertAlign w:val="baseline"/>
                <w:lang w:val="en-US" w:eastAsia="zh-CN" w:bidi="ar-SA"/>
              </w:rPr>
              <w:t>582</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km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45" w:type="pct"/>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卧龙岱屯</w:t>
            </w:r>
          </w:p>
        </w:tc>
        <w:tc>
          <w:tcPr>
            <w:tcW w:w="1127" w:type="pct"/>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124.213702973,45.714317053</w:t>
            </w:r>
          </w:p>
        </w:tc>
        <w:tc>
          <w:tcPr>
            <w:tcW w:w="649" w:type="pct"/>
            <w:vMerge w:val="continue"/>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c>
          <w:tcPr>
            <w:tcW w:w="881" w:type="pct"/>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ascii="Times New Roman" w:hAnsi="Times New Roman"/>
                <w:color w:val="auto"/>
                <w:highlight w:val="none"/>
              </w:rPr>
              <w:t>村民，约150户，</w:t>
            </w:r>
            <w:r>
              <w:rPr>
                <w:rFonts w:hint="eastAsia"/>
                <w:color w:val="auto"/>
                <w:highlight w:val="none"/>
                <w:lang w:val="en-US" w:eastAsia="zh-CN"/>
              </w:rPr>
              <w:t>500</w:t>
            </w:r>
            <w:r>
              <w:rPr>
                <w:rFonts w:ascii="Times New Roman" w:hAnsi="Times New Roman"/>
                <w:color w:val="auto"/>
                <w:highlight w:val="none"/>
              </w:rPr>
              <w:t>人</w:t>
            </w:r>
          </w:p>
        </w:tc>
        <w:tc>
          <w:tcPr>
            <w:tcW w:w="432" w:type="pct"/>
            <w:vMerge w:val="continue"/>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c>
          <w:tcPr>
            <w:tcW w:w="802" w:type="pct"/>
            <w:tcBorders>
              <w:tl2br w:val="nil"/>
              <w:tr2bl w:val="nil"/>
            </w:tcBorders>
            <w:vAlign w:val="center"/>
          </w:tcPr>
          <w:p>
            <w:pPr>
              <w:jc w:val="both"/>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位于3#服务站站址西南侧</w:t>
            </w:r>
          </w:p>
        </w:tc>
        <w:tc>
          <w:tcPr>
            <w:tcW w:w="562" w:type="pct"/>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4.314km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45" w:type="pct"/>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南岗子</w:t>
            </w:r>
          </w:p>
        </w:tc>
        <w:tc>
          <w:tcPr>
            <w:tcW w:w="1127" w:type="pct"/>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124.248464402,45.700455397</w:t>
            </w:r>
          </w:p>
        </w:tc>
        <w:tc>
          <w:tcPr>
            <w:tcW w:w="649" w:type="pct"/>
            <w:vMerge w:val="continue"/>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c>
          <w:tcPr>
            <w:tcW w:w="881" w:type="pct"/>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ascii="Times New Roman" w:hAnsi="Times New Roman"/>
                <w:color w:val="auto"/>
                <w:highlight w:val="none"/>
              </w:rPr>
              <w:t>村民，约</w:t>
            </w:r>
            <w:r>
              <w:rPr>
                <w:rFonts w:hint="eastAsia" w:ascii="Times New Roman" w:hAnsi="Times New Roman"/>
                <w:color w:val="auto"/>
                <w:highlight w:val="none"/>
                <w:lang w:val="en-US" w:eastAsia="zh-CN"/>
              </w:rPr>
              <w:t>100</w:t>
            </w:r>
            <w:r>
              <w:rPr>
                <w:rFonts w:ascii="Times New Roman" w:hAnsi="Times New Roman"/>
                <w:color w:val="auto"/>
                <w:highlight w:val="none"/>
              </w:rPr>
              <w:t>户，</w:t>
            </w:r>
            <w:r>
              <w:rPr>
                <w:rFonts w:hint="eastAsia" w:ascii="Times New Roman" w:hAnsi="Times New Roman"/>
                <w:color w:val="auto"/>
                <w:highlight w:val="none"/>
                <w:lang w:val="en-US" w:eastAsia="zh-CN"/>
              </w:rPr>
              <w:t>250</w:t>
            </w:r>
            <w:r>
              <w:rPr>
                <w:rFonts w:ascii="Times New Roman" w:hAnsi="Times New Roman"/>
                <w:color w:val="auto"/>
                <w:highlight w:val="none"/>
              </w:rPr>
              <w:t>人</w:t>
            </w:r>
          </w:p>
        </w:tc>
        <w:tc>
          <w:tcPr>
            <w:tcW w:w="432" w:type="pct"/>
            <w:vMerge w:val="continue"/>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c>
          <w:tcPr>
            <w:tcW w:w="802" w:type="pct"/>
            <w:tcBorders>
              <w:tl2br w:val="nil"/>
              <w:tr2bl w:val="nil"/>
            </w:tcBorders>
            <w:vAlign w:val="center"/>
          </w:tcPr>
          <w:p>
            <w:pPr>
              <w:jc w:val="both"/>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位于3#服务站站址西南侧</w:t>
            </w:r>
          </w:p>
        </w:tc>
        <w:tc>
          <w:tcPr>
            <w:tcW w:w="562" w:type="pct"/>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3.928km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45" w:type="pct"/>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小地房子屯</w:t>
            </w:r>
          </w:p>
        </w:tc>
        <w:tc>
          <w:tcPr>
            <w:tcW w:w="1127" w:type="pct"/>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124.331355750,45.731696187,</w:t>
            </w:r>
          </w:p>
        </w:tc>
        <w:tc>
          <w:tcPr>
            <w:tcW w:w="649" w:type="pct"/>
            <w:vMerge w:val="continue"/>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c>
          <w:tcPr>
            <w:tcW w:w="881" w:type="pct"/>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ascii="Times New Roman" w:hAnsi="Times New Roman"/>
                <w:color w:val="auto"/>
                <w:highlight w:val="none"/>
              </w:rPr>
              <w:t>村民，约</w:t>
            </w:r>
            <w:r>
              <w:rPr>
                <w:rFonts w:hint="eastAsia"/>
                <w:color w:val="auto"/>
                <w:highlight w:val="none"/>
                <w:lang w:val="en-US" w:eastAsia="zh-CN"/>
              </w:rPr>
              <w:t>7</w:t>
            </w:r>
            <w:r>
              <w:rPr>
                <w:rFonts w:ascii="Times New Roman" w:hAnsi="Times New Roman"/>
                <w:color w:val="auto"/>
                <w:highlight w:val="none"/>
              </w:rPr>
              <w:t>户，</w:t>
            </w:r>
            <w:r>
              <w:rPr>
                <w:rFonts w:hint="eastAsia" w:ascii="Times New Roman" w:hAnsi="Times New Roman"/>
                <w:color w:val="auto"/>
                <w:highlight w:val="none"/>
                <w:lang w:val="en-US" w:eastAsia="zh-CN"/>
              </w:rPr>
              <w:t>20</w:t>
            </w:r>
            <w:r>
              <w:rPr>
                <w:rFonts w:ascii="Times New Roman" w:hAnsi="Times New Roman"/>
                <w:color w:val="auto"/>
                <w:highlight w:val="none"/>
              </w:rPr>
              <w:t>人</w:t>
            </w:r>
          </w:p>
        </w:tc>
        <w:tc>
          <w:tcPr>
            <w:tcW w:w="432" w:type="pct"/>
            <w:vMerge w:val="continue"/>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c>
          <w:tcPr>
            <w:tcW w:w="802" w:type="pct"/>
            <w:tcBorders>
              <w:tl2br w:val="nil"/>
              <w:tr2bl w:val="nil"/>
            </w:tcBorders>
            <w:vAlign w:val="center"/>
          </w:tcPr>
          <w:p>
            <w:pPr>
              <w:jc w:val="both"/>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位于3#服务站站址东北侧</w:t>
            </w:r>
          </w:p>
        </w:tc>
        <w:tc>
          <w:tcPr>
            <w:tcW w:w="562" w:type="pct"/>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4.309km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45" w:type="pct"/>
            <w:tcBorders>
              <w:tl2br w:val="nil"/>
              <w:tr2bl w:val="nil"/>
            </w:tcBorders>
            <w:vAlign w:val="center"/>
          </w:tcPr>
          <w:p>
            <w:pPr>
              <w:jc w:val="center"/>
              <w:rPr>
                <w:rFonts w:hint="default"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振余村</w:t>
            </w:r>
          </w:p>
        </w:tc>
        <w:tc>
          <w:tcPr>
            <w:tcW w:w="1127" w:type="pct"/>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124.346011340,45.751501618</w:t>
            </w:r>
          </w:p>
        </w:tc>
        <w:tc>
          <w:tcPr>
            <w:tcW w:w="649" w:type="pct"/>
            <w:vMerge w:val="continue"/>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c>
          <w:tcPr>
            <w:tcW w:w="881" w:type="pct"/>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ascii="Times New Roman" w:hAnsi="Times New Roman"/>
                <w:color w:val="auto"/>
                <w:highlight w:val="none"/>
              </w:rPr>
              <w:t>村民，约</w:t>
            </w:r>
            <w:r>
              <w:rPr>
                <w:rFonts w:hint="eastAsia"/>
                <w:color w:val="auto"/>
                <w:highlight w:val="none"/>
                <w:lang w:val="en-US" w:eastAsia="zh-CN"/>
              </w:rPr>
              <w:t>50</w:t>
            </w:r>
            <w:r>
              <w:rPr>
                <w:rFonts w:ascii="Times New Roman" w:hAnsi="Times New Roman"/>
                <w:color w:val="auto"/>
                <w:highlight w:val="none"/>
              </w:rPr>
              <w:t>户，</w:t>
            </w:r>
            <w:r>
              <w:rPr>
                <w:rFonts w:hint="eastAsia"/>
                <w:color w:val="auto"/>
                <w:highlight w:val="none"/>
                <w:lang w:val="en-US" w:eastAsia="zh-CN"/>
              </w:rPr>
              <w:t>150</w:t>
            </w:r>
            <w:r>
              <w:rPr>
                <w:rFonts w:ascii="Times New Roman" w:hAnsi="Times New Roman"/>
                <w:color w:val="auto"/>
                <w:highlight w:val="none"/>
              </w:rPr>
              <w:t>人</w:t>
            </w:r>
          </w:p>
        </w:tc>
        <w:tc>
          <w:tcPr>
            <w:tcW w:w="432" w:type="pct"/>
            <w:vMerge w:val="continue"/>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c>
          <w:tcPr>
            <w:tcW w:w="802" w:type="pct"/>
            <w:tcBorders>
              <w:tl2br w:val="nil"/>
              <w:tr2bl w:val="nil"/>
            </w:tcBorders>
            <w:vAlign w:val="center"/>
          </w:tcPr>
          <w:p>
            <w:pPr>
              <w:jc w:val="both"/>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位于3#服务站站址东北侧</w:t>
            </w:r>
          </w:p>
        </w:tc>
        <w:tc>
          <w:tcPr>
            <w:tcW w:w="562" w:type="pct"/>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5.157km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45" w:type="pct"/>
            <w:tcBorders>
              <w:tl2br w:val="nil"/>
              <w:tr2bl w:val="nil"/>
            </w:tcBorders>
            <w:vAlign w:val="center"/>
          </w:tcPr>
          <w:p>
            <w:pPr>
              <w:jc w:val="center"/>
              <w:rPr>
                <w:rFonts w:hint="default"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西窑屯</w:t>
            </w:r>
          </w:p>
        </w:tc>
        <w:tc>
          <w:tcPr>
            <w:tcW w:w="1127" w:type="pct"/>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124.319463201,45.761588609</w:t>
            </w:r>
          </w:p>
        </w:tc>
        <w:tc>
          <w:tcPr>
            <w:tcW w:w="649" w:type="pct"/>
            <w:vMerge w:val="continue"/>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c>
          <w:tcPr>
            <w:tcW w:w="881" w:type="pct"/>
            <w:tcBorders>
              <w:tl2br w:val="nil"/>
              <w:tr2bl w:val="nil"/>
            </w:tcBorders>
            <w:vAlign w:val="center"/>
          </w:tcPr>
          <w:p>
            <w:pPr>
              <w:jc w:val="center"/>
              <w:rPr>
                <w:rFonts w:ascii="Times New Roman" w:hAnsi="Times New Roman"/>
                <w:color w:val="auto"/>
                <w:highlight w:val="none"/>
              </w:rPr>
            </w:pPr>
            <w:r>
              <w:rPr>
                <w:rFonts w:ascii="Times New Roman" w:hAnsi="Times New Roman"/>
                <w:color w:val="auto"/>
                <w:highlight w:val="none"/>
              </w:rPr>
              <w:t>村民，约</w:t>
            </w:r>
            <w:r>
              <w:rPr>
                <w:rFonts w:hint="eastAsia"/>
                <w:color w:val="auto"/>
                <w:highlight w:val="none"/>
                <w:lang w:val="en-US" w:eastAsia="zh-CN"/>
              </w:rPr>
              <w:t>0</w:t>
            </w:r>
            <w:r>
              <w:rPr>
                <w:rFonts w:ascii="Times New Roman" w:hAnsi="Times New Roman"/>
                <w:color w:val="auto"/>
                <w:highlight w:val="none"/>
              </w:rPr>
              <w:t>户，</w:t>
            </w:r>
            <w:r>
              <w:rPr>
                <w:rFonts w:hint="eastAsia"/>
                <w:color w:val="auto"/>
                <w:highlight w:val="none"/>
                <w:lang w:val="en-US" w:eastAsia="zh-CN"/>
              </w:rPr>
              <w:t>120</w:t>
            </w:r>
            <w:r>
              <w:rPr>
                <w:rFonts w:ascii="Times New Roman" w:hAnsi="Times New Roman"/>
                <w:color w:val="auto"/>
                <w:highlight w:val="none"/>
              </w:rPr>
              <w:t>人</w:t>
            </w:r>
          </w:p>
        </w:tc>
        <w:tc>
          <w:tcPr>
            <w:tcW w:w="432" w:type="pct"/>
            <w:vMerge w:val="continue"/>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c>
          <w:tcPr>
            <w:tcW w:w="802" w:type="pct"/>
            <w:tcBorders>
              <w:tl2br w:val="nil"/>
              <w:tr2bl w:val="nil"/>
            </w:tcBorders>
            <w:vAlign w:val="center"/>
          </w:tcPr>
          <w:p>
            <w:pPr>
              <w:jc w:val="both"/>
              <w:rPr>
                <w:rFonts w:hint="eastAsia"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位于3#服务站站址东北侧</w:t>
            </w:r>
          </w:p>
        </w:tc>
        <w:tc>
          <w:tcPr>
            <w:tcW w:w="562" w:type="pct"/>
            <w:tcBorders>
              <w:tl2br w:val="nil"/>
              <w:tr2bl w:val="nil"/>
            </w:tcBorders>
            <w:vAlign w:val="center"/>
          </w:tcPr>
          <w:p>
            <w:pPr>
              <w:jc w:val="center"/>
              <w:rPr>
                <w:rFonts w:hint="default"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4.421km</w:t>
            </w:r>
          </w:p>
        </w:tc>
      </w:tr>
    </w:tbl>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2.5.2地下水环境</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本项目地下水环境保护目标详见表2.5-2。</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Arial" w:eastAsia="Times New Roman" w:cs="Arial"/>
          <w:b/>
          <w:bCs/>
          <w:snapToGrid w:val="0"/>
          <w:color w:val="auto"/>
          <w:kern w:val="0"/>
          <w:sz w:val="21"/>
          <w:szCs w:val="21"/>
          <w:highlight w:val="none"/>
          <w:lang w:val="en-US" w:eastAsia="zh-CN" w:bidi="ar-SA"/>
        </w:rPr>
      </w:pPr>
      <w:r>
        <w:rPr>
          <w:rFonts w:hint="eastAsia" w:ascii="Times New Roman" w:hAnsi="Arial" w:eastAsia="Times New Roman" w:cs="Arial"/>
          <w:b/>
          <w:bCs/>
          <w:snapToGrid w:val="0"/>
          <w:color w:val="auto"/>
          <w:kern w:val="0"/>
          <w:sz w:val="21"/>
          <w:szCs w:val="21"/>
          <w:highlight w:val="none"/>
          <w:lang w:val="en-US" w:eastAsia="zh-CN" w:bidi="ar-SA"/>
        </w:rPr>
        <w:t>表2.5-2地下水保护目标</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20"/>
        <w:gridCol w:w="1043"/>
        <w:gridCol w:w="1384"/>
        <w:gridCol w:w="4156"/>
        <w:gridCol w:w="141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20" w:type="dxa"/>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序号</w:t>
            </w:r>
          </w:p>
        </w:tc>
        <w:tc>
          <w:tcPr>
            <w:tcW w:w="1043" w:type="dxa"/>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保护目标</w:t>
            </w:r>
          </w:p>
        </w:tc>
        <w:tc>
          <w:tcPr>
            <w:tcW w:w="1384"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相对井方位</w:t>
            </w:r>
          </w:p>
        </w:tc>
        <w:tc>
          <w:tcPr>
            <w:tcW w:w="4156" w:type="dxa"/>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规模</w:t>
            </w:r>
            <w:r>
              <w:rPr>
                <w:rFonts w:hint="eastAsia" w:cs="Times New Roman"/>
                <w:caps w:val="0"/>
                <w:smallCaps w:val="0"/>
                <w:snapToGrid/>
                <w:color w:val="auto"/>
                <w:spacing w:val="0"/>
                <w:w w:val="100"/>
                <w:kern w:val="0"/>
                <w:sz w:val="21"/>
                <w:szCs w:val="21"/>
                <w:highlight w:val="none"/>
                <w:vertAlign w:val="baseline"/>
                <w:lang w:val="en-US" w:eastAsia="zh-CN" w:bidi="ar-SA"/>
              </w:rPr>
              <w:t>/与村屯集中供水井距离</w:t>
            </w:r>
          </w:p>
        </w:tc>
        <w:tc>
          <w:tcPr>
            <w:tcW w:w="1413"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保护级别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20" w:type="dxa"/>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1</w:t>
            </w:r>
          </w:p>
        </w:tc>
        <w:tc>
          <w:tcPr>
            <w:tcW w:w="1043" w:type="dxa"/>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发展村水井</w:t>
            </w:r>
          </w:p>
        </w:tc>
        <w:tc>
          <w:tcPr>
            <w:tcW w:w="1384" w:type="dxa"/>
            <w:tcBorders>
              <w:tl2br w:val="nil"/>
              <w:tr2bl w:val="nil"/>
            </w:tcBorders>
            <w:vAlign w:val="center"/>
          </w:tcPr>
          <w:p>
            <w:pPr>
              <w:jc w:val="both"/>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位于3#服务站站址西侧</w:t>
            </w:r>
          </w:p>
        </w:tc>
        <w:tc>
          <w:tcPr>
            <w:tcW w:w="4156" w:type="dxa"/>
            <w:tcBorders>
              <w:tl2br w:val="nil"/>
              <w:tr2bl w:val="nil"/>
            </w:tcBorders>
            <w:vAlign w:val="center"/>
          </w:tcPr>
          <w:p>
            <w:pPr>
              <w:jc w:val="both"/>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村中有集中供水井1口（124.257038960</w:t>
            </w:r>
            <w:r>
              <w:rPr>
                <w:rFonts w:hint="eastAsia" w:cs="Times New Roman"/>
                <w:caps w:val="0"/>
                <w:smallCaps w:val="0"/>
                <w:snapToGrid/>
                <w:color w:val="auto"/>
                <w:spacing w:val="0"/>
                <w:w w:val="100"/>
                <w:kern w:val="0"/>
                <w:sz w:val="21"/>
                <w:szCs w:val="21"/>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45.740906640</w:t>
            </w:r>
            <w:r>
              <w:rPr>
                <w:rFonts w:hint="eastAsia" w:cs="Times New Roman"/>
                <w:caps w:val="0"/>
                <w:smallCaps w:val="0"/>
                <w:snapToGrid/>
                <w:color w:val="auto"/>
                <w:spacing w:val="0"/>
                <w:w w:val="100"/>
                <w:kern w:val="0"/>
                <w:sz w:val="21"/>
                <w:szCs w:val="21"/>
                <w:highlight w:val="none"/>
                <w:vertAlign w:val="baseline"/>
                <w:lang w:val="en-US" w:eastAsia="zh-CN" w:bidi="ar-SA"/>
              </w:rPr>
              <w:t>，767m</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），井深180m，供本村人饮用，供水规模约为1100人，为农村集中式饮用水源；其余分散式潜水水井约50口（18~50m）用于灌溉及牲畜用水</w:t>
            </w:r>
          </w:p>
        </w:tc>
        <w:tc>
          <w:tcPr>
            <w:tcW w:w="1413" w:type="dxa"/>
            <w:vMerge w:val="restart"/>
            <w:tcBorders>
              <w:tl2br w:val="nil"/>
              <w:tr2bl w:val="nil"/>
            </w:tcBorders>
            <w:vAlign w:val="center"/>
          </w:tcPr>
          <w:p>
            <w:pPr>
              <w:jc w:val="both"/>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《地下水质量标准》（GB/T14848-2017）III类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20" w:type="dxa"/>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2</w:t>
            </w:r>
          </w:p>
        </w:tc>
        <w:tc>
          <w:tcPr>
            <w:tcW w:w="1043" w:type="dxa"/>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古龙镇</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水井</w:t>
            </w:r>
          </w:p>
        </w:tc>
        <w:tc>
          <w:tcPr>
            <w:tcW w:w="1384" w:type="dxa"/>
            <w:tcBorders>
              <w:tl2br w:val="nil"/>
              <w:tr2bl w:val="nil"/>
            </w:tcBorders>
            <w:vAlign w:val="center"/>
          </w:tcPr>
          <w:p>
            <w:pPr>
              <w:jc w:val="both"/>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位于站外输液管道西侧</w:t>
            </w:r>
          </w:p>
        </w:tc>
        <w:tc>
          <w:tcPr>
            <w:tcW w:w="4156" w:type="dxa"/>
            <w:tcBorders>
              <w:tl2br w:val="nil"/>
              <w:tr2bl w:val="nil"/>
            </w:tcBorders>
            <w:vAlign w:val="center"/>
          </w:tcPr>
          <w:p>
            <w:pPr>
              <w:jc w:val="both"/>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与西葫芦代、南烧锅屯、长山村、长发屯等共用一口</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集中式饮用水源井</w:t>
            </w:r>
            <w:r>
              <w:rPr>
                <w:rFonts w:hint="eastAsia" w:cs="Times New Roman"/>
                <w:caps w:val="0"/>
                <w:smallCaps w:val="0"/>
                <w:snapToGrid/>
                <w:color w:val="auto"/>
                <w:spacing w:val="0"/>
                <w:w w:val="100"/>
                <w:kern w:val="0"/>
                <w:sz w:val="21"/>
                <w:szCs w:val="21"/>
                <w:highlight w:val="none"/>
                <w:vertAlign w:val="baseline"/>
                <w:lang w:val="en-US" w:eastAsia="zh-CN" w:bidi="ar-SA"/>
              </w:rPr>
              <w:t>（124.212691880，45.843995820，1893m）</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，井深180m，供水模约为</w:t>
            </w:r>
            <w:r>
              <w:rPr>
                <w:rFonts w:hint="eastAsia" w:cs="Times New Roman"/>
                <w:caps w:val="0"/>
                <w:smallCaps w:val="0"/>
                <w:snapToGrid/>
                <w:color w:val="auto"/>
                <w:spacing w:val="0"/>
                <w:w w:val="100"/>
                <w:kern w:val="0"/>
                <w:sz w:val="21"/>
                <w:szCs w:val="21"/>
                <w:highlight w:val="none"/>
                <w:vertAlign w:val="baseline"/>
                <w:lang w:val="en-US" w:eastAsia="zh-CN" w:bidi="ar-SA"/>
              </w:rPr>
              <w:t>35</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00人；其余分散式潜水水井约</w:t>
            </w:r>
            <w:r>
              <w:rPr>
                <w:rFonts w:hint="eastAsia" w:cs="Times New Roman"/>
                <w:caps w:val="0"/>
                <w:smallCaps w:val="0"/>
                <w:snapToGrid/>
                <w:color w:val="auto"/>
                <w:spacing w:val="0"/>
                <w:w w:val="100"/>
                <w:kern w:val="0"/>
                <w:sz w:val="21"/>
                <w:szCs w:val="21"/>
                <w:highlight w:val="none"/>
                <w:vertAlign w:val="baseline"/>
                <w:lang w:val="en-US" w:eastAsia="zh-CN" w:bidi="ar-SA"/>
              </w:rPr>
              <w:t>110</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口（20~45m）用于灌溉及牲畜用水</w:t>
            </w:r>
          </w:p>
        </w:tc>
        <w:tc>
          <w:tcPr>
            <w:tcW w:w="1413" w:type="dxa"/>
            <w:vMerge w:val="continue"/>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20" w:type="dxa"/>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3</w:t>
            </w:r>
          </w:p>
        </w:tc>
        <w:tc>
          <w:tcPr>
            <w:tcW w:w="1043" w:type="dxa"/>
            <w:tcBorders>
              <w:tl2br w:val="nil"/>
              <w:tr2bl w:val="nil"/>
            </w:tcBorders>
            <w:vAlign w:val="center"/>
          </w:tcPr>
          <w:p>
            <w:pPr>
              <w:jc w:val="center"/>
              <w:rPr>
                <w:rFonts w:hint="default"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道宝村</w:t>
            </w:r>
          </w:p>
        </w:tc>
        <w:tc>
          <w:tcPr>
            <w:tcW w:w="1384" w:type="dxa"/>
            <w:tcBorders>
              <w:tl2br w:val="nil"/>
              <w:tr2bl w:val="nil"/>
            </w:tcBorders>
            <w:vAlign w:val="center"/>
          </w:tcPr>
          <w:p>
            <w:pPr>
              <w:jc w:val="both"/>
              <w:rPr>
                <w:rFonts w:hint="eastAsia"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位于站外输液管道东侧</w:t>
            </w:r>
          </w:p>
        </w:tc>
        <w:tc>
          <w:tcPr>
            <w:tcW w:w="4156" w:type="dxa"/>
            <w:tcBorders>
              <w:tl2br w:val="nil"/>
              <w:tr2bl w:val="nil"/>
            </w:tcBorders>
            <w:vAlign w:val="center"/>
          </w:tcPr>
          <w:p>
            <w:pPr>
              <w:jc w:val="both"/>
              <w:rPr>
                <w:rFonts w:hint="default"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与鸭木蛋格屯共用一口饮用水井（124.220341000，45.797769000，1012m），井深180m，供水</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规模约为</w:t>
            </w:r>
            <w:r>
              <w:rPr>
                <w:rFonts w:hint="eastAsia" w:cs="Times New Roman"/>
                <w:caps w:val="0"/>
                <w:smallCaps w:val="0"/>
                <w:snapToGrid/>
                <w:color w:val="auto"/>
                <w:spacing w:val="0"/>
                <w:w w:val="100"/>
                <w:kern w:val="0"/>
                <w:sz w:val="21"/>
                <w:szCs w:val="21"/>
                <w:highlight w:val="none"/>
                <w:vertAlign w:val="baseline"/>
                <w:lang w:val="en-US" w:eastAsia="zh-CN" w:bidi="ar-SA"/>
              </w:rPr>
              <w:t>800人，</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其余分散式潜水水井约</w:t>
            </w:r>
            <w:r>
              <w:rPr>
                <w:rFonts w:hint="eastAsia" w:cs="Times New Roman"/>
                <w:caps w:val="0"/>
                <w:smallCaps w:val="0"/>
                <w:snapToGrid/>
                <w:color w:val="auto"/>
                <w:spacing w:val="0"/>
                <w:w w:val="100"/>
                <w:kern w:val="0"/>
                <w:sz w:val="21"/>
                <w:szCs w:val="21"/>
                <w:highlight w:val="none"/>
                <w:vertAlign w:val="baseline"/>
                <w:lang w:val="en-US" w:eastAsia="zh-CN" w:bidi="ar-SA"/>
              </w:rPr>
              <w:t>40</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口（20~</w:t>
            </w:r>
            <w:r>
              <w:rPr>
                <w:rFonts w:hint="eastAsia" w:cs="Times New Roman"/>
                <w:caps w:val="0"/>
                <w:smallCaps w:val="0"/>
                <w:snapToGrid/>
                <w:color w:val="auto"/>
                <w:spacing w:val="0"/>
                <w:w w:val="100"/>
                <w:kern w:val="0"/>
                <w:sz w:val="21"/>
                <w:szCs w:val="21"/>
                <w:highlight w:val="none"/>
                <w:vertAlign w:val="baseline"/>
                <w:lang w:val="en-US" w:eastAsia="zh-CN" w:bidi="ar-SA"/>
              </w:rPr>
              <w:t>50</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m）用于灌溉及牲畜用水</w:t>
            </w:r>
          </w:p>
        </w:tc>
        <w:tc>
          <w:tcPr>
            <w:tcW w:w="1413" w:type="dxa"/>
            <w:vMerge w:val="continue"/>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20" w:type="dxa"/>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3</w:t>
            </w:r>
          </w:p>
        </w:tc>
        <w:tc>
          <w:tcPr>
            <w:tcW w:w="1043" w:type="dxa"/>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河北村</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水井</w:t>
            </w:r>
          </w:p>
        </w:tc>
        <w:tc>
          <w:tcPr>
            <w:tcW w:w="1384" w:type="dxa"/>
            <w:tcBorders>
              <w:tl2br w:val="nil"/>
              <w:tr2bl w:val="nil"/>
            </w:tcBorders>
            <w:vAlign w:val="center"/>
          </w:tcPr>
          <w:p>
            <w:pPr>
              <w:jc w:val="both"/>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位于站外输液管道东侧</w:t>
            </w:r>
          </w:p>
        </w:tc>
        <w:tc>
          <w:tcPr>
            <w:tcW w:w="4156" w:type="dxa"/>
            <w:tcBorders>
              <w:tl2br w:val="nil"/>
              <w:tr2bl w:val="nil"/>
            </w:tcBorders>
            <w:vAlign w:val="center"/>
          </w:tcPr>
          <w:p>
            <w:pPr>
              <w:jc w:val="both"/>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与大五家子屯共用一口饮用水井（124.233266390，45.891944660，605m），井深130m，供水</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规模约为</w:t>
            </w:r>
            <w:r>
              <w:rPr>
                <w:rFonts w:hint="eastAsia" w:cs="Times New Roman"/>
                <w:caps w:val="0"/>
                <w:smallCaps w:val="0"/>
                <w:snapToGrid/>
                <w:color w:val="auto"/>
                <w:spacing w:val="0"/>
                <w:w w:val="100"/>
                <w:kern w:val="0"/>
                <w:sz w:val="21"/>
                <w:szCs w:val="21"/>
                <w:highlight w:val="none"/>
                <w:vertAlign w:val="baseline"/>
                <w:lang w:val="en-US" w:eastAsia="zh-CN" w:bidi="ar-SA"/>
              </w:rPr>
              <w:t>300人，</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其余分散式潜水水井约</w:t>
            </w:r>
            <w:r>
              <w:rPr>
                <w:rFonts w:hint="eastAsia" w:cs="Times New Roman"/>
                <w:caps w:val="0"/>
                <w:smallCaps w:val="0"/>
                <w:snapToGrid/>
                <w:color w:val="auto"/>
                <w:spacing w:val="0"/>
                <w:w w:val="100"/>
                <w:kern w:val="0"/>
                <w:sz w:val="21"/>
                <w:szCs w:val="21"/>
                <w:highlight w:val="none"/>
                <w:vertAlign w:val="baseline"/>
                <w:lang w:val="en-US" w:eastAsia="zh-CN" w:bidi="ar-SA"/>
              </w:rPr>
              <w:t>15</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口（20~</w:t>
            </w:r>
            <w:r>
              <w:rPr>
                <w:rFonts w:hint="eastAsia" w:cs="Times New Roman"/>
                <w:caps w:val="0"/>
                <w:smallCaps w:val="0"/>
                <w:snapToGrid/>
                <w:color w:val="auto"/>
                <w:spacing w:val="0"/>
                <w:w w:val="100"/>
                <w:kern w:val="0"/>
                <w:sz w:val="21"/>
                <w:szCs w:val="21"/>
                <w:highlight w:val="none"/>
                <w:vertAlign w:val="baseline"/>
                <w:lang w:val="en-US" w:eastAsia="zh-CN" w:bidi="ar-SA"/>
              </w:rPr>
              <w:t>40</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m）用于灌溉及牲畜用水</w:t>
            </w:r>
          </w:p>
        </w:tc>
        <w:tc>
          <w:tcPr>
            <w:tcW w:w="1413" w:type="dxa"/>
            <w:vMerge w:val="continue"/>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r>
    </w:tbl>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8"/>
        <w:gridCol w:w="425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258" w:type="dxa"/>
            <w:tcBorders>
              <w:tl2br w:val="nil"/>
              <w:tr2bl w:val="nil"/>
            </w:tcBorders>
          </w:tcPr>
          <w:p>
            <w:pPr>
              <w:jc w:val="center"/>
              <w:rPr>
                <w:rFonts w:hint="eastAsia" w:ascii="Times New Roman" w:hAnsi="Times New Roman"/>
                <w:color w:val="auto"/>
                <w:highlight w:val="none"/>
                <w:lang w:val="en-US" w:eastAsia="zh-CN"/>
              </w:rPr>
            </w:pPr>
            <w:r>
              <w:rPr>
                <w:rFonts w:hint="eastAsia" w:ascii="Times New Roman" w:hAnsi="Times New Roman"/>
                <w:color w:val="auto"/>
                <w:highlight w:val="none"/>
                <w:lang w:val="en-US" w:eastAsia="zh-CN"/>
              </w:rPr>
              <w:drawing>
                <wp:inline distT="0" distB="0" distL="114300" distR="114300">
                  <wp:extent cx="2560320" cy="3414395"/>
                  <wp:effectExtent l="0" t="0" r="11430" b="14605"/>
                  <wp:docPr id="28" name="图片 28" descr="发展村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发展村1"/>
                          <pic:cNvPicPr>
                            <a:picLocks noChangeAspect="1"/>
                          </pic:cNvPicPr>
                        </pic:nvPicPr>
                        <pic:blipFill>
                          <a:blip r:embed="rId11"/>
                          <a:stretch>
                            <a:fillRect/>
                          </a:stretch>
                        </pic:blipFill>
                        <pic:spPr>
                          <a:xfrm>
                            <a:off x="0" y="0"/>
                            <a:ext cx="2560320" cy="3414395"/>
                          </a:xfrm>
                          <a:prstGeom prst="rect">
                            <a:avLst/>
                          </a:prstGeom>
                        </pic:spPr>
                      </pic:pic>
                    </a:graphicData>
                  </a:graphic>
                </wp:inline>
              </w:drawing>
            </w:r>
          </w:p>
        </w:tc>
        <w:tc>
          <w:tcPr>
            <w:tcW w:w="4258" w:type="dxa"/>
            <w:tcBorders>
              <w:tl2br w:val="nil"/>
              <w:tr2bl w:val="nil"/>
            </w:tcBorders>
          </w:tcPr>
          <w:p>
            <w:pPr>
              <w:jc w:val="center"/>
              <w:rPr>
                <w:rFonts w:hint="eastAsia" w:ascii="Times New Roman" w:hAnsi="Times New Roman"/>
                <w:color w:val="auto"/>
                <w:highlight w:val="none"/>
                <w:lang w:val="en-US" w:eastAsia="zh-CN"/>
              </w:rPr>
            </w:pPr>
            <w:r>
              <w:rPr>
                <w:rFonts w:hint="eastAsia" w:ascii="Times New Roman" w:hAnsi="Times New Roman"/>
                <w:color w:val="auto"/>
                <w:highlight w:val="none"/>
                <w:lang w:val="en-US" w:eastAsia="zh-CN"/>
              </w:rPr>
              <w:drawing>
                <wp:inline distT="0" distB="0" distL="114300" distR="114300">
                  <wp:extent cx="2560320" cy="3414395"/>
                  <wp:effectExtent l="0" t="0" r="11430" b="14605"/>
                  <wp:docPr id="31" name="图片 31" descr="古龙村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古龙村1"/>
                          <pic:cNvPicPr>
                            <a:picLocks noChangeAspect="1"/>
                          </pic:cNvPicPr>
                        </pic:nvPicPr>
                        <pic:blipFill>
                          <a:blip r:embed="rId12"/>
                          <a:stretch>
                            <a:fillRect/>
                          </a:stretch>
                        </pic:blipFill>
                        <pic:spPr>
                          <a:xfrm>
                            <a:off x="0" y="0"/>
                            <a:ext cx="2560320" cy="341439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8" w:type="dxa"/>
            <w:tcBorders>
              <w:tl2br w:val="nil"/>
              <w:tr2bl w:val="nil"/>
            </w:tcBorders>
          </w:tcPr>
          <w:p>
            <w:pPr>
              <w:jc w:val="center"/>
              <w:rPr>
                <w:rFonts w:hint="default" w:ascii="Times New Roman" w:hAnsi="Times New Roman"/>
                <w:color w:val="auto"/>
                <w:highlight w:val="none"/>
                <w:lang w:val="en-US" w:eastAsia="zh-CN"/>
              </w:rPr>
            </w:pPr>
            <w:r>
              <w:rPr>
                <w:rFonts w:hint="eastAsia"/>
                <w:color w:val="auto"/>
                <w:highlight w:val="none"/>
                <w:lang w:val="en-US" w:eastAsia="zh-CN"/>
              </w:rPr>
              <w:t>发展村集中供水井</w:t>
            </w:r>
          </w:p>
        </w:tc>
        <w:tc>
          <w:tcPr>
            <w:tcW w:w="4258" w:type="dxa"/>
            <w:tcBorders>
              <w:tl2br w:val="nil"/>
              <w:tr2bl w:val="nil"/>
            </w:tcBorders>
          </w:tcPr>
          <w:p>
            <w:pPr>
              <w:jc w:val="center"/>
              <w:rPr>
                <w:rFonts w:hint="default" w:ascii="Times New Roman" w:hAnsi="Times New Roman"/>
                <w:color w:val="auto"/>
                <w:highlight w:val="none"/>
                <w:lang w:val="en-US" w:eastAsia="zh-CN"/>
              </w:rPr>
            </w:pPr>
            <w:r>
              <w:rPr>
                <w:rFonts w:hint="eastAsia"/>
                <w:color w:val="auto"/>
                <w:highlight w:val="none"/>
                <w:lang w:val="en-US" w:eastAsia="zh-CN"/>
              </w:rPr>
              <w:t>古龙镇集中供水井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8" w:type="dxa"/>
            <w:tcBorders>
              <w:tl2br w:val="nil"/>
              <w:tr2bl w:val="nil"/>
            </w:tcBorders>
          </w:tcPr>
          <w:p>
            <w:pPr>
              <w:jc w:val="center"/>
              <w:rPr>
                <w:rFonts w:hint="eastAsia" w:ascii="Times New Roman" w:hAnsi="Times New Roman"/>
                <w:color w:val="auto"/>
                <w:highlight w:val="none"/>
                <w:lang w:val="en-US" w:eastAsia="zh-CN"/>
              </w:rPr>
            </w:pPr>
            <w:r>
              <w:rPr>
                <w:rFonts w:hint="eastAsia" w:ascii="Times New Roman" w:hAnsi="Times New Roman"/>
                <w:color w:val="auto"/>
                <w:highlight w:val="none"/>
                <w:lang w:val="en-US" w:eastAsia="zh-CN"/>
              </w:rPr>
              <w:drawing>
                <wp:inline distT="0" distB="0" distL="114300" distR="114300">
                  <wp:extent cx="2560320" cy="3412490"/>
                  <wp:effectExtent l="0" t="0" r="11430" b="16510"/>
                  <wp:docPr id="42" name="图片 42" descr="微信图片_2023120111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微信图片_20231201115419"/>
                          <pic:cNvPicPr>
                            <a:picLocks noChangeAspect="1"/>
                          </pic:cNvPicPr>
                        </pic:nvPicPr>
                        <pic:blipFill>
                          <a:blip r:embed="rId13"/>
                          <a:stretch>
                            <a:fillRect/>
                          </a:stretch>
                        </pic:blipFill>
                        <pic:spPr>
                          <a:xfrm>
                            <a:off x="0" y="0"/>
                            <a:ext cx="2560320" cy="3412490"/>
                          </a:xfrm>
                          <a:prstGeom prst="rect">
                            <a:avLst/>
                          </a:prstGeom>
                        </pic:spPr>
                      </pic:pic>
                    </a:graphicData>
                  </a:graphic>
                </wp:inline>
              </w:drawing>
            </w:r>
          </w:p>
        </w:tc>
        <w:tc>
          <w:tcPr>
            <w:tcW w:w="4258" w:type="dxa"/>
            <w:tcBorders>
              <w:tl2br w:val="nil"/>
              <w:tr2bl w:val="nil"/>
            </w:tcBorders>
            <w:vAlign w:val="center"/>
          </w:tcPr>
          <w:p>
            <w:pPr>
              <w:jc w:val="center"/>
              <w:rPr>
                <w:rFonts w:hint="default" w:ascii="Times New Roman" w:hAnsi="Times New Roman"/>
                <w:color w:val="auto"/>
                <w:highlight w:val="none"/>
                <w:lang w:val="en-US" w:eastAsia="zh-CN"/>
              </w:rPr>
            </w:pPr>
            <w:r>
              <w:rPr>
                <w:rFonts w:hint="default" w:ascii="Times New Roman" w:hAnsi="Times New Roman"/>
                <w:color w:val="auto"/>
                <w:highlight w:val="none"/>
                <w:lang w:val="en-US" w:eastAsia="zh-CN"/>
              </w:rPr>
              <w:drawing>
                <wp:inline distT="0" distB="0" distL="114300" distR="114300">
                  <wp:extent cx="2560320" cy="3412490"/>
                  <wp:effectExtent l="0" t="0" r="11430" b="16510"/>
                  <wp:docPr id="47" name="图片 47" descr="小河北村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小河北村1"/>
                          <pic:cNvPicPr>
                            <a:picLocks noChangeAspect="1"/>
                          </pic:cNvPicPr>
                        </pic:nvPicPr>
                        <pic:blipFill>
                          <a:blip r:embed="rId14"/>
                          <a:stretch>
                            <a:fillRect/>
                          </a:stretch>
                        </pic:blipFill>
                        <pic:spPr>
                          <a:xfrm>
                            <a:off x="0" y="0"/>
                            <a:ext cx="2560320" cy="341249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8" w:type="dxa"/>
            <w:tcBorders>
              <w:tl2br w:val="nil"/>
              <w:tr2bl w:val="nil"/>
            </w:tcBorders>
          </w:tcPr>
          <w:p>
            <w:pPr>
              <w:jc w:val="center"/>
              <w:rPr>
                <w:rFonts w:hint="default" w:ascii="Times New Roman" w:hAnsi="Times New Roman"/>
                <w:color w:val="auto"/>
                <w:highlight w:val="none"/>
                <w:lang w:val="en-US" w:eastAsia="zh-CN"/>
              </w:rPr>
            </w:pPr>
            <w:r>
              <w:rPr>
                <w:rFonts w:hint="eastAsia"/>
                <w:color w:val="auto"/>
                <w:highlight w:val="none"/>
                <w:lang w:val="en-US" w:eastAsia="zh-CN"/>
              </w:rPr>
              <w:t>道宝村供水井</w:t>
            </w:r>
          </w:p>
        </w:tc>
        <w:tc>
          <w:tcPr>
            <w:tcW w:w="4258" w:type="dxa"/>
            <w:tcBorders>
              <w:tl2br w:val="nil"/>
              <w:tr2bl w:val="nil"/>
            </w:tcBorders>
            <w:vAlign w:val="center"/>
          </w:tcPr>
          <w:p>
            <w:pPr>
              <w:jc w:val="center"/>
              <w:rPr>
                <w:rFonts w:hint="default" w:ascii="Times New Roman" w:hAnsi="Times New Roman"/>
                <w:color w:val="auto"/>
                <w:highlight w:val="none"/>
                <w:lang w:val="en-US" w:eastAsia="zh-CN"/>
              </w:rPr>
            </w:pPr>
            <w:r>
              <w:rPr>
                <w:rFonts w:hint="eastAsia"/>
                <w:color w:val="auto"/>
                <w:highlight w:val="none"/>
                <w:lang w:val="en-US" w:eastAsia="zh-CN"/>
              </w:rPr>
              <w:t>河北村水井</w:t>
            </w:r>
          </w:p>
        </w:tc>
      </w:tr>
    </w:tbl>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2.5.3声环境</w:t>
      </w:r>
    </w:p>
    <w:p>
      <w:pPr>
        <w:pStyle w:val="2"/>
        <w:ind w:left="0" w:leftChars="0" w:firstLine="480" w:firstLineChars="200"/>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本项目声</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环境保护目标详见表2.5-</w:t>
      </w:r>
      <w:r>
        <w:rPr>
          <w:rFonts w:hint="eastAsia" w:cs="Times New Roman"/>
          <w:caps w:val="0"/>
          <w:smallCaps w:val="0"/>
          <w:snapToGrid/>
          <w:color w:val="auto"/>
          <w:spacing w:val="0"/>
          <w:w w:val="100"/>
          <w:kern w:val="0"/>
          <w:sz w:val="24"/>
          <w:szCs w:val="24"/>
          <w:highlight w:val="none"/>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rPr>
          <w:rFonts w:hint="eastAsia" w:ascii="Times New Roman" w:hAnsi="Arial" w:eastAsia="Times New Roman" w:cs="Arial"/>
          <w:b/>
          <w:bCs/>
          <w:snapToGrid w:val="0"/>
          <w:color w:val="auto"/>
          <w:kern w:val="0"/>
          <w:sz w:val="21"/>
          <w:szCs w:val="21"/>
          <w:highlight w:val="none"/>
          <w:lang w:val="en-US" w:eastAsia="zh-CN" w:bidi="ar-SA"/>
        </w:rPr>
      </w:pPr>
      <w:r>
        <w:rPr>
          <w:rFonts w:hint="eastAsia" w:ascii="Times New Roman" w:hAnsi="Arial" w:eastAsia="Times New Roman" w:cs="Arial"/>
          <w:b/>
          <w:bCs/>
          <w:snapToGrid w:val="0"/>
          <w:color w:val="auto"/>
          <w:kern w:val="0"/>
          <w:sz w:val="21"/>
          <w:szCs w:val="21"/>
          <w:highlight w:val="none"/>
          <w:lang w:val="en-US" w:eastAsia="zh-CN" w:bidi="ar-SA"/>
        </w:rPr>
        <w:br w:type="page"/>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imes New Roman" w:hAnsi="Arial" w:eastAsia="Times New Roman" w:cs="Arial"/>
          <w:b/>
          <w:bCs/>
          <w:snapToGrid w:val="0"/>
          <w:color w:val="auto"/>
          <w:kern w:val="0"/>
          <w:sz w:val="21"/>
          <w:szCs w:val="21"/>
          <w:highlight w:val="none"/>
          <w:lang w:val="en-US" w:eastAsia="zh-CN" w:bidi="ar-SA"/>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imes New Roman" w:hAnsi="Arial" w:eastAsia="Times New Roman" w:cs="Arial"/>
          <w:b/>
          <w:bCs/>
          <w:snapToGrid w:val="0"/>
          <w:color w:val="auto"/>
          <w:kern w:val="0"/>
          <w:sz w:val="21"/>
          <w:szCs w:val="21"/>
          <w:highlight w:val="none"/>
          <w:lang w:val="en-US" w:eastAsia="zh-CN" w:bidi="ar-SA"/>
        </w:rPr>
      </w:pPr>
      <w:r>
        <w:rPr>
          <w:rFonts w:hint="eastAsia" w:ascii="Times New Roman" w:hAnsi="Arial" w:eastAsia="Times New Roman" w:cs="Arial"/>
          <w:b/>
          <w:bCs/>
          <w:snapToGrid w:val="0"/>
          <w:color w:val="auto"/>
          <w:kern w:val="0"/>
          <w:sz w:val="21"/>
          <w:szCs w:val="21"/>
          <w:highlight w:val="none"/>
          <w:lang w:val="en-US" w:eastAsia="zh-CN" w:bidi="ar-SA"/>
        </w:rPr>
        <w:t>表2.5-3声环境敏感点保护目标</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61"/>
        <w:gridCol w:w="1065"/>
        <w:gridCol w:w="1113"/>
        <w:gridCol w:w="1156"/>
        <w:gridCol w:w="2226"/>
        <w:gridCol w:w="1541"/>
        <w:gridCol w:w="1486"/>
        <w:gridCol w:w="914"/>
        <w:gridCol w:w="401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5" w:hRule="atLeast"/>
        </w:trPr>
        <w:tc>
          <w:tcPr>
            <w:tcW w:w="661"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序号</w:t>
            </w:r>
          </w:p>
        </w:tc>
        <w:tc>
          <w:tcPr>
            <w:tcW w:w="1065"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保护目标</w:t>
            </w:r>
          </w:p>
        </w:tc>
        <w:tc>
          <w:tcPr>
            <w:tcW w:w="1113"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评价范围内户数</w:t>
            </w:r>
          </w:p>
        </w:tc>
        <w:tc>
          <w:tcPr>
            <w:tcW w:w="1156" w:type="dxa"/>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功能</w:t>
            </w:r>
          </w:p>
        </w:tc>
        <w:tc>
          <w:tcPr>
            <w:tcW w:w="2226" w:type="dxa"/>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坐标（°）</w:t>
            </w:r>
          </w:p>
        </w:tc>
        <w:tc>
          <w:tcPr>
            <w:tcW w:w="1541"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距厂界最近距离/m</w:t>
            </w:r>
          </w:p>
        </w:tc>
        <w:tc>
          <w:tcPr>
            <w:tcW w:w="1486"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方位</w:t>
            </w:r>
          </w:p>
        </w:tc>
        <w:tc>
          <w:tcPr>
            <w:tcW w:w="914"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执行标准/功能区类别</w:t>
            </w:r>
          </w:p>
        </w:tc>
        <w:tc>
          <w:tcPr>
            <w:tcW w:w="4012"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情况说明</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1"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1</w:t>
            </w:r>
          </w:p>
        </w:tc>
        <w:tc>
          <w:tcPr>
            <w:tcW w:w="1065"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发展村</w:t>
            </w:r>
          </w:p>
        </w:tc>
        <w:tc>
          <w:tcPr>
            <w:tcW w:w="1113"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5户</w:t>
            </w:r>
          </w:p>
        </w:tc>
        <w:tc>
          <w:tcPr>
            <w:tcW w:w="1156" w:type="dxa"/>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居住区</w:t>
            </w:r>
          </w:p>
        </w:tc>
        <w:tc>
          <w:tcPr>
            <w:tcW w:w="2226"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124.264679596,45.739259591</w:t>
            </w:r>
          </w:p>
        </w:tc>
        <w:tc>
          <w:tcPr>
            <w:tcW w:w="1541"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40m</w:t>
            </w:r>
          </w:p>
        </w:tc>
        <w:tc>
          <w:tcPr>
            <w:tcW w:w="1486"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3#服务站站址西侧</w:t>
            </w:r>
          </w:p>
        </w:tc>
        <w:tc>
          <w:tcPr>
            <w:tcW w:w="914"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2类</w:t>
            </w:r>
          </w:p>
        </w:tc>
        <w:tc>
          <w:tcPr>
            <w:tcW w:w="4012" w:type="dxa"/>
            <w:tcBorders>
              <w:tl2br w:val="nil"/>
              <w:tr2bl w:val="nil"/>
            </w:tcBorders>
            <w:vAlign w:val="center"/>
          </w:tcPr>
          <w:p>
            <w:pPr>
              <w:jc w:val="both"/>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砖混构建物，房屋朝向为西北至东南，楼层为1层，村屯北侧紧邻国道232，西北至南侧均为耕地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61" w:type="dxa"/>
            <w:tcBorders>
              <w:tl2br w:val="nil"/>
              <w:tr2bl w:val="nil"/>
            </w:tcBorders>
            <w:vAlign w:val="center"/>
          </w:tcPr>
          <w:p>
            <w:pPr>
              <w:jc w:val="center"/>
              <w:rPr>
                <w:rFonts w:hint="default"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2</w:t>
            </w:r>
          </w:p>
        </w:tc>
        <w:tc>
          <w:tcPr>
            <w:tcW w:w="1065" w:type="dxa"/>
            <w:tcBorders>
              <w:tl2br w:val="nil"/>
              <w:tr2bl w:val="nil"/>
            </w:tcBorders>
            <w:vAlign w:val="center"/>
          </w:tcPr>
          <w:p>
            <w:pPr>
              <w:jc w:val="center"/>
              <w:rPr>
                <w:rFonts w:hint="default"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新立屯散户</w:t>
            </w:r>
          </w:p>
        </w:tc>
        <w:tc>
          <w:tcPr>
            <w:tcW w:w="1113" w:type="dxa"/>
            <w:tcBorders>
              <w:tl2br w:val="nil"/>
              <w:tr2bl w:val="nil"/>
            </w:tcBorders>
            <w:vAlign w:val="center"/>
          </w:tcPr>
          <w:p>
            <w:pPr>
              <w:jc w:val="center"/>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7户</w:t>
            </w:r>
          </w:p>
        </w:tc>
        <w:tc>
          <w:tcPr>
            <w:tcW w:w="1156"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居住区</w:t>
            </w:r>
          </w:p>
        </w:tc>
        <w:tc>
          <w:tcPr>
            <w:tcW w:w="2226"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124.279697506,45.922436141</w:t>
            </w:r>
          </w:p>
        </w:tc>
        <w:tc>
          <w:tcPr>
            <w:tcW w:w="1541"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55</w:t>
            </w:r>
            <w:r>
              <w:rPr>
                <w:rFonts w:hint="eastAsia" w:ascii="Times New Roman" w:hAnsi="Times New Roman" w:cs="Times New Roman"/>
                <w:color w:val="auto"/>
                <w:highlight w:val="none"/>
                <w:vertAlign w:val="baseline"/>
                <w:lang w:val="en-US" w:eastAsia="zh-CN"/>
              </w:rPr>
              <w:t>m</w:t>
            </w:r>
          </w:p>
        </w:tc>
        <w:tc>
          <w:tcPr>
            <w:tcW w:w="1486"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输液管道</w:t>
            </w:r>
            <w:r>
              <w:rPr>
                <w:rFonts w:hint="eastAsia" w:cs="Times New Roman"/>
                <w:caps w:val="0"/>
                <w:smallCaps w:val="0"/>
                <w:snapToGrid/>
                <w:color w:val="auto"/>
                <w:spacing w:val="0"/>
                <w:w w:val="100"/>
                <w:kern w:val="0"/>
                <w:sz w:val="21"/>
                <w:szCs w:val="21"/>
                <w:highlight w:val="none"/>
                <w:vertAlign w:val="baseline"/>
                <w:lang w:val="en-US" w:eastAsia="zh-CN" w:bidi="ar-SA"/>
              </w:rPr>
              <w:t>东</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侧</w:t>
            </w:r>
          </w:p>
        </w:tc>
        <w:tc>
          <w:tcPr>
            <w:tcW w:w="914" w:type="dxa"/>
            <w:tcBorders>
              <w:tl2br w:val="nil"/>
              <w:tr2bl w:val="nil"/>
            </w:tcBorders>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1类</w:t>
            </w:r>
          </w:p>
        </w:tc>
        <w:tc>
          <w:tcPr>
            <w:tcW w:w="4012" w:type="dxa"/>
            <w:tcBorders>
              <w:tl2br w:val="nil"/>
              <w:tr2bl w:val="nil"/>
            </w:tcBorders>
            <w:vAlign w:val="center"/>
          </w:tcPr>
          <w:p>
            <w:pPr>
              <w:jc w:val="both"/>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砖混构建物，房屋坐北朝南，楼层为1层，村屯南侧和西侧为稀疏林带，东侧为耕地，北侧为草地</w:t>
            </w:r>
          </w:p>
        </w:tc>
      </w:tr>
    </w:tbl>
    <w:p>
      <w:pPr>
        <w:rPr>
          <w:rFonts w:hint="eastAsia"/>
          <w:color w:val="auto"/>
          <w:highlight w:val="none"/>
          <w:lang w:val="en-US" w:eastAsia="zh-CN"/>
        </w:rPr>
      </w:pPr>
    </w:p>
    <w:p>
      <w:pPr>
        <w:pStyle w:val="2"/>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p>
    <w:p>
      <w:pP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p>
    <w:p>
      <w:pPr>
        <w:rPr>
          <w:rFonts w:hint="eastAsia"/>
          <w:color w:val="auto"/>
          <w:highlight w:val="none"/>
          <w:lang w:val="en-US" w:eastAsia="zh-CN"/>
        </w:rPr>
      </w:pPr>
      <w:r>
        <w:rPr>
          <w:rFonts w:hint="eastAsia"/>
          <w:color w:val="auto"/>
          <w:highlight w:val="none"/>
          <w:lang w:val="en-US" w:eastAsia="zh-CN"/>
        </w:rPr>
        <w:br w:type="page"/>
      </w:r>
    </w:p>
    <w:p>
      <w:pPr>
        <w:rPr>
          <w:rFonts w:hint="eastAsia"/>
          <w:color w:val="auto"/>
          <w:highlight w:val="none"/>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2.5.4土壤环境</w:t>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color w:val="auto"/>
          <w:highlight w:val="none"/>
          <w:lang w:val="en-US" w:eastAsia="zh-CN"/>
        </w:rPr>
      </w:pPr>
      <w:r>
        <w:rPr>
          <w:rFonts w:hint="eastAsia"/>
          <w:color w:val="auto"/>
          <w:highlight w:val="none"/>
          <w:lang w:val="en-US" w:eastAsia="zh-CN"/>
        </w:rPr>
        <w:t>本项目土壤环境评价范围为以3#服务站站址外扩200m范围内及输液管道沿线两侧200m范围，土壤环境保护目标见表2.5-4。</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Arial" w:eastAsia="Times New Roman" w:cs="Arial"/>
          <w:b/>
          <w:bCs/>
          <w:snapToGrid w:val="0"/>
          <w:color w:val="auto"/>
          <w:kern w:val="0"/>
          <w:sz w:val="21"/>
          <w:szCs w:val="21"/>
          <w:highlight w:val="none"/>
          <w:lang w:val="en-US" w:eastAsia="zh-CN" w:bidi="ar-SA"/>
        </w:rPr>
      </w:pPr>
      <w:r>
        <w:rPr>
          <w:rFonts w:hint="eastAsia" w:ascii="Times New Roman" w:hAnsi="Arial" w:eastAsia="Times New Roman" w:cs="Arial"/>
          <w:b/>
          <w:bCs/>
          <w:snapToGrid w:val="0"/>
          <w:color w:val="auto"/>
          <w:kern w:val="0"/>
          <w:sz w:val="21"/>
          <w:szCs w:val="21"/>
          <w:highlight w:val="none"/>
          <w:lang w:val="en-US" w:eastAsia="zh-CN" w:bidi="ar-SA"/>
        </w:rPr>
        <w:t>表2.5-4土壤环境保护目标</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86"/>
        <w:gridCol w:w="1313"/>
        <w:gridCol w:w="1610"/>
        <w:gridCol w:w="2154"/>
        <w:gridCol w:w="215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86" w:type="dxa"/>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保护目标</w:t>
            </w:r>
          </w:p>
        </w:tc>
        <w:tc>
          <w:tcPr>
            <w:tcW w:w="1313" w:type="dxa"/>
            <w:tcBorders>
              <w:tl2br w:val="nil"/>
              <w:tr2bl w:val="nil"/>
            </w:tcBorders>
            <w:vAlign w:val="center"/>
          </w:tcPr>
          <w:p>
            <w:pPr>
              <w:jc w:val="center"/>
              <w:rPr>
                <w:rFonts w:hint="eastAsia"/>
                <w:color w:val="auto"/>
                <w:highlight w:val="none"/>
                <w:vertAlign w:val="baseline"/>
                <w:lang w:val="en-US" w:eastAsia="zh-CN"/>
              </w:rPr>
            </w:pPr>
            <w:r>
              <w:rPr>
                <w:rFonts w:hint="eastAsia"/>
                <w:color w:val="auto"/>
                <w:highlight w:val="none"/>
                <w:vertAlign w:val="baseline"/>
                <w:lang w:val="en-US" w:eastAsia="zh-CN"/>
              </w:rPr>
              <w:t>范围</w:t>
            </w:r>
          </w:p>
        </w:tc>
        <w:tc>
          <w:tcPr>
            <w:tcW w:w="1610" w:type="dxa"/>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保护内容</w:t>
            </w:r>
          </w:p>
        </w:tc>
        <w:tc>
          <w:tcPr>
            <w:tcW w:w="2154" w:type="dxa"/>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环境特征</w:t>
            </w:r>
          </w:p>
        </w:tc>
        <w:tc>
          <w:tcPr>
            <w:tcW w:w="2153" w:type="dxa"/>
            <w:tcBorders>
              <w:tl2br w:val="nil"/>
              <w:tr2bl w:val="nil"/>
            </w:tcBorders>
            <w:vAlign w:val="center"/>
          </w:tcPr>
          <w:p>
            <w:pPr>
              <w:jc w:val="center"/>
              <w:rPr>
                <w:rFonts w:hint="eastAsia"/>
                <w:color w:val="auto"/>
                <w:highlight w:val="none"/>
                <w:vertAlign w:val="baseline"/>
                <w:lang w:val="en-US" w:eastAsia="zh-CN"/>
              </w:rPr>
            </w:pPr>
            <w:r>
              <w:rPr>
                <w:rFonts w:hint="eastAsia"/>
                <w:color w:val="auto"/>
                <w:highlight w:val="none"/>
                <w:vertAlign w:val="baseline"/>
                <w:lang w:val="en-US" w:eastAsia="zh-CN"/>
              </w:rPr>
              <w:t>保护级别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86" w:type="dxa"/>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耕地</w:t>
            </w:r>
          </w:p>
        </w:tc>
        <w:tc>
          <w:tcPr>
            <w:tcW w:w="1313" w:type="dxa"/>
            <w:vMerge w:val="restart"/>
            <w:tcBorders>
              <w:tl2br w:val="nil"/>
              <w:tr2bl w:val="nil"/>
            </w:tcBorders>
            <w:vAlign w:val="center"/>
          </w:tcPr>
          <w:p>
            <w:pPr>
              <w:jc w:val="both"/>
              <w:rPr>
                <w:rFonts w:hint="eastAsia"/>
                <w:color w:val="auto"/>
                <w:highlight w:val="none"/>
                <w:vertAlign w:val="baseline"/>
                <w:lang w:val="en-US" w:eastAsia="zh-CN"/>
              </w:rPr>
            </w:pPr>
            <w:r>
              <w:rPr>
                <w:rFonts w:hint="eastAsia"/>
                <w:color w:val="auto"/>
                <w:highlight w:val="none"/>
                <w:vertAlign w:val="baseline"/>
                <w:lang w:val="en-US" w:eastAsia="zh-CN"/>
              </w:rPr>
              <w:t>以3#服务站站址外扩200m范围内及输液管道沿线两侧200m范围</w:t>
            </w:r>
          </w:p>
        </w:tc>
        <w:tc>
          <w:tcPr>
            <w:tcW w:w="1610" w:type="dxa"/>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保护范围的农用地土壤环境，主要为耕地</w:t>
            </w:r>
          </w:p>
        </w:tc>
        <w:tc>
          <w:tcPr>
            <w:tcW w:w="2154" w:type="dxa"/>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耕地、草地</w:t>
            </w:r>
          </w:p>
        </w:tc>
        <w:tc>
          <w:tcPr>
            <w:tcW w:w="2153" w:type="dxa"/>
            <w:tcBorders>
              <w:tl2br w:val="nil"/>
              <w:tr2bl w:val="nil"/>
            </w:tcBorders>
            <w:vAlign w:val="center"/>
          </w:tcPr>
          <w:p>
            <w:pPr>
              <w:jc w:val="both"/>
              <w:rPr>
                <w:rFonts w:hint="eastAsia"/>
                <w:color w:val="auto"/>
                <w:highlight w:val="none"/>
                <w:vertAlign w:val="baseline"/>
                <w:lang w:val="en-US" w:eastAsia="zh-CN"/>
              </w:rPr>
            </w:pPr>
            <w:r>
              <w:rPr>
                <w:rFonts w:hint="eastAsia"/>
                <w:color w:val="auto"/>
                <w:highlight w:val="none"/>
                <w:vertAlign w:val="baseline"/>
                <w:lang w:val="en-US" w:eastAsia="zh-CN"/>
              </w:rPr>
              <w:t>《土壤环境质量 农用地土壤污染风险管控标准（试行）》(GB15618-2018)中其他用地风险筛选值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86" w:type="dxa"/>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发展村</w:t>
            </w:r>
          </w:p>
        </w:tc>
        <w:tc>
          <w:tcPr>
            <w:tcW w:w="1313" w:type="dxa"/>
            <w:vMerge w:val="continue"/>
            <w:tcBorders>
              <w:tl2br w:val="nil"/>
              <w:tr2bl w:val="nil"/>
            </w:tcBorders>
            <w:vAlign w:val="center"/>
          </w:tcPr>
          <w:p>
            <w:pPr>
              <w:jc w:val="both"/>
              <w:rPr>
                <w:rFonts w:hint="eastAsia"/>
                <w:color w:val="auto"/>
                <w:highlight w:val="none"/>
                <w:vertAlign w:val="baseline"/>
                <w:lang w:val="en-US" w:eastAsia="zh-CN"/>
              </w:rPr>
            </w:pPr>
          </w:p>
        </w:tc>
        <w:tc>
          <w:tcPr>
            <w:tcW w:w="1610" w:type="dxa"/>
            <w:tcBorders>
              <w:tl2br w:val="nil"/>
              <w:tr2bl w:val="nil"/>
            </w:tcBorders>
            <w:vAlign w:val="center"/>
          </w:tcPr>
          <w:p>
            <w:pPr>
              <w:jc w:val="center"/>
              <w:rPr>
                <w:rFonts w:hint="default"/>
                <w:color w:val="auto"/>
                <w:highlight w:val="none"/>
                <w:vertAlign w:val="baseline"/>
                <w:lang w:val="en-US" w:eastAsia="zh-CN"/>
              </w:rPr>
            </w:pPr>
            <w:r>
              <w:rPr>
                <w:rFonts w:hint="eastAsia" w:cs="Times New Roman"/>
                <w:caps w:val="0"/>
                <w:smallCaps w:val="0"/>
                <w:snapToGrid/>
                <w:color w:val="auto"/>
                <w:spacing w:val="0"/>
                <w:w w:val="100"/>
                <w:kern w:val="0"/>
                <w:sz w:val="21"/>
                <w:szCs w:val="21"/>
                <w:highlight w:val="none"/>
                <w:vertAlign w:val="baseline"/>
                <w:lang w:val="en-US" w:eastAsia="zh-CN" w:bidi="ar-SA"/>
              </w:rPr>
              <w:t>居住区，影响</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范围是</w:t>
            </w:r>
            <w:r>
              <w:rPr>
                <w:rFonts w:hint="eastAsia" w:cs="Times New Roman"/>
                <w:caps w:val="0"/>
                <w:smallCaps w:val="0"/>
                <w:snapToGrid/>
                <w:color w:val="auto"/>
                <w:spacing w:val="0"/>
                <w:w w:val="100"/>
                <w:kern w:val="0"/>
                <w:sz w:val="21"/>
                <w:szCs w:val="21"/>
                <w:highlight w:val="none"/>
                <w:vertAlign w:val="baseline"/>
                <w:lang w:val="en-US" w:eastAsia="zh-CN" w:bidi="ar-SA"/>
              </w:rPr>
              <w:t>5</w:t>
            </w:r>
            <w:r>
              <w:rPr>
                <w:rFonts w:hint="default" w:ascii="Times New Roman" w:hAnsi="Times New Roman" w:cs="Times New Roman"/>
                <w:caps w:val="0"/>
                <w:smallCaps w:val="0"/>
                <w:snapToGrid/>
                <w:color w:val="auto"/>
                <w:spacing w:val="0"/>
                <w:w w:val="100"/>
                <w:kern w:val="0"/>
                <w:sz w:val="21"/>
                <w:szCs w:val="21"/>
                <w:highlight w:val="none"/>
                <w:vertAlign w:val="baseline"/>
                <w:lang w:val="en-US" w:eastAsia="zh-CN" w:bidi="ar-SA"/>
              </w:rPr>
              <w:t>户</w:t>
            </w:r>
          </w:p>
        </w:tc>
        <w:tc>
          <w:tcPr>
            <w:tcW w:w="2154" w:type="dxa"/>
            <w:tcBorders>
              <w:tl2br w:val="nil"/>
              <w:tr2bl w:val="nil"/>
            </w:tcBorders>
            <w:vAlign w:val="center"/>
          </w:tcPr>
          <w:p>
            <w:pPr>
              <w:jc w:val="center"/>
              <w:rPr>
                <w:rFonts w:hint="eastAsia"/>
                <w:color w:val="auto"/>
                <w:highlight w:val="none"/>
                <w:vertAlign w:val="baseline"/>
                <w:lang w:val="en-US" w:eastAsia="zh-CN"/>
              </w:rPr>
            </w:pPr>
            <w:r>
              <w:rPr>
                <w:rFonts w:hint="eastAsia" w:ascii="Times New Roman" w:hAnsi="Times New Roman" w:cs="Times New Roman"/>
                <w:caps w:val="0"/>
                <w:smallCaps w:val="0"/>
                <w:snapToGrid/>
                <w:color w:val="auto"/>
                <w:spacing w:val="0"/>
                <w:w w:val="100"/>
                <w:kern w:val="0"/>
                <w:sz w:val="21"/>
                <w:szCs w:val="21"/>
                <w:highlight w:val="none"/>
                <w:vertAlign w:val="baseline"/>
                <w:lang w:val="en-US" w:eastAsia="zh-CN" w:bidi="ar-SA"/>
              </w:rPr>
              <w:t>区域占地类型为农村宅基地</w:t>
            </w:r>
          </w:p>
        </w:tc>
        <w:tc>
          <w:tcPr>
            <w:tcW w:w="2153" w:type="dxa"/>
            <w:vMerge w:val="restart"/>
            <w:tcBorders>
              <w:tl2br w:val="nil"/>
              <w:tr2bl w:val="nil"/>
            </w:tcBorders>
            <w:vAlign w:val="center"/>
          </w:tcPr>
          <w:p>
            <w:pPr>
              <w:jc w:val="both"/>
              <w:rPr>
                <w:rFonts w:hint="eastAsia"/>
                <w:color w:val="auto"/>
                <w:highlight w:val="none"/>
                <w:vertAlign w:val="baseline"/>
                <w:lang w:val="en-US" w:eastAsia="zh-CN"/>
              </w:rPr>
            </w:pP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《土壤环境质量 建设用地土壤污染风险管控标准（试行）》（GB36600-2018）中表1建设用地土壤污染风险筛选值要求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86" w:type="dxa"/>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新立屯散户</w:t>
            </w:r>
          </w:p>
        </w:tc>
        <w:tc>
          <w:tcPr>
            <w:tcW w:w="1313" w:type="dxa"/>
            <w:vMerge w:val="continue"/>
            <w:vAlign w:val="center"/>
          </w:tcPr>
          <w:p>
            <w:pPr>
              <w:jc w:val="cente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c>
          <w:tcPr>
            <w:tcW w:w="1610" w:type="dxa"/>
            <w:vAlign w:val="center"/>
          </w:tcPr>
          <w:p>
            <w:pPr>
              <w:jc w:val="center"/>
              <w:rPr>
                <w:rFonts w:hint="eastAsia"/>
                <w:color w:val="auto"/>
                <w:highlight w:val="none"/>
                <w:vertAlign w:val="baseline"/>
                <w:lang w:val="en-US" w:eastAsia="zh-CN"/>
              </w:rPr>
            </w:pPr>
            <w:r>
              <w:rPr>
                <w:rFonts w:hint="eastAsia" w:cs="Times New Roman"/>
                <w:caps w:val="0"/>
                <w:smallCaps w:val="0"/>
                <w:snapToGrid/>
                <w:color w:val="auto"/>
                <w:spacing w:val="0"/>
                <w:w w:val="100"/>
                <w:kern w:val="0"/>
                <w:sz w:val="21"/>
                <w:szCs w:val="21"/>
                <w:highlight w:val="none"/>
                <w:vertAlign w:val="baseline"/>
                <w:lang w:val="en-US" w:eastAsia="zh-CN" w:bidi="ar-SA"/>
              </w:rPr>
              <w:t>居住区，影响</w:t>
            </w:r>
            <w:r>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t>范围是</w:t>
            </w:r>
            <w:r>
              <w:rPr>
                <w:rFonts w:hint="eastAsia" w:cs="Times New Roman"/>
                <w:caps w:val="0"/>
                <w:smallCaps w:val="0"/>
                <w:snapToGrid/>
                <w:color w:val="auto"/>
                <w:spacing w:val="0"/>
                <w:w w:val="100"/>
                <w:kern w:val="0"/>
                <w:sz w:val="21"/>
                <w:szCs w:val="21"/>
                <w:highlight w:val="none"/>
                <w:vertAlign w:val="baseline"/>
                <w:lang w:val="en-US" w:eastAsia="zh-CN" w:bidi="ar-SA"/>
              </w:rPr>
              <w:t>7户</w:t>
            </w:r>
          </w:p>
        </w:tc>
        <w:tc>
          <w:tcPr>
            <w:tcW w:w="2154" w:type="dxa"/>
            <w:vAlign w:val="center"/>
          </w:tcPr>
          <w:p>
            <w:pPr>
              <w:jc w:val="center"/>
              <w:rPr>
                <w:rFonts w:hint="eastAsia"/>
                <w:color w:val="auto"/>
                <w:highlight w:val="none"/>
                <w:vertAlign w:val="baseline"/>
                <w:lang w:val="en-US" w:eastAsia="zh-CN"/>
              </w:rPr>
            </w:pPr>
            <w:r>
              <w:rPr>
                <w:rFonts w:hint="eastAsia" w:ascii="Times New Roman" w:hAnsi="Times New Roman" w:cs="Times New Roman"/>
                <w:caps w:val="0"/>
                <w:smallCaps w:val="0"/>
                <w:snapToGrid/>
                <w:color w:val="auto"/>
                <w:spacing w:val="0"/>
                <w:w w:val="100"/>
                <w:kern w:val="0"/>
                <w:sz w:val="21"/>
                <w:szCs w:val="21"/>
                <w:highlight w:val="none"/>
                <w:vertAlign w:val="baseline"/>
                <w:lang w:val="en-US" w:eastAsia="zh-CN" w:bidi="ar-SA"/>
              </w:rPr>
              <w:t>区域占地类型为农村宅基地</w:t>
            </w:r>
          </w:p>
        </w:tc>
        <w:tc>
          <w:tcPr>
            <w:tcW w:w="2153" w:type="dxa"/>
            <w:vMerge w:val="continue"/>
          </w:tcPr>
          <w:p>
            <w:pPr>
              <w:jc w:val="both"/>
              <w:rPr>
                <w:rFonts w:hint="eastAsia"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p>
        </w:tc>
      </w:tr>
    </w:tbl>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2.5.5生态环境</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根据现场调查，本项目生态环境评价范围内，无重要物种及生境，</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w:t>
      </w:r>
      <w:r>
        <w:rPr>
          <w:rFonts w:hint="eastAsia" w:cs="Times New Roman"/>
          <w:caps w:val="0"/>
          <w:smallCaps w:val="0"/>
          <w:snapToGrid/>
          <w:color w:val="auto"/>
          <w:spacing w:val="0"/>
          <w:w w:val="100"/>
          <w:kern w:val="0"/>
          <w:sz w:val="24"/>
          <w:szCs w:val="24"/>
          <w:highlight w:val="none"/>
          <w:lang w:val="en-US" w:eastAsia="zh-CN" w:bidi="ar-SA"/>
        </w:rPr>
        <w:t>生态环境保护目标见下表。</w:t>
      </w:r>
    </w:p>
    <w:p>
      <w:pPr>
        <w:pStyle w:val="2"/>
        <w:ind w:left="0" w:leftChars="0" w:firstLine="0" w:firstLineChars="0"/>
        <w:jc w:val="center"/>
        <w:rPr>
          <w:rFonts w:hint="default" w:ascii="Times New Roman" w:hAnsi="Arial" w:eastAsia="Times New Roman" w:cs="Arial"/>
          <w:b/>
          <w:bCs/>
          <w:snapToGrid w:val="0"/>
          <w:color w:val="auto"/>
          <w:kern w:val="0"/>
          <w:sz w:val="21"/>
          <w:szCs w:val="21"/>
          <w:highlight w:val="none"/>
          <w:lang w:val="en-US" w:eastAsia="zh-CN" w:bidi="ar-SA"/>
        </w:rPr>
      </w:pPr>
      <w:r>
        <w:rPr>
          <w:rFonts w:hint="eastAsia" w:ascii="Times New Roman" w:hAnsi="Arial" w:eastAsia="Times New Roman" w:cs="Arial"/>
          <w:b/>
          <w:bCs/>
          <w:snapToGrid w:val="0"/>
          <w:color w:val="auto"/>
          <w:kern w:val="0"/>
          <w:sz w:val="21"/>
          <w:szCs w:val="21"/>
          <w:highlight w:val="none"/>
          <w:lang w:val="en-US" w:eastAsia="zh-CN" w:bidi="ar-SA"/>
        </w:rPr>
        <w:t>表</w:t>
      </w:r>
      <w:r>
        <w:rPr>
          <w:rFonts w:hint="eastAsia" w:hAnsi="Arial" w:eastAsia="Times New Roman" w:cs="Arial"/>
          <w:b/>
          <w:bCs/>
          <w:snapToGrid w:val="0"/>
          <w:color w:val="auto"/>
          <w:kern w:val="0"/>
          <w:sz w:val="21"/>
          <w:szCs w:val="21"/>
          <w:highlight w:val="none"/>
          <w:lang w:val="en-US" w:eastAsia="zh-CN" w:bidi="ar-SA"/>
        </w:rPr>
        <w:t>2.5-5生态</w:t>
      </w:r>
      <w:r>
        <w:rPr>
          <w:rFonts w:hint="eastAsia" w:ascii="Times New Roman" w:hAnsi="Arial" w:eastAsia="Times New Roman" w:cs="Arial"/>
          <w:b/>
          <w:bCs/>
          <w:snapToGrid w:val="0"/>
          <w:color w:val="auto"/>
          <w:kern w:val="0"/>
          <w:sz w:val="21"/>
          <w:szCs w:val="21"/>
          <w:highlight w:val="none"/>
          <w:lang w:val="en-US" w:eastAsia="zh-CN" w:bidi="ar-SA"/>
        </w:rPr>
        <w:t>环境保护目标</w:t>
      </w:r>
    </w:p>
    <w:tbl>
      <w:tblPr>
        <w:tblStyle w:val="16"/>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09"/>
        <w:gridCol w:w="707"/>
        <w:gridCol w:w="1056"/>
        <w:gridCol w:w="1296"/>
        <w:gridCol w:w="494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99" w:type="pct"/>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序号</w:t>
            </w:r>
          </w:p>
        </w:tc>
        <w:tc>
          <w:tcPr>
            <w:tcW w:w="415" w:type="pct"/>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名称</w:t>
            </w:r>
          </w:p>
        </w:tc>
        <w:tc>
          <w:tcPr>
            <w:tcW w:w="620" w:type="pct"/>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保护</w:t>
            </w:r>
            <w:r>
              <w:rPr>
                <w:rFonts w:hint="eastAsia" w:ascii="Times New Roman" w:hAnsi="Times New Roman" w:eastAsia="宋体" w:cs="Times New Roman"/>
                <w:color w:val="auto"/>
                <w:highlight w:val="none"/>
                <w:lang w:val="en-US" w:eastAsia="zh-CN"/>
              </w:rPr>
              <w:t>范围</w:t>
            </w:r>
          </w:p>
        </w:tc>
        <w:tc>
          <w:tcPr>
            <w:tcW w:w="761" w:type="pct"/>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主要保护对象</w:t>
            </w:r>
          </w:p>
        </w:tc>
        <w:tc>
          <w:tcPr>
            <w:tcW w:w="2903" w:type="pct"/>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保护级别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99" w:type="pct"/>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415" w:type="pct"/>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永久基本农田</w:t>
            </w:r>
          </w:p>
        </w:tc>
        <w:tc>
          <w:tcPr>
            <w:tcW w:w="620" w:type="pct"/>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以3#服务站站址永久占地外扩500m范围内及管道沿线两侧外300m范围内的区域</w:t>
            </w:r>
          </w:p>
        </w:tc>
        <w:tc>
          <w:tcPr>
            <w:tcW w:w="761" w:type="pct"/>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永久基本农田</w:t>
            </w:r>
          </w:p>
        </w:tc>
        <w:tc>
          <w:tcPr>
            <w:tcW w:w="2903" w:type="pct"/>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除法律规定的重点建设项目选址确实无法避让外，其他任何建设不得占用。禁止在永久基本农田保护区建窑、建房、建坟、挖砂、采石、采矿、取土、堆放固体废弃物或者进行其他破坏永久基本农田的活动。禁止占用永久基本农田发展林果业和挖塘养鱼</w:t>
            </w:r>
            <w:r>
              <w:rPr>
                <w:rFonts w:hint="eastAsia" w:ascii="Times New Roman" w:hAnsi="Times New Roman" w:eastAsia="宋体" w:cs="Times New Roman"/>
                <w:color w:val="auto"/>
                <w:highlight w:val="none"/>
                <w:lang w:val="en-US" w:eastAsia="zh-CN"/>
              </w:rPr>
              <w:t>；经国务院批准的重点建设项目占用基本农田的，满1年不使用而又可以耕种并收获的，应当由原耕种该幅基本农田的集体或者个人恢复耕种，也可以由用地单位组织耕种；1年以上未动工建设的，应当按照省、自治区、直辖市的规定缴纳闲置费；连续2年未使用的，经国务院批准，由县级以上人民政府无偿收回用地单位的土地使用权</w:t>
            </w:r>
          </w:p>
        </w:tc>
      </w:tr>
    </w:tbl>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2.5.6环境风险</w:t>
      </w:r>
    </w:p>
    <w:p>
      <w:pPr>
        <w:pStyle w:val="2"/>
        <w:ind w:left="0" w:leftChars="0" w:firstLine="480" w:firstLineChars="200"/>
        <w:rPr>
          <w:rFonts w:hint="eastAsia"/>
          <w:color w:val="auto"/>
          <w:highlight w:val="none"/>
          <w:lang w:val="en-US" w:eastAsia="zh-CN"/>
        </w:rPr>
      </w:pPr>
      <w:r>
        <w:rPr>
          <w:rFonts w:hint="eastAsia"/>
          <w:color w:val="auto"/>
          <w:highlight w:val="none"/>
          <w:lang w:val="en-US" w:eastAsia="zh-CN"/>
        </w:rPr>
        <w:t>本项目环境风险潜势为Ⅰ，风险评价等级为简单分析，无需设置评价范围。环境风险敏感目标参照各环境要素环境保护目标。</w:t>
      </w:r>
    </w:p>
    <w:p>
      <w:pPr>
        <w:rPr>
          <w:rFonts w:hint="eastAsia"/>
          <w:color w:val="auto"/>
          <w:highlight w:val="none"/>
          <w:lang w:val="en-US" w:eastAsia="zh-CN"/>
        </w:rPr>
      </w:pPr>
    </w:p>
    <w:p>
      <w:pPr>
        <w:pStyle w:val="2"/>
        <w:rPr>
          <w:rFonts w:hint="eastAsia"/>
          <w:color w:val="auto"/>
          <w:highlight w:val="none"/>
          <w:lang w:val="en-US" w:eastAsia="zh-CN"/>
        </w:rPr>
      </w:pPr>
    </w:p>
    <w:p>
      <w:pPr>
        <w:rPr>
          <w:rFonts w:hint="eastAsia"/>
          <w:color w:val="auto"/>
          <w:highlight w:val="none"/>
          <w:lang w:val="en-US" w:eastAsia="zh-CN"/>
        </w:rPr>
      </w:pPr>
    </w:p>
    <w:p>
      <w:pPr>
        <w:rPr>
          <w:rFonts w:hint="eastAsia" w:cs="Times New Roman"/>
          <w:snapToGrid/>
          <w:color w:val="auto"/>
          <w:sz w:val="32"/>
          <w:highlight w:val="none"/>
          <w:lang w:val="en-US" w:eastAsia="zh-CN" w:bidi="ar-SA"/>
        </w:rPr>
      </w:pPr>
      <w:r>
        <w:rPr>
          <w:rFonts w:hint="eastAsia" w:cs="Times New Roman"/>
          <w:snapToGrid/>
          <w:color w:val="auto"/>
          <w:sz w:val="32"/>
          <w:highlight w:val="none"/>
          <w:lang w:val="en-US" w:eastAsia="zh-CN" w:bidi="ar-SA"/>
        </w:rPr>
        <w:br w:type="page"/>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22" w:name="_Toc26606"/>
      <w:bookmarkStart w:id="23" w:name="_Toc19623"/>
      <w:r>
        <w:rPr>
          <w:rFonts w:hint="eastAsia" w:ascii="Times New Roman" w:hAnsi="Times New Roman" w:eastAsia="宋体" w:cs="Times New Roman"/>
          <w:snapToGrid/>
          <w:color w:val="auto"/>
          <w:sz w:val="32"/>
          <w:highlight w:val="none"/>
          <w:lang w:val="en-US" w:eastAsia="zh-CN" w:bidi="ar-SA"/>
        </w:rPr>
        <w:t>3.建设项目工程分析</w:t>
      </w:r>
      <w:bookmarkEnd w:id="22"/>
      <w:bookmarkEnd w:id="23"/>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24" w:name="_Toc19905"/>
      <w:r>
        <w:rPr>
          <w:rFonts w:hint="eastAsia" w:ascii="Times New Roman" w:hAnsi="Times New Roman" w:eastAsia="宋体" w:cs="Times New Roman"/>
          <w:snapToGrid/>
          <w:color w:val="auto"/>
          <w:sz w:val="32"/>
          <w:highlight w:val="none"/>
          <w:lang w:val="en-US" w:eastAsia="zh-CN" w:bidi="ar-SA"/>
        </w:rPr>
        <w:t>3.1项目概况</w:t>
      </w:r>
      <w:bookmarkEnd w:id="24"/>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3.1.1项目基本情况</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（1）项目名称：黑龙江省大庆市页岩油压裂返排液（肇源段）处理项目</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（2）建设性质：新建</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（3）建设单位：肇源县风瀚环保科技有限公司</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（4）总投资：30</w:t>
      </w:r>
      <w:r>
        <w:rPr>
          <w:rFonts w:hint="eastAsia" w:cs="Times New Roman"/>
          <w:caps w:val="0"/>
          <w:smallCaps w:val="0"/>
          <w:snapToGrid/>
          <w:color w:val="auto"/>
          <w:spacing w:val="0"/>
          <w:w w:val="100"/>
          <w:kern w:val="0"/>
          <w:sz w:val="24"/>
          <w:szCs w:val="24"/>
          <w:highlight w:val="none"/>
          <w:lang w:val="en-US" w:eastAsia="zh-CN" w:bidi="ar-SA"/>
        </w:rPr>
        <w:t>0</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00万元</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（5）建设地点：</w:t>
      </w:r>
      <w:r>
        <w:rPr>
          <w:rFonts w:hint="eastAsia" w:cs="Times New Roman"/>
          <w:caps w:val="0"/>
          <w:smallCaps w:val="0"/>
          <w:snapToGrid/>
          <w:color w:val="auto"/>
          <w:spacing w:val="0"/>
          <w:w w:val="100"/>
          <w:kern w:val="0"/>
          <w:sz w:val="24"/>
          <w:szCs w:val="24"/>
          <w:highlight w:val="none"/>
          <w:lang w:val="en-US" w:eastAsia="zh-CN" w:bidi="ar-SA"/>
        </w:rPr>
        <w:t>新建3#服务站站址位于</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黑龙江省大庆市</w:t>
      </w:r>
      <w:r>
        <w:rPr>
          <w:rFonts w:hint="eastAsia" w:cs="Times New Roman"/>
          <w:caps w:val="0"/>
          <w:smallCaps w:val="0"/>
          <w:snapToGrid/>
          <w:color w:val="auto"/>
          <w:spacing w:val="0"/>
          <w:w w:val="100"/>
          <w:kern w:val="0"/>
          <w:sz w:val="24"/>
          <w:szCs w:val="24"/>
          <w:highlight w:val="none"/>
          <w:lang w:val="en-US" w:eastAsia="zh-CN" w:bidi="ar-SA"/>
        </w:rPr>
        <w:t>肇源县长发乡发展村东侧空地处，</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中心地理坐标为124.269066093</w:t>
      </w:r>
      <w:r>
        <w:rPr>
          <w:rFonts w:hint="eastAsia" w:cs="Times New Roman"/>
          <w:caps w:val="0"/>
          <w:smallCaps w:val="0"/>
          <w:snapToGrid/>
          <w:color w:val="auto"/>
          <w:spacing w:val="0"/>
          <w:w w:val="100"/>
          <w:kern w:val="0"/>
          <w:sz w:val="24"/>
          <w:szCs w:val="24"/>
          <w:highlight w:val="no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，45.740629251</w:t>
      </w:r>
      <w:r>
        <w:rPr>
          <w:rFonts w:hint="eastAsia" w:cs="Times New Roman"/>
          <w:caps w:val="0"/>
          <w:smallCaps w:val="0"/>
          <w:snapToGrid/>
          <w:color w:val="auto"/>
          <w:spacing w:val="0"/>
          <w:w w:val="100"/>
          <w:kern w:val="0"/>
          <w:sz w:val="24"/>
          <w:szCs w:val="24"/>
          <w:highlight w:val="none"/>
          <w:lang w:val="en-US" w:eastAsia="zh-CN" w:bidi="ar-SA"/>
        </w:rPr>
        <w:t>°；其中新建的3条管道由服务站西北角出线，沿西北向北布设，管道整体呈南北走向，管道终点由西南侧接入风瀚环保科技有限公司已建的2#服务站，途径道宝村、鸭木蛋格屯、古龙镇等。剩余2条由已建的2#服务站站址西北侧出线，向北侧铺设，与1#服务站已建的输液管道连接，管道并列铺设，长度均为4km。</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（6）建设规模：建设压裂返排液处理服务站1座，</w:t>
      </w:r>
      <w:r>
        <w:rPr>
          <w:rFonts w:hint="eastAsia" w:cs="Times New Roman"/>
          <w:caps w:val="0"/>
          <w:smallCaps w:val="0"/>
          <w:snapToGrid/>
          <w:color w:val="auto"/>
          <w:spacing w:val="0"/>
          <w:w w:val="100"/>
          <w:kern w:val="0"/>
          <w:sz w:val="24"/>
          <w:szCs w:val="24"/>
          <w:highlight w:val="none"/>
          <w:lang w:val="en-US" w:eastAsia="zh-CN" w:bidi="ar-SA"/>
        </w:rPr>
        <w:t>为3#服务站，设计处理能力为4500t/d。3#站内建设卸车平台、预处理车间、污油储罐区、储液池区域及办公区域等。3#站外铺设3条管道，管道并列铺设，长度均为29km，前期均输送处理达标的水，回用于其他页岩油试验区压裂复配。后期待1#试验站深度生化处理工程取得环评手续运行后，后期其中2条输液管道水质用于深度处理，综合利用，剩余1条使用功能不变。</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已建2#站外铺设2条管道，管道并列铺设，长度均为4km，与1#服务站所管辖的输液管道连接，回用于其他页岩油试验区压裂复配。后期待1#试验站深度生化处理工程取得环评手续运行后，后期其中1条输液管道水质用于深度处理，综合利用，剩余1条使用功能不变。</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（7）</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预计投产时间：</w:t>
      </w:r>
      <w:r>
        <w:rPr>
          <w:rFonts w:hint="eastAsia" w:cs="Times New Roman"/>
          <w:caps w:val="0"/>
          <w:smallCaps w:val="0"/>
          <w:snapToGrid/>
          <w:color w:val="auto"/>
          <w:spacing w:val="0"/>
          <w:w w:val="100"/>
          <w:kern w:val="0"/>
          <w:sz w:val="24"/>
          <w:szCs w:val="24"/>
          <w:highlight w:val="none"/>
          <w:lang w:val="en-US" w:eastAsia="zh-CN" w:bidi="ar-SA"/>
        </w:rPr>
        <w:t>2024</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年1</w:t>
      </w:r>
      <w:r>
        <w:rPr>
          <w:rFonts w:hint="eastAsia" w:cs="Times New Roman"/>
          <w:caps w:val="0"/>
          <w:smallCaps w:val="0"/>
          <w:snapToGrid/>
          <w:color w:val="auto"/>
          <w:spacing w:val="0"/>
          <w:w w:val="100"/>
          <w:kern w:val="0"/>
          <w:sz w:val="24"/>
          <w:szCs w:val="24"/>
          <w:highlight w:val="none"/>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月</w:t>
      </w:r>
      <w:r>
        <w:rPr>
          <w:rFonts w:hint="eastAsia" w:cs="Times New Roman"/>
          <w:caps w:val="0"/>
          <w:smallCaps w:val="0"/>
          <w:snapToGrid/>
          <w:color w:val="auto"/>
          <w:spacing w:val="0"/>
          <w:w w:val="100"/>
          <w:kern w:val="0"/>
          <w:sz w:val="24"/>
          <w:szCs w:val="24"/>
          <w:highlight w:val="none"/>
          <w:lang w:val="en-US" w:eastAsia="zh-CN" w:bidi="ar-SA"/>
        </w:rPr>
        <w:t>；项目废水处理服务站址已存在未批先建情况，厂房及储液池土建工程已施工，站内未进行废水处理工艺运行。2条2#服务站站外输液管道已建设完成。</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3.1.</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2工程组成</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本项目建设主要为服务站站址及站外输液管道，</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项目主要工程内容见表3.1-1</w:t>
      </w:r>
      <w:r>
        <w:rPr>
          <w:rFonts w:hint="eastAsia" w:cs="Times New Roman"/>
          <w:caps w:val="0"/>
          <w:smallCaps w:val="0"/>
          <w:snapToGrid/>
          <w:color w:val="auto"/>
          <w:spacing w:val="0"/>
          <w:w w:val="100"/>
          <w:kern w:val="0"/>
          <w:sz w:val="24"/>
          <w:szCs w:val="24"/>
          <w:highlight w:val="none"/>
          <w:lang w:val="en-US" w:eastAsia="zh-CN" w:bidi="ar-SA"/>
        </w:rPr>
        <w:t>。</w:t>
      </w:r>
    </w:p>
    <w:p>
      <w:pPr>
        <w:pStyle w:val="2"/>
        <w:ind w:left="0" w:leftChars="0" w:firstLine="0" w:firstLineChars="0"/>
        <w:jc w:val="center"/>
        <w:rPr>
          <w:rFonts w:hint="default"/>
          <w:b/>
          <w:bCs/>
          <w:color w:val="auto"/>
          <w:sz w:val="21"/>
          <w:szCs w:val="21"/>
          <w:highlight w:val="none"/>
          <w:lang w:val="en-US" w:eastAsia="zh-CN"/>
        </w:rPr>
      </w:pPr>
      <w:r>
        <w:rPr>
          <w:rFonts w:hint="eastAsia"/>
          <w:b/>
          <w:bCs/>
          <w:color w:val="auto"/>
          <w:sz w:val="21"/>
          <w:szCs w:val="21"/>
          <w:highlight w:val="none"/>
          <w:lang w:val="en-US" w:eastAsia="zh-CN"/>
        </w:rPr>
        <w:t>表3.1-1项目组成一览表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77"/>
        <w:gridCol w:w="788"/>
        <w:gridCol w:w="788"/>
        <w:gridCol w:w="4897"/>
        <w:gridCol w:w="11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7" w:hRule="atLeast"/>
        </w:trPr>
        <w:tc>
          <w:tcPr>
            <w:tcW w:w="877"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工程类别</w:t>
            </w:r>
          </w:p>
        </w:tc>
        <w:tc>
          <w:tcPr>
            <w:tcW w:w="1576" w:type="dxa"/>
            <w:gridSpan w:val="2"/>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工程名称</w:t>
            </w:r>
          </w:p>
        </w:tc>
        <w:tc>
          <w:tcPr>
            <w:tcW w:w="4897"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规模及建设内容</w:t>
            </w:r>
          </w:p>
        </w:tc>
        <w:tc>
          <w:tcPr>
            <w:tcW w:w="1166"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75" w:hRule="atLeast"/>
        </w:trPr>
        <w:tc>
          <w:tcPr>
            <w:tcW w:w="877" w:type="dxa"/>
            <w:vMerge w:val="restart"/>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主体工程</w:t>
            </w:r>
          </w:p>
        </w:tc>
        <w:tc>
          <w:tcPr>
            <w:tcW w:w="788" w:type="dxa"/>
            <w:vMerge w:val="restart"/>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3#服务站</w:t>
            </w:r>
          </w:p>
        </w:tc>
        <w:tc>
          <w:tcPr>
            <w:tcW w:w="788" w:type="dxa"/>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卸</w:t>
            </w:r>
            <w:r>
              <w:rPr>
                <w:rFonts w:hint="eastAsia" w:cs="Times New Roman"/>
                <w:color w:val="auto"/>
                <w:highlight w:val="none"/>
                <w:lang w:val="en-US" w:eastAsia="zh-CN"/>
              </w:rPr>
              <w:t>车</w:t>
            </w:r>
            <w:r>
              <w:rPr>
                <w:rFonts w:hint="eastAsia" w:ascii="Times New Roman" w:hAnsi="Times New Roman" w:eastAsia="宋体" w:cs="Times New Roman"/>
                <w:color w:val="auto"/>
                <w:highlight w:val="none"/>
                <w:lang w:val="en-US" w:eastAsia="zh-CN"/>
              </w:rPr>
              <w:t>平台</w:t>
            </w:r>
          </w:p>
        </w:tc>
        <w:tc>
          <w:tcPr>
            <w:tcW w:w="4897" w:type="dxa"/>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占地面积158m</w:t>
            </w:r>
            <w:r>
              <w:rPr>
                <w:rFonts w:hint="eastAsia" w:ascii="Times New Roman" w:hAnsi="Times New Roman" w:eastAsia="宋体" w:cs="Times New Roman"/>
                <w:color w:val="auto"/>
                <w:highlight w:val="none"/>
                <w:vertAlign w:val="superscript"/>
                <w:lang w:val="en-US" w:eastAsia="zh-CN"/>
              </w:rPr>
              <w:t>2</w:t>
            </w:r>
            <w:r>
              <w:rPr>
                <w:rFonts w:hint="eastAsia" w:ascii="Times New Roman" w:hAnsi="Times New Roman" w:eastAsia="宋体" w:cs="Times New Roman"/>
                <w:color w:val="auto"/>
                <w:highlight w:val="none"/>
                <w:lang w:val="en-US" w:eastAsia="zh-CN"/>
              </w:rPr>
              <w:t>，封闭式单层构建物，建筑高度3.15m，由卸料槽及均质池组成，其中卸料槽为地上设施，均质池为地下设施。卸料槽子与均质池通过地下管道连接；卸料槽用于过滤掉待处理的</w:t>
            </w:r>
            <w:r>
              <w:rPr>
                <w:rFonts w:hint="eastAsia" w:cs="Times New Roman"/>
                <w:color w:val="auto"/>
                <w:highlight w:val="none"/>
                <w:lang w:val="en-US" w:eastAsia="zh-CN"/>
              </w:rPr>
              <w:t>废水</w:t>
            </w:r>
            <w:r>
              <w:rPr>
                <w:rFonts w:hint="eastAsia" w:ascii="Times New Roman" w:hAnsi="Times New Roman" w:eastAsia="宋体" w:cs="Times New Roman"/>
                <w:color w:val="auto"/>
                <w:highlight w:val="none"/>
                <w:lang w:val="en-US" w:eastAsia="zh-CN"/>
              </w:rPr>
              <w:t>中的胶状固体物质。卸料槽规格为（12×8.5×0.8）m，均质池规格为（12×7.5×1.5）m</w:t>
            </w:r>
            <w:r>
              <w:rPr>
                <w:rFonts w:hint="eastAsia" w:cs="Times New Roman"/>
                <w:color w:val="auto"/>
                <w:highlight w:val="none"/>
                <w:lang w:val="en-US" w:eastAsia="zh-CN"/>
              </w:rPr>
              <w:t>，均质池顶部加盖密封</w:t>
            </w:r>
          </w:p>
        </w:tc>
        <w:tc>
          <w:tcPr>
            <w:tcW w:w="1166"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p>
        </w:tc>
        <w:tc>
          <w:tcPr>
            <w:tcW w:w="788" w:type="dxa"/>
            <w:vMerge w:val="continue"/>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p>
        </w:tc>
        <w:tc>
          <w:tcPr>
            <w:tcW w:w="788" w:type="dxa"/>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预处理车间</w:t>
            </w:r>
          </w:p>
        </w:tc>
        <w:tc>
          <w:tcPr>
            <w:tcW w:w="4897" w:type="dxa"/>
            <w:tcBorders>
              <w:tl2br w:val="nil"/>
              <w:tr2bl w:val="nil"/>
            </w:tcBorders>
            <w:vAlign w:val="center"/>
          </w:tcPr>
          <w:p>
            <w:pPr>
              <w:widowControl w:val="0"/>
              <w:kinsoku/>
              <w:autoSpaceDE/>
              <w:autoSpaceDN/>
              <w:adjustRightInd/>
              <w:snapToGrid/>
              <w:spacing w:line="360" w:lineRule="exact"/>
              <w:jc w:val="both"/>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位于卸车平台东侧，砖混结构，单层构建物，建筑高度5.0m，占地面积1271m</w:t>
            </w:r>
            <w:r>
              <w:rPr>
                <w:rFonts w:hint="eastAsia" w:ascii="Times New Roman" w:hAnsi="Times New Roman" w:eastAsia="宋体" w:cs="Times New Roman"/>
                <w:color w:val="auto"/>
                <w:highlight w:val="none"/>
                <w:vertAlign w:val="superscript"/>
                <w:lang w:val="en-US" w:eastAsia="zh-CN"/>
              </w:rPr>
              <w:t>2</w:t>
            </w:r>
            <w:r>
              <w:rPr>
                <w:rFonts w:hint="eastAsia" w:ascii="Times New Roman" w:hAnsi="Times New Roman" w:eastAsia="宋体" w:cs="Times New Roman"/>
                <w:color w:val="auto"/>
                <w:highlight w:val="none"/>
                <w:lang w:val="en-US" w:eastAsia="zh-CN"/>
              </w:rPr>
              <w:t>，由进水池、隔油沉沙池、混凝池、絮凝池、沉淀池、涡凹反应池、涡凹气浮刮渣池、压泥机组成。</w:t>
            </w:r>
          </w:p>
          <w:p>
            <w:pPr>
              <w:widowControl w:val="0"/>
              <w:kinsoku/>
              <w:autoSpaceDE/>
              <w:autoSpaceDN/>
              <w:adjustRightInd/>
              <w:snapToGrid/>
              <w:spacing w:line="360" w:lineRule="exact"/>
              <w:jc w:val="both"/>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待处理的废水依次经进水池→隔油沉沙池→混凝池1#→絮凝池1#→沉淀池→混凝池2#→絮凝池2#→涡凹反应池→涡凹气浮刮渣池→外排水池</w:t>
            </w:r>
            <w:r>
              <w:rPr>
                <w:rFonts w:hint="eastAsia" w:cs="Times New Roman"/>
                <w:color w:val="auto"/>
                <w:highlight w:val="none"/>
                <w:lang w:val="en-US" w:eastAsia="zh-CN"/>
              </w:rPr>
              <w:t>，处理达标水</w:t>
            </w:r>
            <w:r>
              <w:rPr>
                <w:rFonts w:hint="eastAsia" w:ascii="Times New Roman" w:hAnsi="Times New Roman" w:eastAsia="宋体" w:cs="Times New Roman"/>
                <w:color w:val="auto"/>
                <w:highlight w:val="none"/>
                <w:lang w:val="en-US" w:eastAsia="zh-CN"/>
              </w:rPr>
              <w:t>通过管道进入站内设置的储液池区域，暂存，尽快回用。</w:t>
            </w:r>
          </w:p>
        </w:tc>
        <w:tc>
          <w:tcPr>
            <w:tcW w:w="1166"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p>
        </w:tc>
        <w:tc>
          <w:tcPr>
            <w:tcW w:w="788" w:type="dxa"/>
            <w:vMerge w:val="restart"/>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输送管道</w:t>
            </w:r>
          </w:p>
        </w:tc>
        <w:tc>
          <w:tcPr>
            <w:tcW w:w="788" w:type="dxa"/>
            <w:vMerge w:val="restart"/>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highlight w:val="none"/>
                <w:lang w:val="en-US" w:eastAsia="zh-CN"/>
              </w:rPr>
              <w:t>管道</w:t>
            </w:r>
            <w:r>
              <w:rPr>
                <w:rFonts w:hint="eastAsia" w:cs="Times New Roman"/>
                <w:color w:val="auto"/>
                <w:highlight w:val="none"/>
                <w:lang w:val="en-US" w:eastAsia="zh-CN"/>
              </w:rPr>
              <w:t>工程</w:t>
            </w:r>
          </w:p>
        </w:tc>
        <w:tc>
          <w:tcPr>
            <w:tcW w:w="4897" w:type="dxa"/>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w:t>
            </w:r>
            <w:r>
              <w:rPr>
                <w:rFonts w:hint="eastAsia" w:ascii="Times New Roman" w:hAnsi="Times New Roman" w:eastAsia="宋体" w:cs="Times New Roman"/>
                <w:color w:val="auto"/>
                <w:highlight w:val="none"/>
                <w:lang w:val="en-US" w:eastAsia="zh-CN"/>
              </w:rPr>
              <w:t>站外建设3条输液管道，并列铺设，连接本次新建的3#服务站及已建的2#服务站。</w:t>
            </w:r>
            <w:r>
              <w:rPr>
                <w:rFonts w:hint="eastAsia" w:cs="Times New Roman"/>
                <w:color w:val="auto"/>
                <w:highlight w:val="none"/>
                <w:lang w:val="en-US" w:eastAsia="zh-CN"/>
              </w:rPr>
              <w:t>单条管道长度29km。管道规格为DN500（内径315mm），材质：钢丝网骨架塑料（聚乙烯）复合管，穿越道路使用定制钢管。设计压力10.0MPa，输送流量300m</w:t>
            </w:r>
            <w:r>
              <w:rPr>
                <w:rFonts w:hint="eastAsia" w:cs="Times New Roman"/>
                <w:color w:val="auto"/>
                <w:highlight w:val="none"/>
                <w:vertAlign w:val="superscript"/>
                <w:lang w:val="en-US" w:eastAsia="zh-CN"/>
              </w:rPr>
              <w:t>3</w:t>
            </w:r>
            <w:r>
              <w:rPr>
                <w:rFonts w:hint="eastAsia" w:cs="Times New Roman"/>
                <w:color w:val="auto"/>
                <w:highlight w:val="none"/>
                <w:lang w:val="en-US" w:eastAsia="zh-CN"/>
              </w:rPr>
              <w:t>/h。</w:t>
            </w:r>
          </w:p>
        </w:tc>
        <w:tc>
          <w:tcPr>
            <w:tcW w:w="1166" w:type="dxa"/>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p>
        </w:tc>
        <w:tc>
          <w:tcPr>
            <w:tcW w:w="788" w:type="dxa"/>
            <w:vMerge w:val="continue"/>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highlight w:val="none"/>
                <w:lang w:val="en-US" w:eastAsia="zh-CN"/>
              </w:rPr>
            </w:pPr>
          </w:p>
        </w:tc>
        <w:tc>
          <w:tcPr>
            <w:tcW w:w="788" w:type="dxa"/>
            <w:vMerge w:val="continue"/>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highlight w:val="none"/>
                <w:lang w:val="en-US" w:eastAsia="zh-CN"/>
              </w:rPr>
            </w:pPr>
          </w:p>
        </w:tc>
        <w:tc>
          <w:tcPr>
            <w:tcW w:w="4897" w:type="dxa"/>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站外建设2条输液管道，并列铺设，与1#服务站已建的输液管道连接，</w:t>
            </w:r>
            <w:r>
              <w:rPr>
                <w:rFonts w:hint="eastAsia" w:cs="Times New Roman"/>
                <w:color w:val="auto"/>
                <w:highlight w:val="none"/>
                <w:lang w:val="en-US" w:eastAsia="zh-CN"/>
              </w:rPr>
              <w:t>条管道长度4km。管道规格为DN500（内径315mm），材质：钢丝网骨架塑料（聚乙烯）复合管。</w:t>
            </w:r>
          </w:p>
        </w:tc>
        <w:tc>
          <w:tcPr>
            <w:tcW w:w="1166"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p>
        </w:tc>
        <w:tc>
          <w:tcPr>
            <w:tcW w:w="788" w:type="dxa"/>
            <w:vMerge w:val="continue"/>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highlight w:val="none"/>
                <w:lang w:val="en-US" w:eastAsia="zh-CN"/>
              </w:rPr>
            </w:pPr>
          </w:p>
        </w:tc>
        <w:tc>
          <w:tcPr>
            <w:tcW w:w="788"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穿越</w:t>
            </w:r>
            <w:r>
              <w:rPr>
                <w:rFonts w:hint="eastAsia" w:cs="Times New Roman"/>
                <w:color w:val="auto"/>
                <w:highlight w:val="none"/>
                <w:lang w:val="en-US" w:eastAsia="zh-CN"/>
              </w:rPr>
              <w:t>工程</w:t>
            </w:r>
          </w:p>
        </w:tc>
        <w:tc>
          <w:tcPr>
            <w:tcW w:w="4897" w:type="dxa"/>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穿越</w:t>
            </w:r>
            <w:r>
              <w:rPr>
                <w:rFonts w:hint="eastAsia" w:cs="Times New Roman"/>
                <w:color w:val="auto"/>
                <w:highlight w:val="none"/>
                <w:lang w:val="en-US" w:eastAsia="zh-CN"/>
              </w:rPr>
              <w:t>232国道/2次，公路13次，林带2次，穿越坑塘2次，其中国道及公路采用顶管施工方式；穿越林带、坑塘水面及沟渠采取定向钻穿越施工方式。</w:t>
            </w:r>
          </w:p>
        </w:tc>
        <w:tc>
          <w:tcPr>
            <w:tcW w:w="1166" w:type="dxa"/>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p>
        </w:tc>
        <w:tc>
          <w:tcPr>
            <w:tcW w:w="788" w:type="dxa"/>
            <w:vMerge w:val="continue"/>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highlight w:val="none"/>
                <w:lang w:val="en-US" w:eastAsia="zh-CN"/>
              </w:rPr>
            </w:pPr>
          </w:p>
        </w:tc>
        <w:tc>
          <w:tcPr>
            <w:tcW w:w="788"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管道防腐</w:t>
            </w:r>
          </w:p>
        </w:tc>
        <w:tc>
          <w:tcPr>
            <w:tcW w:w="4897" w:type="dxa"/>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管道采用钢丝网骨架塑料（聚乙烯）复合管，管道防腐性能较好，无需进行额外的防腐工程</w:t>
            </w:r>
            <w:r>
              <w:rPr>
                <w:rFonts w:hint="eastAsia" w:cs="Times New Roman"/>
                <w:color w:val="auto"/>
                <w:highlight w:val="none"/>
                <w:lang w:val="en-US" w:eastAsia="zh-CN"/>
              </w:rPr>
              <w:t>。</w:t>
            </w:r>
          </w:p>
        </w:tc>
        <w:tc>
          <w:tcPr>
            <w:tcW w:w="1166" w:type="dxa"/>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77" w:type="dxa"/>
            <w:vMerge w:val="restart"/>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储运工程</w:t>
            </w:r>
          </w:p>
        </w:tc>
        <w:tc>
          <w:tcPr>
            <w:tcW w:w="788" w:type="dxa"/>
            <w:vMerge w:val="restart"/>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储液池区域</w:t>
            </w:r>
          </w:p>
        </w:tc>
        <w:tc>
          <w:tcPr>
            <w:tcW w:w="788" w:type="dxa"/>
            <w:tcBorders>
              <w:tl2br w:val="nil"/>
              <w:tr2bl w:val="nil"/>
            </w:tcBorders>
            <w:vAlign w:val="center"/>
          </w:tcPr>
          <w:p>
            <w:pPr>
              <w:widowControl w:val="0"/>
              <w:kinsoku/>
              <w:autoSpaceDE/>
              <w:autoSpaceDN/>
              <w:adjustRightInd/>
              <w:snapToGrid/>
              <w:spacing w:line="360" w:lineRule="exact"/>
              <w:jc w:val="center"/>
              <w:textAlignment w:val="auto"/>
              <w:rPr>
                <w:rFonts w:hint="eastAsia" w:cs="Times New Roman"/>
                <w:color w:val="auto"/>
                <w:highlight w:val="none"/>
                <w:lang w:val="en-US" w:eastAsia="zh-CN"/>
              </w:rPr>
            </w:pPr>
            <w:r>
              <w:rPr>
                <w:rFonts w:hint="eastAsia" w:cs="Times New Roman"/>
                <w:color w:val="auto"/>
                <w:highlight w:val="none"/>
                <w:lang w:val="en-US" w:eastAsia="zh-CN"/>
              </w:rPr>
              <w:t>储液池1#</w:t>
            </w:r>
          </w:p>
        </w:tc>
        <w:tc>
          <w:tcPr>
            <w:tcW w:w="4897" w:type="dxa"/>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位于站址南侧，占地面积2.93hm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，为不规则T形储池，平均挖深4m，容积90168m</w:t>
            </w:r>
            <w:r>
              <w:rPr>
                <w:rFonts w:hint="eastAsia" w:cs="Times New Roman"/>
                <w:color w:val="auto"/>
                <w:highlight w:val="none"/>
                <w:vertAlign w:val="superscript"/>
                <w:lang w:val="en-US" w:eastAsia="zh-CN"/>
              </w:rPr>
              <w:t>3</w:t>
            </w:r>
            <w:r>
              <w:rPr>
                <w:rFonts w:hint="eastAsia" w:cs="Times New Roman"/>
                <w:color w:val="auto"/>
                <w:highlight w:val="none"/>
                <w:lang w:val="en-US" w:eastAsia="zh-CN"/>
              </w:rPr>
              <w:t>，储存处理达标待回用的水</w:t>
            </w:r>
          </w:p>
        </w:tc>
        <w:tc>
          <w:tcPr>
            <w:tcW w:w="1166"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p>
        </w:tc>
        <w:tc>
          <w:tcPr>
            <w:tcW w:w="788" w:type="dxa"/>
            <w:vMerge w:val="continue"/>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p>
        </w:tc>
        <w:tc>
          <w:tcPr>
            <w:tcW w:w="788" w:type="dxa"/>
            <w:tcBorders>
              <w:tl2br w:val="nil"/>
              <w:tr2bl w:val="nil"/>
            </w:tcBorders>
            <w:vAlign w:val="center"/>
          </w:tcPr>
          <w:p>
            <w:pPr>
              <w:widowControl w:val="0"/>
              <w:kinsoku/>
              <w:autoSpaceDE/>
              <w:autoSpaceDN/>
              <w:adjustRightInd/>
              <w:snapToGrid/>
              <w:spacing w:line="360" w:lineRule="exact"/>
              <w:jc w:val="center"/>
              <w:textAlignment w:val="auto"/>
              <w:rPr>
                <w:rFonts w:hint="eastAsia" w:cs="Times New Roman"/>
                <w:color w:val="auto"/>
                <w:highlight w:val="none"/>
                <w:lang w:val="en-US" w:eastAsia="zh-CN"/>
              </w:rPr>
            </w:pPr>
            <w:r>
              <w:rPr>
                <w:rFonts w:hint="eastAsia" w:cs="Times New Roman"/>
                <w:color w:val="auto"/>
                <w:highlight w:val="none"/>
                <w:lang w:val="en-US" w:eastAsia="zh-CN"/>
              </w:rPr>
              <w:t>储液池2#</w:t>
            </w:r>
          </w:p>
        </w:tc>
        <w:tc>
          <w:tcPr>
            <w:tcW w:w="4897" w:type="dxa"/>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位于站址南侧，与储液池1#相邻，占地面积1.74hm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，为矩形储池，平均挖深4m，容积50418m</w:t>
            </w:r>
            <w:r>
              <w:rPr>
                <w:rFonts w:hint="eastAsia" w:cs="Times New Roman"/>
                <w:color w:val="auto"/>
                <w:highlight w:val="none"/>
                <w:vertAlign w:val="superscript"/>
                <w:lang w:val="en-US" w:eastAsia="zh-CN"/>
              </w:rPr>
              <w:t>3</w:t>
            </w:r>
            <w:r>
              <w:rPr>
                <w:rFonts w:hint="eastAsia" w:cs="Times New Roman"/>
                <w:color w:val="auto"/>
                <w:highlight w:val="none"/>
                <w:lang w:val="en-US" w:eastAsia="zh-CN"/>
              </w:rPr>
              <w:t>，储存处理达标待回用的水</w:t>
            </w:r>
          </w:p>
        </w:tc>
        <w:tc>
          <w:tcPr>
            <w:tcW w:w="1166"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p>
        </w:tc>
        <w:tc>
          <w:tcPr>
            <w:tcW w:w="1576" w:type="dxa"/>
            <w:gridSpan w:val="2"/>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污油储罐区</w:t>
            </w:r>
          </w:p>
        </w:tc>
        <w:tc>
          <w:tcPr>
            <w:tcW w:w="4897" w:type="dxa"/>
            <w:tcBorders>
              <w:tl2br w:val="nil"/>
              <w:tr2bl w:val="nil"/>
            </w:tcBorders>
            <w:vAlign w:val="center"/>
          </w:tcPr>
          <w:p>
            <w:pPr>
              <w:widowControl w:val="0"/>
              <w:kinsoku/>
              <w:autoSpaceDE/>
              <w:autoSpaceDN/>
              <w:adjustRightInd/>
              <w:snapToGrid/>
              <w:spacing w:line="360" w:lineRule="exact"/>
              <w:jc w:val="both"/>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位于危废</w:t>
            </w:r>
            <w:r>
              <w:rPr>
                <w:rFonts w:hint="eastAsia"/>
                <w:color w:val="auto"/>
                <w:highlight w:val="none"/>
                <w:vertAlign w:val="baseline"/>
                <w:lang w:val="en-US" w:eastAsia="zh-CN"/>
              </w:rPr>
              <w:t>暂存间西侧，占地面积190m</w:t>
            </w:r>
            <w:r>
              <w:rPr>
                <w:rFonts w:hint="eastAsia"/>
                <w:color w:val="auto"/>
                <w:highlight w:val="none"/>
                <w:vertAlign w:val="superscript"/>
                <w:lang w:val="en-US" w:eastAsia="zh-CN"/>
              </w:rPr>
              <w:t>2</w:t>
            </w:r>
            <w:r>
              <w:rPr>
                <w:rFonts w:hint="eastAsia"/>
                <w:color w:val="auto"/>
                <w:highlight w:val="none"/>
                <w:vertAlign w:val="baseline"/>
                <w:lang w:val="en-US" w:eastAsia="zh-CN"/>
              </w:rPr>
              <w:t>，设置储罐1座，为常压储罐，规格Φ8.8×8m，容积200m</w:t>
            </w:r>
            <w:r>
              <w:rPr>
                <w:rFonts w:hint="eastAsia"/>
                <w:color w:val="auto"/>
                <w:highlight w:val="none"/>
                <w:vertAlign w:val="superscript"/>
                <w:lang w:val="en-US" w:eastAsia="zh-CN"/>
              </w:rPr>
              <w:t>3</w:t>
            </w:r>
            <w:r>
              <w:rPr>
                <w:rFonts w:hint="eastAsia"/>
                <w:color w:val="auto"/>
                <w:highlight w:val="none"/>
                <w:vertAlign w:val="baseline"/>
                <w:lang w:val="en-US" w:eastAsia="zh-CN"/>
              </w:rPr>
              <w:t>，充装系数为0.85；罐区设置围堰、防火堤及雨水切换阀等装置，围堰高度1.5m，</w:t>
            </w:r>
            <w:r>
              <w:rPr>
                <w:rFonts w:hint="eastAsia"/>
                <w:color w:val="auto"/>
                <w:highlight w:val="none"/>
                <w:lang w:val="en-US" w:eastAsia="zh-CN"/>
              </w:rPr>
              <w:t>区域进行重点防渗。</w:t>
            </w:r>
          </w:p>
        </w:tc>
        <w:tc>
          <w:tcPr>
            <w:tcW w:w="1166" w:type="dxa"/>
            <w:tcBorders>
              <w:tl2br w:val="nil"/>
              <w:tr2bl w:val="nil"/>
            </w:tcBorders>
            <w:vAlign w:val="center"/>
          </w:tcPr>
          <w:p>
            <w:pPr>
              <w:widowControl w:val="0"/>
              <w:kinsoku/>
              <w:autoSpaceDE/>
              <w:autoSpaceDN/>
              <w:adjustRightInd/>
              <w:snapToGrid/>
              <w:spacing w:line="360" w:lineRule="exact"/>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09" w:hRule="atLeast"/>
        </w:trPr>
        <w:tc>
          <w:tcPr>
            <w:tcW w:w="877" w:type="dxa"/>
            <w:vMerge w:val="continue"/>
            <w:tcBorders>
              <w:tl2br w:val="nil"/>
              <w:tr2bl w:val="nil"/>
            </w:tcBorders>
            <w:vAlign w:val="center"/>
          </w:tcPr>
          <w:p>
            <w:pPr>
              <w:jc w:val="center"/>
              <w:rPr>
                <w:rFonts w:hint="default"/>
                <w:color w:val="auto"/>
                <w:highlight w:val="none"/>
                <w:vertAlign w:val="baseline"/>
                <w:lang w:val="en-US" w:eastAsia="zh-CN"/>
              </w:rPr>
            </w:pPr>
          </w:p>
        </w:tc>
        <w:tc>
          <w:tcPr>
            <w:tcW w:w="1576" w:type="dxa"/>
            <w:gridSpan w:val="2"/>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危废暂存间</w:t>
            </w:r>
          </w:p>
        </w:tc>
        <w:tc>
          <w:tcPr>
            <w:tcW w:w="4897" w:type="dxa"/>
            <w:tcBorders>
              <w:tl2br w:val="nil"/>
              <w:tr2bl w:val="nil"/>
            </w:tcBorders>
            <w:vAlign w:val="center"/>
          </w:tcPr>
          <w:p>
            <w:pPr>
              <w:jc w:val="both"/>
              <w:rPr>
                <w:rFonts w:hint="eastAsia" w:cs="Times New Roman"/>
                <w:color w:val="auto"/>
                <w:highlight w:val="none"/>
                <w:vertAlign w:val="baseline"/>
                <w:lang w:val="en-US" w:eastAsia="zh-CN"/>
              </w:rPr>
            </w:pPr>
            <w:r>
              <w:rPr>
                <w:rFonts w:hint="eastAsia" w:cs="Times New Roman"/>
                <w:color w:val="auto"/>
                <w:highlight w:val="none"/>
                <w:lang w:val="en-US" w:eastAsia="zh-CN"/>
              </w:rPr>
              <w:t>位于预处理车间南侧，封闭砖混构建物，单层结构，占地面积200m</w:t>
            </w:r>
            <w:r>
              <w:rPr>
                <w:rFonts w:hint="eastAsia" w:cs="Times New Roman"/>
                <w:color w:val="auto"/>
                <w:highlight w:val="none"/>
                <w:vertAlign w:val="superscript"/>
                <w:lang w:val="en-US" w:eastAsia="zh-CN"/>
              </w:rPr>
              <w:t>2</w:t>
            </w:r>
            <w:r>
              <w:rPr>
                <w:rFonts w:hint="eastAsia" w:cs="Times New Roman"/>
                <w:color w:val="auto"/>
                <w:highlight w:val="none"/>
                <w:vertAlign w:val="baseline"/>
                <w:lang w:val="en-US" w:eastAsia="zh-CN"/>
              </w:rPr>
              <w:t>。按照危险废物的种类和特性进行分区贮存，每个贮存区域之间宜设置间隔，</w:t>
            </w:r>
          </w:p>
          <w:p>
            <w:pPr>
              <w:jc w:val="both"/>
              <w:rPr>
                <w:rFonts w:hint="default"/>
                <w:color w:val="auto"/>
                <w:highlight w:val="none"/>
                <w:lang w:val="en-US" w:eastAsia="zh-CN"/>
              </w:rPr>
            </w:pPr>
            <w:r>
              <w:rPr>
                <w:rFonts w:hint="eastAsia" w:cs="Times New Roman"/>
                <w:color w:val="auto"/>
                <w:highlight w:val="none"/>
                <w:vertAlign w:val="baseline"/>
                <w:lang w:val="en-US" w:eastAsia="zh-CN"/>
              </w:rPr>
              <w:t>设置</w:t>
            </w:r>
            <w:r>
              <w:rPr>
                <w:rFonts w:hint="eastAsia" w:cs="Times New Roman"/>
                <w:color w:val="auto"/>
                <w:highlight w:val="none"/>
                <w:lang w:val="en-US" w:eastAsia="zh-CN"/>
              </w:rPr>
              <w:t>裙脚、堵截泄漏的围堰，配备通讯设备、照明设施和消防设施，并设置观察窗口，同时设置</w:t>
            </w:r>
            <w:r>
              <w:rPr>
                <w:rFonts w:hint="eastAsia" w:cs="Times New Roman"/>
                <w:color w:val="auto"/>
                <w:highlight w:val="none"/>
                <w:vertAlign w:val="baseline"/>
                <w:lang w:val="en-US" w:eastAsia="zh-CN"/>
              </w:rPr>
              <w:t>防雷、防扬尘装置，</w:t>
            </w:r>
            <w:r>
              <w:rPr>
                <w:rFonts w:hint="eastAsia"/>
                <w:color w:val="auto"/>
                <w:highlight w:val="none"/>
                <w:lang w:val="en-US" w:eastAsia="zh-CN"/>
              </w:rPr>
              <w:t>区域进行重点防渗。</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default"/>
                <w:color w:val="auto"/>
                <w:highlight w:val="none"/>
                <w:vertAlign w:val="baseline"/>
                <w:lang w:val="en-US" w:eastAsia="zh-CN"/>
              </w:rPr>
            </w:pPr>
          </w:p>
        </w:tc>
        <w:tc>
          <w:tcPr>
            <w:tcW w:w="1576" w:type="dxa"/>
            <w:gridSpan w:val="2"/>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库房</w:t>
            </w:r>
          </w:p>
        </w:tc>
        <w:tc>
          <w:tcPr>
            <w:tcW w:w="4897" w:type="dxa"/>
            <w:tcBorders>
              <w:tl2br w:val="nil"/>
              <w:tr2bl w:val="nil"/>
            </w:tcBorders>
            <w:vAlign w:val="center"/>
          </w:tcPr>
          <w:p>
            <w:pPr>
              <w:jc w:val="both"/>
              <w:rPr>
                <w:rFonts w:hint="default"/>
                <w:color w:val="auto"/>
                <w:highlight w:val="none"/>
                <w:vertAlign w:val="baseline"/>
                <w:lang w:val="en-US" w:eastAsia="zh-CN"/>
              </w:rPr>
            </w:pPr>
            <w:r>
              <w:rPr>
                <w:rFonts w:hint="eastAsia"/>
                <w:color w:val="auto"/>
                <w:highlight w:val="none"/>
                <w:vertAlign w:val="baseline"/>
                <w:lang w:val="en-US" w:eastAsia="zh-CN"/>
              </w:rPr>
              <w:t>位于泵房东侧，为戊类库房，</w:t>
            </w:r>
            <w:r>
              <w:rPr>
                <w:rFonts w:hint="eastAsia" w:cs="Times New Roman"/>
                <w:color w:val="auto"/>
                <w:highlight w:val="none"/>
                <w:lang w:val="en-US" w:eastAsia="zh-CN"/>
              </w:rPr>
              <w:t>封闭砖混构建物，单层结构，占地面积233m</w:t>
            </w:r>
            <w:r>
              <w:rPr>
                <w:rFonts w:hint="eastAsia" w:cs="Times New Roman"/>
                <w:color w:val="auto"/>
                <w:highlight w:val="none"/>
                <w:vertAlign w:val="superscript"/>
                <w:lang w:val="en-US" w:eastAsia="zh-CN"/>
              </w:rPr>
              <w:t>2</w:t>
            </w:r>
            <w:r>
              <w:rPr>
                <w:rFonts w:hint="eastAsia" w:cs="Times New Roman"/>
                <w:color w:val="auto"/>
                <w:highlight w:val="none"/>
                <w:vertAlign w:val="baseline"/>
                <w:lang w:val="en-US" w:eastAsia="zh-CN"/>
              </w:rPr>
              <w:t>，用于存放废水处理使用的药剂。</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restart"/>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辅助工程</w:t>
            </w:r>
          </w:p>
        </w:tc>
        <w:tc>
          <w:tcPr>
            <w:tcW w:w="1576" w:type="dxa"/>
            <w:gridSpan w:val="2"/>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长输</w:t>
            </w:r>
            <w:r>
              <w:rPr>
                <w:rFonts w:hint="default"/>
                <w:color w:val="auto"/>
                <w:highlight w:val="none"/>
                <w:vertAlign w:val="baseline"/>
                <w:lang w:val="en-US" w:eastAsia="zh-CN"/>
              </w:rPr>
              <w:t>泵房</w:t>
            </w:r>
          </w:p>
        </w:tc>
        <w:tc>
          <w:tcPr>
            <w:tcW w:w="4897" w:type="dxa"/>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占地面积531m</w:t>
            </w:r>
            <w:r>
              <w:rPr>
                <w:rFonts w:hint="eastAsia"/>
                <w:color w:val="auto"/>
                <w:highlight w:val="none"/>
                <w:vertAlign w:val="superscript"/>
                <w:lang w:val="en-US" w:eastAsia="zh-CN"/>
              </w:rPr>
              <w:t>2</w:t>
            </w:r>
            <w:r>
              <w:rPr>
                <w:rFonts w:hint="eastAsia"/>
                <w:color w:val="auto"/>
                <w:highlight w:val="none"/>
                <w:vertAlign w:val="baseline"/>
                <w:lang w:val="en-US" w:eastAsia="zh-CN"/>
              </w:rPr>
              <w:t>，内置管道输送泵</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1576" w:type="dxa"/>
            <w:gridSpan w:val="2"/>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消防水储罐区</w:t>
            </w:r>
          </w:p>
        </w:tc>
        <w:tc>
          <w:tcPr>
            <w:tcW w:w="4897" w:type="dxa"/>
            <w:tcBorders>
              <w:tl2br w:val="nil"/>
              <w:tr2bl w:val="nil"/>
            </w:tcBorders>
            <w:vAlign w:val="center"/>
          </w:tcPr>
          <w:p>
            <w:pPr>
              <w:jc w:val="both"/>
              <w:rPr>
                <w:rFonts w:hint="default"/>
                <w:color w:val="auto"/>
                <w:highlight w:val="none"/>
                <w:vertAlign w:val="baseline"/>
                <w:lang w:val="en-US" w:eastAsia="zh-CN"/>
              </w:rPr>
            </w:pPr>
            <w:r>
              <w:rPr>
                <w:rFonts w:hint="eastAsia"/>
                <w:color w:val="auto"/>
                <w:highlight w:val="none"/>
                <w:vertAlign w:val="baseline"/>
                <w:lang w:val="en-US" w:eastAsia="zh-CN"/>
              </w:rPr>
              <w:t>位于</w:t>
            </w:r>
            <w:r>
              <w:rPr>
                <w:rFonts w:hint="default"/>
                <w:color w:val="auto"/>
                <w:highlight w:val="none"/>
                <w:vertAlign w:val="baseline"/>
                <w:lang w:val="en-US" w:eastAsia="zh-CN"/>
              </w:rPr>
              <w:t>泵房</w:t>
            </w:r>
            <w:r>
              <w:rPr>
                <w:rFonts w:hint="eastAsia"/>
                <w:color w:val="auto"/>
                <w:highlight w:val="none"/>
                <w:vertAlign w:val="baseline"/>
                <w:lang w:val="en-US" w:eastAsia="zh-CN"/>
              </w:rPr>
              <w:t>西侧占地面积100m</w:t>
            </w:r>
            <w:r>
              <w:rPr>
                <w:rFonts w:hint="eastAsia"/>
                <w:color w:val="auto"/>
                <w:highlight w:val="none"/>
                <w:vertAlign w:val="superscript"/>
                <w:lang w:val="en-US" w:eastAsia="zh-CN"/>
              </w:rPr>
              <w:t>2</w:t>
            </w:r>
            <w:r>
              <w:rPr>
                <w:rFonts w:hint="eastAsia"/>
                <w:color w:val="auto"/>
                <w:highlight w:val="none"/>
                <w:vertAlign w:val="baseline"/>
                <w:lang w:val="en-US" w:eastAsia="zh-CN"/>
              </w:rPr>
              <w:t>，内置消防水储罐1座，规格Φ9.0×8m，容积220m</w:t>
            </w:r>
            <w:r>
              <w:rPr>
                <w:rFonts w:hint="eastAsia"/>
                <w:color w:val="auto"/>
                <w:highlight w:val="none"/>
                <w:vertAlign w:val="superscript"/>
                <w:lang w:val="en-US" w:eastAsia="zh-CN"/>
              </w:rPr>
              <w:t>3</w:t>
            </w:r>
            <w:r>
              <w:rPr>
                <w:rFonts w:hint="eastAsia"/>
                <w:color w:val="auto"/>
                <w:highlight w:val="none"/>
                <w:vertAlign w:val="baseline"/>
                <w:lang w:val="en-US" w:eastAsia="zh-CN"/>
              </w:rPr>
              <w:t>，</w:t>
            </w:r>
            <w:r>
              <w:rPr>
                <w:rFonts w:hint="eastAsia"/>
                <w:color w:val="auto"/>
                <w:highlight w:val="none"/>
                <w:lang w:val="en-US" w:eastAsia="zh-CN"/>
              </w:rPr>
              <w:t>区域进行一般防渗</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1576" w:type="dxa"/>
            <w:gridSpan w:val="2"/>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配电间</w:t>
            </w:r>
          </w:p>
        </w:tc>
        <w:tc>
          <w:tcPr>
            <w:tcW w:w="4897" w:type="dxa"/>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位于</w:t>
            </w:r>
            <w:r>
              <w:rPr>
                <w:rFonts w:hint="eastAsia" w:cs="Times New Roman"/>
                <w:color w:val="auto"/>
                <w:highlight w:val="none"/>
                <w:lang w:val="en-US" w:eastAsia="zh-CN"/>
              </w:rPr>
              <w:t>预处理车间东侧，占地面积28m</w:t>
            </w:r>
            <w:r>
              <w:rPr>
                <w:rFonts w:hint="eastAsia" w:cs="Times New Roman"/>
                <w:color w:val="auto"/>
                <w:highlight w:val="none"/>
                <w:vertAlign w:val="superscript"/>
                <w:lang w:val="en-US" w:eastAsia="zh-CN"/>
              </w:rPr>
              <w:t>2</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1576" w:type="dxa"/>
            <w:gridSpan w:val="2"/>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值班室</w:t>
            </w:r>
          </w:p>
        </w:tc>
        <w:tc>
          <w:tcPr>
            <w:tcW w:w="4897" w:type="dxa"/>
            <w:tcBorders>
              <w:tl2br w:val="nil"/>
              <w:tr2bl w:val="nil"/>
            </w:tcBorders>
            <w:vAlign w:val="center"/>
          </w:tcPr>
          <w:p>
            <w:pPr>
              <w:jc w:val="both"/>
              <w:rPr>
                <w:rFonts w:hint="default"/>
                <w:color w:val="auto"/>
                <w:highlight w:val="none"/>
                <w:vertAlign w:val="baseline"/>
                <w:lang w:val="en-US" w:eastAsia="zh-CN"/>
              </w:rPr>
            </w:pPr>
            <w:r>
              <w:rPr>
                <w:rFonts w:hint="eastAsia"/>
                <w:color w:val="auto"/>
                <w:highlight w:val="none"/>
                <w:vertAlign w:val="baseline"/>
                <w:lang w:val="en-US" w:eastAsia="zh-CN"/>
              </w:rPr>
              <w:t>位于</w:t>
            </w:r>
            <w:r>
              <w:rPr>
                <w:rFonts w:hint="eastAsia" w:ascii="Times New Roman" w:hAnsi="Times New Roman" w:eastAsia="宋体" w:cs="Times New Roman"/>
                <w:color w:val="auto"/>
                <w:highlight w:val="none"/>
                <w:lang w:val="en-US" w:eastAsia="zh-CN"/>
              </w:rPr>
              <w:t>卸</w:t>
            </w:r>
            <w:r>
              <w:rPr>
                <w:rFonts w:hint="eastAsia" w:cs="Times New Roman"/>
                <w:color w:val="auto"/>
                <w:highlight w:val="none"/>
                <w:lang w:val="en-US" w:eastAsia="zh-CN"/>
              </w:rPr>
              <w:t>车</w:t>
            </w:r>
            <w:r>
              <w:rPr>
                <w:rFonts w:hint="eastAsia" w:ascii="Times New Roman" w:hAnsi="Times New Roman" w:eastAsia="宋体" w:cs="Times New Roman"/>
                <w:color w:val="auto"/>
                <w:highlight w:val="none"/>
                <w:lang w:val="en-US" w:eastAsia="zh-CN"/>
              </w:rPr>
              <w:t>平台</w:t>
            </w:r>
            <w:r>
              <w:rPr>
                <w:rFonts w:hint="eastAsia" w:cs="Times New Roman"/>
                <w:color w:val="auto"/>
                <w:highlight w:val="none"/>
                <w:lang w:val="en-US" w:eastAsia="zh-CN"/>
              </w:rPr>
              <w:t>南侧，单层构建物，占地面积52m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，内置锅炉房一间，设置1台30kw电锅炉，为站内办公区域冬季供暖</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1576" w:type="dxa"/>
            <w:gridSpan w:val="2"/>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办公用房</w:t>
            </w:r>
          </w:p>
        </w:tc>
        <w:tc>
          <w:tcPr>
            <w:tcW w:w="4897" w:type="dxa"/>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位于站址内西北角，单层构建物，占地面积893m</w:t>
            </w:r>
            <w:r>
              <w:rPr>
                <w:rFonts w:hint="eastAsia"/>
                <w:color w:val="auto"/>
                <w:highlight w:val="none"/>
                <w:vertAlign w:val="superscript"/>
                <w:lang w:val="en-US" w:eastAsia="zh-CN"/>
              </w:rPr>
              <w:t>2</w:t>
            </w:r>
            <w:r>
              <w:rPr>
                <w:rFonts w:hint="eastAsia"/>
                <w:color w:val="auto"/>
                <w:highlight w:val="none"/>
                <w:vertAlign w:val="baseline"/>
                <w:lang w:val="en-US" w:eastAsia="zh-CN"/>
              </w:rPr>
              <w:t>，设置办公区、员工宿舍及食堂，食堂设置2台炉灶。</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restart"/>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公用工程</w:t>
            </w:r>
          </w:p>
        </w:tc>
        <w:tc>
          <w:tcPr>
            <w:tcW w:w="1576" w:type="dxa"/>
            <w:gridSpan w:val="2"/>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供水</w:t>
            </w:r>
            <w:r>
              <w:rPr>
                <w:rFonts w:hint="eastAsia" w:ascii="Times New Roman" w:hAnsi="Times New Roman" w:eastAsia="宋体" w:cs="Times New Roman"/>
                <w:color w:val="auto"/>
                <w:kern w:val="0"/>
                <w:sz w:val="21"/>
                <w:szCs w:val="21"/>
                <w:highlight w:val="none"/>
                <w:lang w:val="en-US" w:eastAsia="zh-CN" w:bidi="ar-SA"/>
              </w:rPr>
              <w:t>工程</w:t>
            </w:r>
          </w:p>
        </w:tc>
        <w:tc>
          <w:tcPr>
            <w:tcW w:w="4897" w:type="dxa"/>
            <w:tcBorders>
              <w:tl2br w:val="nil"/>
              <w:tr2bl w:val="nil"/>
            </w:tcBorders>
            <w:vAlign w:val="center"/>
          </w:tcPr>
          <w:p>
            <w:pPr>
              <w:jc w:val="both"/>
              <w:rPr>
                <w:rFonts w:hint="default"/>
                <w:color w:val="auto"/>
                <w:highlight w:val="none"/>
                <w:vertAlign w:val="baseline"/>
                <w:lang w:val="en-US" w:eastAsia="zh-CN"/>
              </w:rPr>
            </w:pPr>
            <w:r>
              <w:rPr>
                <w:rFonts w:hint="eastAsia"/>
                <w:color w:val="auto"/>
                <w:highlight w:val="none"/>
                <w:vertAlign w:val="baseline"/>
                <w:lang w:val="en-US" w:eastAsia="zh-CN"/>
              </w:rPr>
              <w:t>生活用水外购桶装水；站内自打深水井12口，用于页岩油3#试验区压裂前期或服务站处理达标的尾水水量不能满足压裂需求时使用，单井涌水量为60-80m</w:t>
            </w:r>
            <w:r>
              <w:rPr>
                <w:rFonts w:hint="eastAsia"/>
                <w:color w:val="auto"/>
                <w:highlight w:val="none"/>
                <w:vertAlign w:val="superscript"/>
                <w:lang w:val="en-US" w:eastAsia="zh-CN"/>
              </w:rPr>
              <w:t>3</w:t>
            </w:r>
            <w:r>
              <w:rPr>
                <w:rFonts w:hint="eastAsia"/>
                <w:color w:val="auto"/>
                <w:highlight w:val="none"/>
                <w:vertAlign w:val="baseline"/>
                <w:lang w:val="en-US" w:eastAsia="zh-CN"/>
              </w:rPr>
              <w:t>/h，取水层为取水层位为第四系林甸组和泰康组浅层含水层，年取水量为50万m</w:t>
            </w:r>
            <w:r>
              <w:rPr>
                <w:rFonts w:hint="eastAsia"/>
                <w:color w:val="auto"/>
                <w:highlight w:val="none"/>
                <w:vertAlign w:val="superscript"/>
                <w:lang w:val="en-US" w:eastAsia="zh-CN"/>
              </w:rPr>
              <w:t>3</w:t>
            </w:r>
            <w:r>
              <w:rPr>
                <w:rFonts w:hint="eastAsia"/>
                <w:color w:val="auto"/>
                <w:highlight w:val="none"/>
                <w:vertAlign w:val="baseline"/>
                <w:lang w:val="en-US" w:eastAsia="zh-CN"/>
              </w:rPr>
              <w:t>。</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1576" w:type="dxa"/>
            <w:gridSpan w:val="2"/>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消防工程</w:t>
            </w:r>
          </w:p>
        </w:tc>
        <w:tc>
          <w:tcPr>
            <w:tcW w:w="4897" w:type="dxa"/>
            <w:tcBorders>
              <w:tl2br w:val="nil"/>
              <w:tr2bl w:val="nil"/>
            </w:tcBorders>
            <w:vAlign w:val="center"/>
          </w:tcPr>
          <w:p>
            <w:pPr>
              <w:jc w:val="both"/>
              <w:rPr>
                <w:rFonts w:hint="default"/>
                <w:color w:val="auto"/>
                <w:highlight w:val="none"/>
                <w:vertAlign w:val="baseline"/>
                <w:lang w:val="en-US" w:eastAsia="zh-CN"/>
              </w:rPr>
            </w:pPr>
            <w:r>
              <w:rPr>
                <w:rFonts w:hint="eastAsia"/>
                <w:color w:val="auto"/>
                <w:highlight w:val="none"/>
                <w:vertAlign w:val="baseline"/>
                <w:lang w:val="en-US" w:eastAsia="zh-CN"/>
              </w:rPr>
              <w:t>站内设置消防水储罐1座，规格Φ9.0×8m，容积220m</w:t>
            </w:r>
            <w:r>
              <w:rPr>
                <w:rFonts w:hint="eastAsia"/>
                <w:color w:val="auto"/>
                <w:highlight w:val="none"/>
                <w:vertAlign w:val="superscript"/>
                <w:lang w:val="en-US" w:eastAsia="zh-CN"/>
              </w:rPr>
              <w:t>3</w:t>
            </w:r>
            <w:r>
              <w:rPr>
                <w:rFonts w:hint="eastAsia"/>
                <w:color w:val="auto"/>
                <w:highlight w:val="none"/>
                <w:vertAlign w:val="baseline"/>
                <w:lang w:val="en-US" w:eastAsia="zh-CN"/>
              </w:rPr>
              <w:t>/座；站内设置事故池1座，容积不小于1300m</w:t>
            </w:r>
            <w:r>
              <w:rPr>
                <w:rFonts w:hint="eastAsia"/>
                <w:color w:val="auto"/>
                <w:highlight w:val="none"/>
                <w:vertAlign w:val="superscript"/>
                <w:lang w:val="en-US" w:eastAsia="zh-CN"/>
              </w:rPr>
              <w:t>3</w:t>
            </w:r>
            <w:r>
              <w:rPr>
                <w:rFonts w:hint="eastAsia"/>
                <w:color w:val="auto"/>
                <w:highlight w:val="none"/>
                <w:vertAlign w:val="baseline"/>
                <w:lang w:val="en-US" w:eastAsia="zh-CN"/>
              </w:rPr>
              <w:t>，事故废水存储在事故池内，交由有资质单位处置。</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1576" w:type="dxa"/>
            <w:gridSpan w:val="2"/>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供电</w:t>
            </w:r>
            <w:r>
              <w:rPr>
                <w:rFonts w:hint="eastAsia" w:ascii="Times New Roman" w:hAnsi="Times New Roman" w:eastAsia="宋体" w:cs="Times New Roman"/>
                <w:color w:val="auto"/>
                <w:kern w:val="0"/>
                <w:sz w:val="21"/>
                <w:szCs w:val="21"/>
                <w:highlight w:val="none"/>
                <w:lang w:val="en-US" w:eastAsia="zh-CN" w:bidi="ar-SA"/>
              </w:rPr>
              <w:t>工程</w:t>
            </w:r>
          </w:p>
        </w:tc>
        <w:tc>
          <w:tcPr>
            <w:tcW w:w="4897" w:type="dxa"/>
            <w:tcBorders>
              <w:tl2br w:val="nil"/>
              <w:tr2bl w:val="nil"/>
            </w:tcBorders>
            <w:vAlign w:val="center"/>
          </w:tcPr>
          <w:p>
            <w:pPr>
              <w:jc w:val="both"/>
              <w:rPr>
                <w:rFonts w:hint="default"/>
                <w:color w:val="auto"/>
                <w:highlight w:val="none"/>
                <w:vertAlign w:val="baseline"/>
                <w:lang w:val="en-US" w:eastAsia="zh-CN"/>
              </w:rPr>
            </w:pPr>
            <w:r>
              <w:rPr>
                <w:rFonts w:hint="default"/>
                <w:color w:val="auto"/>
                <w:highlight w:val="none"/>
                <w:vertAlign w:val="baseline"/>
                <w:lang w:val="en-US" w:eastAsia="zh-CN"/>
              </w:rPr>
              <w:t>电源取自附近</w:t>
            </w:r>
            <w:r>
              <w:rPr>
                <w:rFonts w:hint="eastAsia"/>
                <w:color w:val="auto"/>
                <w:highlight w:val="none"/>
                <w:vertAlign w:val="baseline"/>
                <w:lang w:val="en-US" w:eastAsia="zh-CN"/>
              </w:rPr>
              <w:t>村屯电网，站内配置315kVA箱式变压器3台</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1576" w:type="dxa"/>
            <w:gridSpan w:val="2"/>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供暖</w:t>
            </w:r>
            <w:r>
              <w:rPr>
                <w:rFonts w:hint="eastAsia" w:ascii="Times New Roman" w:hAnsi="Times New Roman" w:eastAsia="宋体" w:cs="Times New Roman"/>
                <w:color w:val="auto"/>
                <w:kern w:val="0"/>
                <w:sz w:val="21"/>
                <w:szCs w:val="21"/>
                <w:highlight w:val="none"/>
                <w:lang w:val="en-US" w:eastAsia="zh-CN" w:bidi="ar-SA"/>
              </w:rPr>
              <w:t>工程</w:t>
            </w:r>
          </w:p>
        </w:tc>
        <w:tc>
          <w:tcPr>
            <w:tcW w:w="4897" w:type="dxa"/>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站内生活办公区采取电取暖方式</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1576" w:type="dxa"/>
            <w:gridSpan w:val="2"/>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排水</w:t>
            </w:r>
            <w:r>
              <w:rPr>
                <w:rFonts w:hint="eastAsia" w:ascii="Times New Roman" w:hAnsi="Times New Roman" w:eastAsia="宋体" w:cs="Times New Roman"/>
                <w:color w:val="auto"/>
                <w:kern w:val="0"/>
                <w:sz w:val="21"/>
                <w:szCs w:val="21"/>
                <w:highlight w:val="none"/>
                <w:lang w:val="en-US" w:eastAsia="zh-CN" w:bidi="ar-SA"/>
              </w:rPr>
              <w:t>工程</w:t>
            </w:r>
          </w:p>
        </w:tc>
        <w:tc>
          <w:tcPr>
            <w:tcW w:w="4897" w:type="dxa"/>
            <w:tcBorders>
              <w:tl2br w:val="nil"/>
              <w:tr2bl w:val="nil"/>
            </w:tcBorders>
            <w:vAlign w:val="center"/>
          </w:tcPr>
          <w:p>
            <w:pPr>
              <w:numPr>
                <w:ilvl w:val="0"/>
                <w:numId w:val="0"/>
              </w:numPr>
              <w:jc w:val="both"/>
              <w:rPr>
                <w:rFonts w:hint="default"/>
                <w:color w:val="auto"/>
                <w:highlight w:val="none"/>
                <w:vertAlign w:val="baseline"/>
                <w:lang w:val="en-US" w:eastAsia="zh-CN"/>
              </w:rPr>
            </w:pPr>
            <w:r>
              <w:rPr>
                <w:rFonts w:hint="eastAsia"/>
                <w:color w:val="auto"/>
                <w:highlight w:val="none"/>
                <w:vertAlign w:val="baseline"/>
                <w:lang w:val="en-US" w:eastAsia="zh-CN"/>
              </w:rPr>
              <w:t>1.站内运维人员生活污水排入化粪池内，定期清掏，外运堆肥。2.污油储罐区设施雨水切换装置，储罐区及站内初期雨水排入站内初期雨水收集池内，进入站内废水处理系统，经处置达标后，回用于试验区压裂作业使用。3.事故废水排入事故池内，交由有资质单位处置，不外排。4.污泥离心浓缩污水进入站内废水处理系统，经处置达标后，回用于试验区压裂作业使用。4.站内处理达标废水暂存于储池池区域，回用于页岩油试验区压裂作业复配。</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restart"/>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环保工程</w:t>
            </w:r>
          </w:p>
        </w:tc>
        <w:tc>
          <w:tcPr>
            <w:tcW w:w="788" w:type="dxa"/>
            <w:vMerge w:val="restart"/>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废气</w:t>
            </w:r>
          </w:p>
        </w:tc>
        <w:tc>
          <w:tcPr>
            <w:tcW w:w="788" w:type="dxa"/>
            <w:tcBorders>
              <w:tl2br w:val="nil"/>
              <w:tr2bl w:val="nil"/>
            </w:tcBorders>
            <w:vAlign w:val="center"/>
          </w:tcPr>
          <w:p>
            <w:pPr>
              <w:jc w:val="center"/>
              <w:rPr>
                <w:rFonts w:hint="eastAsia"/>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施工期</w:t>
            </w:r>
          </w:p>
        </w:tc>
        <w:tc>
          <w:tcPr>
            <w:tcW w:w="4897" w:type="dxa"/>
            <w:tcBorders>
              <w:tl2br w:val="nil"/>
              <w:tr2bl w:val="nil"/>
            </w:tcBorders>
            <w:vAlign w:val="center"/>
          </w:tcPr>
          <w:p>
            <w:pPr>
              <w:jc w:val="both"/>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施工时，施工场地定期扫水抑尘；在村屯附近施工时，设置围挡，运输车辆在途径村屯敏感点时，降低车速，减少扬尘产生。</w:t>
            </w:r>
          </w:p>
          <w:p>
            <w:pPr>
              <w:jc w:val="both"/>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施工现场位于空旷地带，焊接烟气、</w:t>
            </w:r>
            <w:r>
              <w:rPr>
                <w:rFonts w:hint="eastAsia" w:cs="Times New Roman"/>
                <w:color w:val="auto"/>
                <w:highlight w:val="none"/>
                <w:vertAlign w:val="baseline"/>
                <w:lang w:val="en-US" w:eastAsia="zh-CN"/>
              </w:rPr>
              <w:t>车辆尾气</w:t>
            </w:r>
            <w:r>
              <w:rPr>
                <w:rFonts w:hint="default" w:ascii="Times New Roman" w:hAnsi="Times New Roman" w:eastAsia="宋体" w:cs="Times New Roman"/>
                <w:color w:val="auto"/>
                <w:highlight w:val="none"/>
                <w:vertAlign w:val="baseline"/>
                <w:lang w:val="en-US" w:eastAsia="zh-CN"/>
              </w:rPr>
              <w:t>，扩散至环境中稀释。施工期废气影响随施工结束而消失。</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restart"/>
            <w:tcBorders>
              <w:tl2br w:val="nil"/>
              <w:tr2bl w:val="nil"/>
            </w:tcBorders>
            <w:vAlign w:val="center"/>
          </w:tcPr>
          <w:p>
            <w:pPr>
              <w:jc w:val="center"/>
              <w:rPr>
                <w:rFonts w:hint="eastAsia"/>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运行期</w:t>
            </w:r>
          </w:p>
        </w:tc>
        <w:tc>
          <w:tcPr>
            <w:tcW w:w="4897" w:type="dxa"/>
            <w:tcBorders>
              <w:tl2br w:val="nil"/>
              <w:tr2bl w:val="nil"/>
            </w:tcBorders>
            <w:vAlign w:val="center"/>
          </w:tcPr>
          <w:p>
            <w:pPr>
              <w:jc w:val="both"/>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运行期：产生的废气主要为废水</w:t>
            </w:r>
            <w:r>
              <w:rPr>
                <w:rFonts w:hint="eastAsia" w:cs="Times New Roman"/>
                <w:color w:val="auto"/>
                <w:highlight w:val="none"/>
                <w:vertAlign w:val="baseline"/>
                <w:lang w:val="en-US" w:eastAsia="zh-CN"/>
              </w:rPr>
              <w:t>及</w:t>
            </w:r>
            <w:r>
              <w:rPr>
                <w:rFonts w:hint="eastAsia" w:ascii="Times New Roman" w:hAnsi="Times New Roman" w:cs="Times New Roman"/>
                <w:color w:val="auto"/>
                <w:kern w:val="0"/>
                <w:sz w:val="21"/>
                <w:szCs w:val="21"/>
                <w:highlight w:val="none"/>
                <w:lang w:val="en-US" w:eastAsia="zh-CN"/>
              </w:rPr>
              <w:t>污泥</w:t>
            </w:r>
            <w:r>
              <w:rPr>
                <w:rFonts w:hint="eastAsia" w:ascii="Times New Roman" w:hAnsi="Times New Roman" w:eastAsia="宋体" w:cs="Times New Roman"/>
                <w:color w:val="auto"/>
                <w:highlight w:val="none"/>
                <w:vertAlign w:val="baseline"/>
                <w:lang w:val="en-US" w:eastAsia="zh-CN"/>
              </w:rPr>
              <w:t>处置过程中产生的恶臭气体</w:t>
            </w:r>
            <w:r>
              <w:rPr>
                <w:rFonts w:hint="eastAsia" w:cs="Times New Roman"/>
                <w:color w:val="auto"/>
                <w:highlight w:val="none"/>
                <w:vertAlign w:val="baseline"/>
                <w:lang w:val="en-US" w:eastAsia="zh-CN"/>
              </w:rPr>
              <w:t>，站内运行产生的</w:t>
            </w:r>
            <w:r>
              <w:rPr>
                <w:rFonts w:hint="eastAsia" w:ascii="Times New Roman" w:hAnsi="Times New Roman" w:eastAsia="宋体" w:cs="Times New Roman"/>
                <w:color w:val="auto"/>
                <w:highlight w:val="none"/>
                <w:vertAlign w:val="baseline"/>
                <w:lang w:val="en-US" w:eastAsia="zh-CN"/>
              </w:rPr>
              <w:t>挥发性气体</w:t>
            </w:r>
            <w:r>
              <w:rPr>
                <w:rFonts w:hint="eastAsia" w:cs="Times New Roman"/>
                <w:color w:val="auto"/>
                <w:highlight w:val="none"/>
                <w:vertAlign w:val="baseline"/>
                <w:lang w:val="en-US" w:eastAsia="zh-CN"/>
              </w:rPr>
              <w:t>，</w:t>
            </w:r>
            <w:r>
              <w:rPr>
                <w:rFonts w:hint="eastAsia" w:ascii="Times New Roman" w:hAnsi="Times New Roman" w:eastAsia="宋体" w:cs="Times New Roman"/>
                <w:color w:val="auto"/>
                <w:highlight w:val="none"/>
                <w:vertAlign w:val="baseline"/>
                <w:lang w:val="en-US" w:eastAsia="zh-CN"/>
              </w:rPr>
              <w:t>食堂运行产生的饮食业油烟。</w:t>
            </w:r>
          </w:p>
        </w:tc>
        <w:tc>
          <w:tcPr>
            <w:tcW w:w="1166" w:type="dxa"/>
            <w:vMerge w:val="restart"/>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p>
        </w:tc>
        <w:tc>
          <w:tcPr>
            <w:tcW w:w="4897" w:type="dxa"/>
            <w:tcBorders>
              <w:tl2br w:val="nil"/>
              <w:tr2bl w:val="nil"/>
            </w:tcBorders>
            <w:vAlign w:val="center"/>
          </w:tcPr>
          <w:p>
            <w:pPr>
              <w:jc w:val="both"/>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恶臭气体采用</w:t>
            </w:r>
            <w:r>
              <w:rPr>
                <w:rFonts w:hint="eastAsia" w:cs="Times New Roman"/>
                <w:color w:val="auto"/>
                <w:highlight w:val="none"/>
                <w:vertAlign w:val="baseline"/>
                <w:lang w:val="en-US" w:eastAsia="zh-CN"/>
              </w:rPr>
              <w:t>密闭负压</w:t>
            </w:r>
            <w:r>
              <w:rPr>
                <w:rFonts w:hint="default" w:ascii="Times New Roman" w:hAnsi="Times New Roman" w:eastAsia="宋体" w:cs="Times New Roman"/>
                <w:color w:val="auto"/>
                <w:highlight w:val="none"/>
                <w:vertAlign w:val="baseline"/>
                <w:lang w:val="en-US" w:eastAsia="zh-CN"/>
              </w:rPr>
              <w:t>封闭收集，经离子除臭设施处理后，通过15m高排气筒排放。</w:t>
            </w:r>
          </w:p>
        </w:tc>
        <w:tc>
          <w:tcPr>
            <w:tcW w:w="1166" w:type="dxa"/>
            <w:vMerge w:val="continue"/>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p>
        </w:tc>
        <w:tc>
          <w:tcPr>
            <w:tcW w:w="4897" w:type="dxa"/>
            <w:tcBorders>
              <w:tl2br w:val="nil"/>
              <w:tr2bl w:val="nil"/>
            </w:tcBorders>
            <w:vAlign w:val="center"/>
          </w:tcPr>
          <w:p>
            <w:pPr>
              <w:jc w:val="both"/>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建设食堂为小型规模，安装油烟净化器，处理效率不低于60%，处理后的油烟通过专用烟道高于屋顶排放。</w:t>
            </w:r>
          </w:p>
        </w:tc>
        <w:tc>
          <w:tcPr>
            <w:tcW w:w="1166" w:type="dxa"/>
            <w:vMerge w:val="continue"/>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p>
        </w:tc>
        <w:tc>
          <w:tcPr>
            <w:tcW w:w="4897" w:type="dxa"/>
            <w:tcBorders>
              <w:tl2br w:val="nil"/>
              <w:tr2bl w:val="nil"/>
            </w:tcBorders>
            <w:vAlign w:val="center"/>
          </w:tcPr>
          <w:p>
            <w:pPr>
              <w:jc w:val="both"/>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储液池区采取“曝气+密闭收集工艺”，增加池内水体中氧含量，减少恶臭气体的产生。同时为减少站内尾水存放时间，处理达标后的尾水应立即回用，不可过长时间贮存。</w:t>
            </w:r>
          </w:p>
        </w:tc>
        <w:tc>
          <w:tcPr>
            <w:tcW w:w="1166" w:type="dxa"/>
            <w:vMerge w:val="continue"/>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restart"/>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废水</w:t>
            </w:r>
          </w:p>
        </w:tc>
        <w:tc>
          <w:tcPr>
            <w:tcW w:w="788" w:type="dxa"/>
            <w:tcBorders>
              <w:tl2br w:val="nil"/>
              <w:tr2bl w:val="nil"/>
            </w:tcBorders>
            <w:vAlign w:val="center"/>
          </w:tcPr>
          <w:p>
            <w:pPr>
              <w:jc w:val="center"/>
              <w:rPr>
                <w:rFonts w:hint="eastAsia"/>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施工期</w:t>
            </w:r>
          </w:p>
        </w:tc>
        <w:tc>
          <w:tcPr>
            <w:tcW w:w="4897" w:type="dxa"/>
            <w:tcBorders>
              <w:tl2br w:val="nil"/>
              <w:tr2bl w:val="nil"/>
            </w:tcBorders>
            <w:vAlign w:val="center"/>
          </w:tcPr>
          <w:p>
            <w:pPr>
              <w:jc w:val="both"/>
              <w:rPr>
                <w:rFonts w:hint="eastAsia"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产生的废水为施工人员生活污水</w:t>
            </w:r>
            <w:r>
              <w:rPr>
                <w:rFonts w:hint="eastAsia" w:cs="Times New Roman"/>
                <w:color w:val="auto"/>
                <w:highlight w:val="none"/>
                <w:vertAlign w:val="baseline"/>
                <w:lang w:val="en-US" w:eastAsia="zh-CN"/>
              </w:rPr>
              <w:t>及施工废水；</w:t>
            </w:r>
          </w:p>
          <w:p>
            <w:pPr>
              <w:jc w:val="both"/>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施工废水为搅拌砂浆、润湿建筑材料、清洗施工设备的少量生产废水，经施工场地内临时沉淀池沉淀后，用于厂区施工洒水抑尘。</w:t>
            </w:r>
          </w:p>
          <w:p>
            <w:pPr>
              <w:jc w:val="both"/>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3#服务站站址施工区域生活污水排入站内化粪池，施工结束后，可随站内运维人员生活污水一起拉运处置；管道施工区域距附近村屯较近，不设置施工营地，租用附近的村民民房进行生活，生活污水排入租用民房防渗化粪池内，定期清掏。</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restart"/>
            <w:tcBorders>
              <w:tl2br w:val="nil"/>
              <w:tr2bl w:val="nil"/>
            </w:tcBorders>
            <w:vAlign w:val="center"/>
          </w:tcPr>
          <w:p>
            <w:pPr>
              <w:jc w:val="center"/>
              <w:rPr>
                <w:rFonts w:hint="eastAsia"/>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运行期</w:t>
            </w:r>
          </w:p>
        </w:tc>
        <w:tc>
          <w:tcPr>
            <w:tcW w:w="4897" w:type="dxa"/>
            <w:tcBorders>
              <w:tl2br w:val="nil"/>
              <w:tr2bl w:val="nil"/>
            </w:tcBorders>
            <w:vAlign w:val="center"/>
          </w:tcPr>
          <w:p>
            <w:pPr>
              <w:jc w:val="both"/>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产生的废水为运维人员产生的生活污水、站内处理达标的水初期雨水、</w:t>
            </w:r>
            <w:r>
              <w:rPr>
                <w:rFonts w:hint="eastAsia"/>
                <w:color w:val="auto"/>
                <w:highlight w:val="none"/>
                <w:vertAlign w:val="baseline"/>
                <w:lang w:val="en-US" w:eastAsia="zh-CN"/>
              </w:rPr>
              <w:t>污泥</w:t>
            </w:r>
            <w:r>
              <w:rPr>
                <w:rFonts w:hint="eastAsia" w:ascii="Times New Roman" w:hAnsi="Times New Roman" w:eastAsia="宋体" w:cs="Times New Roman"/>
                <w:color w:val="auto"/>
                <w:highlight w:val="none"/>
                <w:vertAlign w:val="baseline"/>
                <w:lang w:val="en-US" w:eastAsia="zh-CN"/>
              </w:rPr>
              <w:t>离心浓缩废水、事故废水。</w:t>
            </w:r>
          </w:p>
        </w:tc>
        <w:tc>
          <w:tcPr>
            <w:tcW w:w="1166" w:type="dxa"/>
            <w:vMerge w:val="restart"/>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p>
        </w:tc>
        <w:tc>
          <w:tcPr>
            <w:tcW w:w="4897" w:type="dxa"/>
            <w:tcBorders>
              <w:tl2br w:val="nil"/>
              <w:tr2bl w:val="nil"/>
            </w:tcBorders>
            <w:vAlign w:val="center"/>
          </w:tcPr>
          <w:p>
            <w:pPr>
              <w:jc w:val="both"/>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站内人员生活污水排入化粪池内，定期清掏，拉运至新站镇生活污水处理厂处理。</w:t>
            </w:r>
          </w:p>
        </w:tc>
        <w:tc>
          <w:tcPr>
            <w:tcW w:w="1166" w:type="dxa"/>
            <w:vMerge w:val="continue"/>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p>
        </w:tc>
        <w:tc>
          <w:tcPr>
            <w:tcW w:w="4897" w:type="dxa"/>
            <w:tcBorders>
              <w:tl2br w:val="nil"/>
              <w:tr2bl w:val="nil"/>
            </w:tcBorders>
            <w:vAlign w:val="center"/>
          </w:tcPr>
          <w:p>
            <w:pPr>
              <w:jc w:val="both"/>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初期雨水经收集，排入站内初期雨水收集池内，进入站内废水处理系统，经处置达标后，回用于页岩油试验区压裂作业复配。</w:t>
            </w:r>
          </w:p>
        </w:tc>
        <w:tc>
          <w:tcPr>
            <w:tcW w:w="1166" w:type="dxa"/>
            <w:vMerge w:val="continue"/>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p>
        </w:tc>
        <w:tc>
          <w:tcPr>
            <w:tcW w:w="4897" w:type="dxa"/>
            <w:tcBorders>
              <w:tl2br w:val="nil"/>
              <w:tr2bl w:val="nil"/>
            </w:tcBorders>
            <w:vAlign w:val="center"/>
          </w:tcPr>
          <w:p>
            <w:pPr>
              <w:jc w:val="both"/>
              <w:rPr>
                <w:rFonts w:hint="eastAsia" w:ascii="Times New Roman" w:hAnsi="Times New Roman" w:eastAsia="宋体" w:cs="Times New Roman"/>
                <w:color w:val="auto"/>
                <w:highlight w:val="none"/>
                <w:vertAlign w:val="baseline"/>
                <w:lang w:val="en-US" w:eastAsia="zh-CN"/>
              </w:rPr>
            </w:pPr>
            <w:r>
              <w:rPr>
                <w:rFonts w:hint="eastAsia"/>
                <w:color w:val="auto"/>
                <w:highlight w:val="none"/>
                <w:vertAlign w:val="baseline"/>
                <w:lang w:val="en-US" w:eastAsia="zh-CN"/>
              </w:rPr>
              <w:t>污泥</w:t>
            </w:r>
            <w:r>
              <w:rPr>
                <w:rFonts w:hint="eastAsia" w:ascii="Times New Roman" w:hAnsi="Times New Roman" w:eastAsia="宋体" w:cs="Times New Roman"/>
                <w:color w:val="auto"/>
                <w:highlight w:val="none"/>
                <w:vertAlign w:val="baseline"/>
                <w:lang w:val="en-US" w:eastAsia="zh-CN"/>
              </w:rPr>
              <w:t>离心浓缩废水进入站内废水处理系统，经处置达标后，回用于页岩油试验区压裂作业复配。</w:t>
            </w:r>
          </w:p>
        </w:tc>
        <w:tc>
          <w:tcPr>
            <w:tcW w:w="1166" w:type="dxa"/>
            <w:vMerge w:val="continue"/>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p>
        </w:tc>
        <w:tc>
          <w:tcPr>
            <w:tcW w:w="4897" w:type="dxa"/>
            <w:tcBorders>
              <w:tl2br w:val="nil"/>
              <w:tr2bl w:val="nil"/>
            </w:tcBorders>
            <w:vAlign w:val="center"/>
          </w:tcPr>
          <w:p>
            <w:pPr>
              <w:jc w:val="both"/>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事故废水排入站内事故池内，交由有资质单位拉运处置。</w:t>
            </w:r>
          </w:p>
        </w:tc>
        <w:tc>
          <w:tcPr>
            <w:tcW w:w="1166" w:type="dxa"/>
            <w:vMerge w:val="continue"/>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p>
        </w:tc>
        <w:tc>
          <w:tcPr>
            <w:tcW w:w="4897" w:type="dxa"/>
            <w:tcBorders>
              <w:tl2br w:val="nil"/>
              <w:tr2bl w:val="nil"/>
            </w:tcBorders>
            <w:vAlign w:val="center"/>
          </w:tcPr>
          <w:p>
            <w:pPr>
              <w:jc w:val="both"/>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站内废水处理系统处理后，满足《大庆油田地面工程建设设计规定》（Q/SYDQ 0639-2015）“含油量≤20mg/L、悬浮固体含量≤20mg/L”，回用于页岩油试验区压裂作业复配。</w:t>
            </w:r>
          </w:p>
        </w:tc>
        <w:tc>
          <w:tcPr>
            <w:tcW w:w="1166" w:type="dxa"/>
            <w:vMerge w:val="continue"/>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restart"/>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噪声</w:t>
            </w:r>
          </w:p>
        </w:tc>
        <w:tc>
          <w:tcPr>
            <w:tcW w:w="788" w:type="dxa"/>
            <w:tcBorders>
              <w:tl2br w:val="nil"/>
              <w:tr2bl w:val="nil"/>
            </w:tcBorders>
            <w:vAlign w:val="center"/>
          </w:tcPr>
          <w:p>
            <w:pPr>
              <w:jc w:val="center"/>
              <w:rPr>
                <w:rFonts w:hint="eastAsia"/>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施工期</w:t>
            </w:r>
          </w:p>
        </w:tc>
        <w:tc>
          <w:tcPr>
            <w:tcW w:w="4897" w:type="dxa"/>
            <w:tcBorders>
              <w:tl2br w:val="nil"/>
              <w:tr2bl w:val="nil"/>
            </w:tcBorders>
            <w:vAlign w:val="center"/>
          </w:tcPr>
          <w:p>
            <w:pPr>
              <w:jc w:val="both"/>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选用低</w:t>
            </w:r>
            <w:r>
              <w:rPr>
                <w:rFonts w:hint="eastAsia" w:cs="Times New Roman"/>
                <w:color w:val="auto"/>
                <w:highlight w:val="none"/>
                <w:vertAlign w:val="baseline"/>
                <w:lang w:val="en-US" w:eastAsia="zh-CN"/>
              </w:rPr>
              <w:t>噪</w:t>
            </w:r>
            <w:r>
              <w:rPr>
                <w:rFonts w:hint="eastAsia" w:ascii="Times New Roman" w:hAnsi="Times New Roman" w:eastAsia="宋体" w:cs="Times New Roman"/>
                <w:color w:val="auto"/>
                <w:highlight w:val="none"/>
                <w:vertAlign w:val="baseline"/>
                <w:lang w:val="en-US" w:eastAsia="zh-CN"/>
              </w:rPr>
              <w:t>设备，合理进行施工布局，距离村屯较近的施工区域，采取人工和机械开挖的方式，禁止夜间施工，同时加声屏障，起到降噪作用。使用低躁设备，运输车辆在途径村屯敏感点时，降低车速，尽量减少鸣笛。</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tcBorders>
              <w:tl2br w:val="nil"/>
              <w:tr2bl w:val="nil"/>
            </w:tcBorders>
            <w:vAlign w:val="center"/>
          </w:tcPr>
          <w:p>
            <w:pPr>
              <w:jc w:val="center"/>
              <w:rPr>
                <w:rFonts w:hint="eastAsia"/>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运行期</w:t>
            </w:r>
          </w:p>
        </w:tc>
        <w:tc>
          <w:tcPr>
            <w:tcW w:w="4897" w:type="dxa"/>
            <w:tcBorders>
              <w:tl2br w:val="nil"/>
              <w:tr2bl w:val="nil"/>
            </w:tcBorders>
            <w:vAlign w:val="center"/>
          </w:tcPr>
          <w:p>
            <w:pPr>
              <w:jc w:val="both"/>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产噪设备主要为站内运行设备</w:t>
            </w:r>
            <w:r>
              <w:rPr>
                <w:rFonts w:hint="eastAsia" w:cs="Times New Roman"/>
                <w:color w:val="auto"/>
                <w:highlight w:val="none"/>
                <w:vertAlign w:val="baseline"/>
                <w:lang w:val="en-US" w:eastAsia="zh-CN"/>
              </w:rPr>
              <w:t>、风机</w:t>
            </w:r>
            <w:r>
              <w:rPr>
                <w:rFonts w:hint="eastAsia" w:ascii="Times New Roman" w:hAnsi="Times New Roman" w:eastAsia="宋体" w:cs="Times New Roman"/>
                <w:color w:val="auto"/>
                <w:highlight w:val="none"/>
                <w:vertAlign w:val="baseline"/>
                <w:lang w:val="en-US" w:eastAsia="zh-CN"/>
              </w:rPr>
              <w:t>及泵类。站内合理布局，安装减振垫，产噪设备均位于车间内，车间</w:t>
            </w:r>
            <w:r>
              <w:rPr>
                <w:rFonts w:hint="eastAsia" w:cs="Times New Roman"/>
                <w:color w:val="auto"/>
                <w:highlight w:val="none"/>
                <w:vertAlign w:val="baseline"/>
                <w:lang w:val="en-US" w:eastAsia="zh-CN"/>
              </w:rPr>
              <w:t>墙体</w:t>
            </w:r>
            <w:r>
              <w:rPr>
                <w:rFonts w:hint="eastAsia" w:ascii="Times New Roman" w:hAnsi="Times New Roman" w:eastAsia="宋体" w:cs="Times New Roman"/>
                <w:color w:val="auto"/>
                <w:highlight w:val="none"/>
                <w:vertAlign w:val="baseline"/>
                <w:lang w:val="en-US" w:eastAsia="zh-CN"/>
              </w:rPr>
              <w:t>起到降噪隔音措施。</w:t>
            </w:r>
          </w:p>
        </w:tc>
        <w:tc>
          <w:tcPr>
            <w:tcW w:w="1166" w:type="dxa"/>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restart"/>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固废</w:t>
            </w:r>
          </w:p>
        </w:tc>
        <w:tc>
          <w:tcPr>
            <w:tcW w:w="788" w:type="dxa"/>
            <w:vMerge w:val="restart"/>
            <w:tcBorders>
              <w:tl2br w:val="nil"/>
              <w:tr2bl w:val="nil"/>
            </w:tcBorders>
            <w:vAlign w:val="center"/>
          </w:tcPr>
          <w:p>
            <w:pPr>
              <w:jc w:val="center"/>
              <w:rPr>
                <w:rFonts w:hint="eastAsia"/>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施工期</w:t>
            </w:r>
          </w:p>
        </w:tc>
        <w:tc>
          <w:tcPr>
            <w:tcW w:w="4897" w:type="dxa"/>
            <w:tcBorders>
              <w:tl2br w:val="nil"/>
              <w:tr2bl w:val="nil"/>
            </w:tcBorders>
            <w:vAlign w:val="center"/>
          </w:tcPr>
          <w:p>
            <w:pPr>
              <w:jc w:val="both"/>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施工人员生活垃圾、建筑垃圾、清管废物、废弃泥浆。</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4897" w:type="dxa"/>
            <w:tcBorders>
              <w:tl2br w:val="nil"/>
              <w:tr2bl w:val="nil"/>
            </w:tcBorders>
            <w:vAlign w:val="center"/>
          </w:tcPr>
          <w:p>
            <w:pPr>
              <w:jc w:val="both"/>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生活垃圾集中收集，由环卫部门清运至肇源县生活垃圾处理场处理。</w:t>
            </w:r>
          </w:p>
        </w:tc>
        <w:tc>
          <w:tcPr>
            <w:tcW w:w="1166" w:type="dxa"/>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4897" w:type="dxa"/>
            <w:tcBorders>
              <w:tl2br w:val="nil"/>
              <w:tr2bl w:val="nil"/>
            </w:tcBorders>
            <w:vAlign w:val="center"/>
          </w:tcPr>
          <w:p>
            <w:pPr>
              <w:jc w:val="both"/>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建筑垃圾主要包括砂石、石块、碎砖瓦、废金属、废钢筋</w:t>
            </w:r>
            <w:r>
              <w:rPr>
                <w:rFonts w:hint="eastAsia" w:cs="Times New Roman"/>
                <w:color w:val="auto"/>
                <w:highlight w:val="none"/>
                <w:vertAlign w:val="baseline"/>
                <w:lang w:val="en-US" w:eastAsia="zh-CN"/>
              </w:rPr>
              <w:t>及废弃管材</w:t>
            </w:r>
            <w:r>
              <w:rPr>
                <w:rFonts w:hint="eastAsia" w:ascii="Times New Roman" w:hAnsi="Times New Roman" w:eastAsia="宋体" w:cs="Times New Roman"/>
                <w:color w:val="auto"/>
                <w:highlight w:val="none"/>
                <w:vertAlign w:val="baseline"/>
                <w:lang w:val="en-US" w:eastAsia="zh-CN"/>
              </w:rPr>
              <w:t>等。产生的废金属和废钢筋，可分类进行回收利用。对于不能回收的建筑垃圾，经集中收集后运送至大庆市红岗区建筑垃圾场。</w:t>
            </w:r>
          </w:p>
        </w:tc>
        <w:tc>
          <w:tcPr>
            <w:tcW w:w="1166" w:type="dxa"/>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4897" w:type="dxa"/>
            <w:tcBorders>
              <w:tl2br w:val="nil"/>
              <w:tr2bl w:val="nil"/>
            </w:tcBorders>
            <w:vAlign w:val="center"/>
          </w:tcPr>
          <w:p>
            <w:pPr>
              <w:jc w:val="both"/>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管道进行铺设前，会有清管废物产生。清管废物主要成分为</w:t>
            </w:r>
            <w:r>
              <w:rPr>
                <w:rFonts w:hint="eastAsia" w:cs="Times New Roman"/>
                <w:color w:val="auto"/>
                <w:highlight w:val="none"/>
                <w:vertAlign w:val="baseline"/>
                <w:lang w:val="en-US" w:eastAsia="zh-CN"/>
              </w:rPr>
              <w:t>少量的</w:t>
            </w:r>
            <w:r>
              <w:rPr>
                <w:rFonts w:hint="eastAsia" w:ascii="Times New Roman" w:hAnsi="Times New Roman" w:eastAsia="宋体" w:cs="Times New Roman"/>
                <w:color w:val="auto"/>
                <w:highlight w:val="none"/>
                <w:vertAlign w:val="baseline"/>
                <w:lang w:val="en-US" w:eastAsia="zh-CN"/>
              </w:rPr>
              <w:t>泥沙等，集中收集后</w:t>
            </w:r>
            <w:r>
              <w:rPr>
                <w:rFonts w:hint="eastAsia" w:cs="Times New Roman"/>
                <w:color w:val="auto"/>
                <w:highlight w:val="none"/>
                <w:vertAlign w:val="baseline"/>
                <w:lang w:val="en-US" w:eastAsia="zh-CN"/>
              </w:rPr>
              <w:t>，随建筑垃圾一起拉运处置。</w:t>
            </w:r>
          </w:p>
        </w:tc>
        <w:tc>
          <w:tcPr>
            <w:tcW w:w="1166" w:type="dxa"/>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4897" w:type="dxa"/>
            <w:tcBorders>
              <w:tl2br w:val="nil"/>
              <w:tr2bl w:val="nil"/>
            </w:tcBorders>
            <w:vAlign w:val="center"/>
          </w:tcPr>
          <w:p>
            <w:pPr>
              <w:jc w:val="both"/>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项目在穿越沟渠、坑塘及林地时，需要进行定向钻穿越施工方式，使用配制泥浆。主要成</w:t>
            </w:r>
            <w:r>
              <w:rPr>
                <w:rFonts w:hint="eastAsia" w:cs="Times New Roman"/>
                <w:color w:val="auto"/>
                <w:highlight w:val="none"/>
                <w:vertAlign w:val="baseline"/>
                <w:lang w:val="en-US" w:eastAsia="zh-CN"/>
              </w:rPr>
              <w:t>分</w:t>
            </w:r>
            <w:r>
              <w:rPr>
                <w:rFonts w:hint="eastAsia" w:ascii="Times New Roman" w:hAnsi="Times New Roman" w:eastAsia="宋体" w:cs="Times New Roman"/>
                <w:color w:val="auto"/>
                <w:highlight w:val="none"/>
                <w:vertAlign w:val="baseline"/>
                <w:lang w:val="en-US" w:eastAsia="zh-CN"/>
              </w:rPr>
              <w:t>为膨润土，含有少量Na</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vertAlign w:val="baseline"/>
                <w:lang w:val="en-US" w:eastAsia="zh-CN"/>
              </w:rPr>
              <w:t>CO</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vertAlign w:val="baseline"/>
                <w:lang w:val="en-US" w:eastAsia="zh-CN"/>
              </w:rPr>
              <w:t>。施工作业会产生废弃泥浆，</w:t>
            </w:r>
            <w:r>
              <w:rPr>
                <w:rFonts w:hint="eastAsia" w:cs="Times New Roman"/>
                <w:color w:val="auto"/>
                <w:highlight w:val="none"/>
                <w:vertAlign w:val="baseline"/>
                <w:lang w:val="en-US" w:eastAsia="zh-CN"/>
              </w:rPr>
              <w:t>集中收集，拉运至自然资源局指定地点处置。</w:t>
            </w:r>
          </w:p>
        </w:tc>
        <w:tc>
          <w:tcPr>
            <w:tcW w:w="1166" w:type="dxa"/>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restart"/>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运行期</w:t>
            </w:r>
          </w:p>
        </w:tc>
        <w:tc>
          <w:tcPr>
            <w:tcW w:w="4897" w:type="dxa"/>
            <w:tcBorders>
              <w:tl2br w:val="nil"/>
              <w:tr2bl w:val="nil"/>
            </w:tcBorders>
            <w:vAlign w:val="center"/>
          </w:tcPr>
          <w:p>
            <w:pPr>
              <w:jc w:val="both"/>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站内运维人员生活垃圾、胶状物质、</w:t>
            </w:r>
            <w:r>
              <w:rPr>
                <w:rFonts w:hint="eastAsia" w:cs="Times New Roman"/>
                <w:color w:val="auto"/>
                <w:highlight w:val="none"/>
                <w:vertAlign w:val="baseline"/>
                <w:lang w:val="en-US" w:eastAsia="zh-CN"/>
              </w:rPr>
              <w:t>污油、</w:t>
            </w:r>
            <w:r>
              <w:rPr>
                <w:rFonts w:hint="eastAsia"/>
                <w:color w:val="auto"/>
                <w:highlight w:val="none"/>
                <w:vertAlign w:val="baseline"/>
                <w:lang w:val="en-US" w:eastAsia="zh-CN"/>
              </w:rPr>
              <w:t>污泥</w:t>
            </w:r>
            <w:r>
              <w:rPr>
                <w:rFonts w:hint="eastAsia" w:ascii="Times New Roman" w:hAnsi="Times New Roman" w:eastAsia="宋体" w:cs="Times New Roman"/>
                <w:color w:val="auto"/>
                <w:highlight w:val="none"/>
                <w:vertAlign w:val="baseline"/>
                <w:lang w:val="en-US" w:eastAsia="zh-CN"/>
              </w:rPr>
              <w:t>、废机油</w:t>
            </w:r>
            <w:r>
              <w:rPr>
                <w:rFonts w:hint="eastAsia" w:cs="Times New Roman"/>
                <w:color w:val="auto"/>
                <w:highlight w:val="none"/>
                <w:vertAlign w:val="baseline"/>
                <w:lang w:val="en-US" w:eastAsia="zh-CN"/>
              </w:rPr>
              <w:t>及</w:t>
            </w:r>
            <w:r>
              <w:rPr>
                <w:rFonts w:hint="eastAsia" w:ascii="Times New Roman" w:hAnsi="Times New Roman" w:eastAsia="宋体" w:cs="Times New Roman"/>
                <w:color w:val="auto"/>
                <w:highlight w:val="none"/>
                <w:vertAlign w:val="baseline"/>
                <w:lang w:val="en-US" w:eastAsia="zh-CN"/>
              </w:rPr>
              <w:t>废药剂包装</w:t>
            </w:r>
            <w:r>
              <w:rPr>
                <w:rFonts w:hint="eastAsia" w:cs="Times New Roman"/>
                <w:color w:val="auto"/>
                <w:highlight w:val="none"/>
                <w:vertAlign w:val="baseline"/>
                <w:lang w:val="en-US" w:eastAsia="zh-CN"/>
              </w:rPr>
              <w:t>袋</w:t>
            </w:r>
            <w:r>
              <w:rPr>
                <w:rFonts w:hint="eastAsia" w:ascii="Times New Roman" w:hAnsi="Times New Roman" w:eastAsia="宋体" w:cs="Times New Roman"/>
                <w:color w:val="auto"/>
                <w:highlight w:val="none"/>
                <w:vertAlign w:val="baseline"/>
                <w:lang w:val="en-US" w:eastAsia="zh-CN"/>
              </w:rPr>
              <w:t>。</w:t>
            </w:r>
          </w:p>
        </w:tc>
        <w:tc>
          <w:tcPr>
            <w:tcW w:w="1166" w:type="dxa"/>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4897" w:type="dxa"/>
            <w:tcBorders>
              <w:tl2br w:val="nil"/>
              <w:tr2bl w:val="nil"/>
            </w:tcBorders>
            <w:vAlign w:val="center"/>
          </w:tcPr>
          <w:p>
            <w:pPr>
              <w:jc w:val="both"/>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生活垃圾</w:t>
            </w:r>
            <w:r>
              <w:rPr>
                <w:rFonts w:hint="default" w:ascii="Times New Roman" w:hAnsi="Times New Roman" w:eastAsia="宋体" w:cs="Times New Roman"/>
                <w:color w:val="auto"/>
                <w:highlight w:val="none"/>
                <w:vertAlign w:val="baseline"/>
                <w:lang w:val="en-US" w:eastAsia="zh-CN"/>
              </w:rPr>
              <w:t>集中收集，由环卫部门清运至肇源县生活垃圾处理场处理。</w:t>
            </w:r>
          </w:p>
        </w:tc>
        <w:tc>
          <w:tcPr>
            <w:tcW w:w="1166" w:type="dxa"/>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4897" w:type="dxa"/>
            <w:tcBorders>
              <w:tl2br w:val="nil"/>
              <w:tr2bl w:val="nil"/>
            </w:tcBorders>
            <w:vAlign w:val="center"/>
          </w:tcPr>
          <w:p>
            <w:pPr>
              <w:jc w:val="both"/>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胶状物质</w:t>
            </w:r>
            <w:r>
              <w:rPr>
                <w:rFonts w:hint="eastAsia" w:cs="Times New Roman"/>
                <w:color w:val="auto"/>
                <w:highlight w:val="none"/>
                <w:vertAlign w:val="baseline"/>
                <w:lang w:val="en-US" w:eastAsia="zh-CN"/>
              </w:rPr>
              <w:t>、废机油、</w:t>
            </w:r>
            <w:r>
              <w:rPr>
                <w:rFonts w:hint="eastAsia"/>
                <w:color w:val="auto"/>
                <w:highlight w:val="none"/>
                <w:vertAlign w:val="baseline"/>
                <w:lang w:val="en-US" w:eastAsia="zh-CN"/>
              </w:rPr>
              <w:t>污泥</w:t>
            </w:r>
            <w:r>
              <w:rPr>
                <w:rFonts w:hint="eastAsia" w:cs="Times New Roman"/>
                <w:color w:val="auto"/>
                <w:highlight w:val="none"/>
                <w:vertAlign w:val="baseline"/>
                <w:lang w:val="en-US" w:eastAsia="zh-CN"/>
              </w:rPr>
              <w:t>分离收集，</w:t>
            </w:r>
            <w:r>
              <w:rPr>
                <w:rFonts w:hint="eastAsia" w:ascii="Times New Roman" w:hAnsi="Times New Roman" w:eastAsia="宋体" w:cs="Times New Roman"/>
                <w:color w:val="auto"/>
                <w:highlight w:val="none"/>
                <w:vertAlign w:val="baseline"/>
                <w:lang w:val="en-US" w:eastAsia="zh-CN"/>
              </w:rPr>
              <w:t>密封保存在</w:t>
            </w:r>
            <w:r>
              <w:rPr>
                <w:rFonts w:hint="eastAsia" w:cs="Times New Roman"/>
                <w:color w:val="auto"/>
                <w:highlight w:val="none"/>
                <w:vertAlign w:val="baseline"/>
                <w:lang w:val="en-US" w:eastAsia="zh-CN"/>
              </w:rPr>
              <w:t>危废暂存间内，</w:t>
            </w:r>
            <w:r>
              <w:rPr>
                <w:rFonts w:hint="eastAsia" w:ascii="Times New Roman" w:hAnsi="Times New Roman" w:eastAsia="宋体" w:cs="Times New Roman"/>
                <w:color w:val="auto"/>
                <w:highlight w:val="none"/>
                <w:vertAlign w:val="baseline"/>
                <w:lang w:val="en-US" w:eastAsia="zh-CN"/>
              </w:rPr>
              <w:t>定期交由有资质单位处置。</w:t>
            </w:r>
          </w:p>
        </w:tc>
        <w:tc>
          <w:tcPr>
            <w:tcW w:w="1166" w:type="dxa"/>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4897" w:type="dxa"/>
            <w:tcBorders>
              <w:tl2br w:val="nil"/>
              <w:tr2bl w:val="nil"/>
            </w:tcBorders>
            <w:vAlign w:val="center"/>
          </w:tcPr>
          <w:p>
            <w:pPr>
              <w:jc w:val="both"/>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污油暂存于污油储罐中，定期由油田单位拉运回收利用。</w:t>
            </w:r>
          </w:p>
        </w:tc>
        <w:tc>
          <w:tcPr>
            <w:tcW w:w="1166" w:type="dxa"/>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4897" w:type="dxa"/>
            <w:tcBorders>
              <w:tl2br w:val="nil"/>
              <w:tr2bl w:val="nil"/>
            </w:tcBorders>
            <w:vAlign w:val="center"/>
          </w:tcPr>
          <w:p>
            <w:pPr>
              <w:jc w:val="both"/>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废药剂包装</w:t>
            </w:r>
            <w:r>
              <w:rPr>
                <w:rFonts w:hint="eastAsia" w:cs="Times New Roman"/>
                <w:color w:val="auto"/>
                <w:highlight w:val="none"/>
                <w:vertAlign w:val="baseline"/>
                <w:lang w:val="en-US" w:eastAsia="zh-CN"/>
              </w:rPr>
              <w:t>袋集中收集，定期外售。</w:t>
            </w:r>
          </w:p>
        </w:tc>
        <w:tc>
          <w:tcPr>
            <w:tcW w:w="1166" w:type="dxa"/>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restart"/>
            <w:tcBorders>
              <w:tl2br w:val="nil"/>
              <w:tr2bl w:val="nil"/>
            </w:tcBorders>
            <w:vAlign w:val="center"/>
          </w:tcPr>
          <w:p>
            <w:pPr>
              <w:jc w:val="center"/>
              <w:rPr>
                <w:rFonts w:hint="eastAsia"/>
                <w:color w:val="auto"/>
                <w:highlight w:val="none"/>
                <w:vertAlign w:val="baseline"/>
                <w:lang w:val="en-US" w:eastAsia="zh-CN"/>
              </w:rPr>
            </w:pPr>
            <w:r>
              <w:rPr>
                <w:rFonts w:hint="eastAsia"/>
                <w:color w:val="auto"/>
                <w:highlight w:val="none"/>
                <w:vertAlign w:val="baseline"/>
                <w:lang w:val="en-US" w:eastAsia="zh-CN"/>
              </w:rPr>
              <w:t>防渗工程</w:t>
            </w:r>
          </w:p>
        </w:tc>
        <w:tc>
          <w:tcPr>
            <w:tcW w:w="788" w:type="dxa"/>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管道防渗</w:t>
            </w:r>
          </w:p>
        </w:tc>
        <w:tc>
          <w:tcPr>
            <w:tcW w:w="4897" w:type="dxa"/>
            <w:tcBorders>
              <w:tl2br w:val="nil"/>
              <w:tr2bl w:val="nil"/>
            </w:tcBorders>
            <w:vAlign w:val="center"/>
          </w:tcPr>
          <w:p>
            <w:pPr>
              <w:jc w:val="both"/>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管道采用钢丝网骨架塑料（聚乙烯）复合管，管道防腐性能较好，无需进行额外的防腐工程，管道铺设区域防渗性能满足《环境影响评价技术导则 地下水环境》（HJ610-2018）表7重点防渗性能要求。</w:t>
            </w:r>
          </w:p>
        </w:tc>
        <w:tc>
          <w:tcPr>
            <w:tcW w:w="1166" w:type="dxa"/>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restart"/>
            <w:tcBorders>
              <w:tl2br w:val="nil"/>
              <w:tr2bl w:val="nil"/>
            </w:tcBorders>
            <w:vAlign w:val="center"/>
          </w:tcPr>
          <w:p>
            <w:pPr>
              <w:jc w:val="both"/>
              <w:rPr>
                <w:rFonts w:hint="default"/>
                <w:color w:val="auto"/>
                <w:highlight w:val="none"/>
                <w:vertAlign w:val="baseline"/>
                <w:lang w:val="en-US" w:eastAsia="zh-CN"/>
              </w:rPr>
            </w:pPr>
            <w:r>
              <w:rPr>
                <w:rFonts w:hint="eastAsia"/>
                <w:color w:val="auto"/>
                <w:highlight w:val="none"/>
                <w:vertAlign w:val="baseline"/>
                <w:lang w:val="en-US" w:eastAsia="zh-CN"/>
              </w:rPr>
              <w:t>服务站站内防渗</w:t>
            </w:r>
          </w:p>
        </w:tc>
        <w:tc>
          <w:tcPr>
            <w:tcW w:w="4897" w:type="dxa"/>
            <w:tcBorders>
              <w:tl2br w:val="nil"/>
              <w:tr2bl w:val="nil"/>
            </w:tcBorders>
            <w:vAlign w:val="center"/>
          </w:tcPr>
          <w:p>
            <w:pPr>
              <w:jc w:val="both"/>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采取分区防渗措施；卸车平台、危废暂存间、预处理车间、污油储罐区、储液池区域、事故池、初期雨水收集池，采取重点防渗措施；危废暂存间防渗性能满足《危险废物贮存污染控制标准》（GB18597-2023）防渗要求，其余区域满足《环境影响评价技术导则 地下水环境》（HJ610-2018）重点防渗性能要求。</w:t>
            </w:r>
          </w:p>
          <w:p>
            <w:pPr>
              <w:jc w:val="both"/>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库房、配电间、值班室、消防水罐区、办公用房采取一般防渗措施，满足《环境影响评价技术导则 地下水环境》（HJ610-2018）一般防渗性能要求。</w:t>
            </w:r>
          </w:p>
          <w:p>
            <w:pPr>
              <w:jc w:val="both"/>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其他区域进行简单防渗，满足《环境影响评价技术导则 地下水环境》（HJ610-2018）简单防渗性能要求。</w:t>
            </w:r>
          </w:p>
        </w:tc>
        <w:tc>
          <w:tcPr>
            <w:tcW w:w="1166" w:type="dxa"/>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4897" w:type="dxa"/>
            <w:tcBorders>
              <w:tl2br w:val="nil"/>
              <w:tr2bl w:val="nil"/>
            </w:tcBorders>
            <w:vAlign w:val="center"/>
          </w:tcPr>
          <w:p>
            <w:pPr>
              <w:jc w:val="both"/>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卸车平台均质池防渗层为：面层20mm厚水泥砂浆防水粉+50mm厚C20细石混凝土保护层，隔离层为石油沥青纸胎油毡+0.9mm厚SBC120高分子防水卷材+1.3mm厚聚合物水泥防水胶卷材+20mm厚水泥砂浆防水粉+100mm厚C15混凝土垫层，防渗性能等效黏土防渗层Mb≥6.0m，K≤1×10</w:t>
            </w:r>
            <w:r>
              <w:rPr>
                <w:rFonts w:hint="eastAsia" w:ascii="Times New Roman" w:hAnsi="Times New Roman" w:eastAsia="宋体" w:cs="Times New Roman"/>
                <w:color w:val="auto"/>
                <w:highlight w:val="none"/>
                <w:vertAlign w:val="superscript"/>
                <w:lang w:val="en-US" w:eastAsia="zh-CN"/>
              </w:rPr>
              <w:t>-7</w:t>
            </w:r>
            <w:r>
              <w:rPr>
                <w:rFonts w:hint="eastAsia" w:ascii="Times New Roman" w:hAnsi="Times New Roman" w:eastAsia="宋体" w:cs="Times New Roman"/>
                <w:color w:val="auto"/>
                <w:highlight w:val="none"/>
                <w:vertAlign w:val="baseline"/>
                <w:lang w:val="en-US" w:eastAsia="zh-CN"/>
              </w:rPr>
              <w:t>cm/s</w:t>
            </w:r>
          </w:p>
        </w:tc>
        <w:tc>
          <w:tcPr>
            <w:tcW w:w="1166" w:type="dxa"/>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4897" w:type="dxa"/>
            <w:tcBorders>
              <w:tl2br w:val="nil"/>
              <w:tr2bl w:val="nil"/>
            </w:tcBorders>
            <w:vAlign w:val="center"/>
          </w:tcPr>
          <w:p>
            <w:pPr>
              <w:jc w:val="both"/>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危废暂存间、预处理车间地面采用基底层压实（压实度不小于93%）+HDPE防渗膜（厚2.0mm）+抗渗混凝土层措施，防渗系数K≤1×10</w:t>
            </w:r>
            <w:r>
              <w:rPr>
                <w:rFonts w:hint="eastAsia" w:ascii="Times New Roman" w:hAnsi="Times New Roman" w:eastAsia="宋体" w:cs="Times New Roman"/>
                <w:color w:val="auto"/>
                <w:highlight w:val="none"/>
                <w:vertAlign w:val="superscript"/>
                <w:lang w:val="en-US" w:eastAsia="zh-CN"/>
              </w:rPr>
              <w:t>-1</w:t>
            </w:r>
            <w:r>
              <w:rPr>
                <w:rFonts w:hint="eastAsia" w:cs="Times New Roman"/>
                <w:color w:val="auto"/>
                <w:highlight w:val="none"/>
                <w:vertAlign w:val="superscript"/>
                <w:lang w:val="en-US" w:eastAsia="zh-CN"/>
              </w:rPr>
              <w:t>3</w:t>
            </w:r>
            <w:r>
              <w:rPr>
                <w:rFonts w:hint="eastAsia" w:ascii="Times New Roman" w:hAnsi="Times New Roman" w:eastAsia="宋体" w:cs="Times New Roman"/>
                <w:color w:val="auto"/>
                <w:highlight w:val="none"/>
                <w:vertAlign w:val="baseline"/>
                <w:lang w:val="en-US" w:eastAsia="zh-CN"/>
              </w:rPr>
              <w:t>cm/s；</w:t>
            </w:r>
          </w:p>
          <w:p>
            <w:pPr>
              <w:jc w:val="both"/>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储液池区域、事故池及初期雨水收集池、储油池、储泥池防渗情况设置情况为外壁采用SBS防水卷材。内壁及池底均铺设土工防渗膜；内壁铺设2mm厚HDPE土工防渗膜，再刷氯丁胶乳防水砂浆10mm厚。池底铺设2mm厚HDPE土工防渗膜，再进行基础浇筑，采用C30抗渗混凝土浇筑，其抗渗等级为P6（渗透系数≤4.19×10</w:t>
            </w:r>
            <w:r>
              <w:rPr>
                <w:rFonts w:hint="eastAsia" w:ascii="Times New Roman" w:hAnsi="Times New Roman" w:eastAsia="宋体" w:cs="Times New Roman"/>
                <w:color w:val="auto"/>
                <w:highlight w:val="none"/>
                <w:vertAlign w:val="superscript"/>
                <w:lang w:val="en-US" w:eastAsia="zh-CN"/>
              </w:rPr>
              <w:t>-9</w:t>
            </w:r>
            <w:r>
              <w:rPr>
                <w:rFonts w:hint="eastAsia" w:ascii="Times New Roman" w:hAnsi="Times New Roman" w:eastAsia="宋体" w:cs="Times New Roman"/>
                <w:color w:val="auto"/>
                <w:highlight w:val="none"/>
                <w:vertAlign w:val="baseline"/>
                <w:lang w:val="en-US" w:eastAsia="zh-CN"/>
              </w:rPr>
              <w:t>cm/s），铺设厚度为15cm，再铺设C15素混凝土结构垫层，厚度为10cm。防渗系数K≤1×10</w:t>
            </w:r>
            <w:r>
              <w:rPr>
                <w:rFonts w:hint="eastAsia" w:ascii="Times New Roman" w:hAnsi="Times New Roman" w:eastAsia="宋体" w:cs="Times New Roman"/>
                <w:color w:val="auto"/>
                <w:highlight w:val="none"/>
                <w:vertAlign w:val="superscript"/>
                <w:lang w:val="en-US" w:eastAsia="zh-CN"/>
              </w:rPr>
              <w:t>-13</w:t>
            </w:r>
            <w:r>
              <w:rPr>
                <w:rFonts w:hint="eastAsia" w:ascii="Times New Roman" w:hAnsi="Times New Roman" w:eastAsia="宋体" w:cs="Times New Roman"/>
                <w:color w:val="auto"/>
                <w:highlight w:val="none"/>
                <w:vertAlign w:val="baseline"/>
                <w:lang w:val="en-US" w:eastAsia="zh-CN"/>
              </w:rPr>
              <w:t>cm/s。</w:t>
            </w:r>
          </w:p>
        </w:tc>
        <w:tc>
          <w:tcPr>
            <w:tcW w:w="1166" w:type="dxa"/>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4897" w:type="dxa"/>
            <w:tcBorders>
              <w:tl2br w:val="nil"/>
              <w:tr2bl w:val="nil"/>
            </w:tcBorders>
            <w:vAlign w:val="center"/>
          </w:tcPr>
          <w:p>
            <w:pPr>
              <w:jc w:val="both"/>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库房、配电间、值班室、消防水罐区、办公用房采取一般防渗措施</w:t>
            </w:r>
            <w:r>
              <w:rPr>
                <w:rFonts w:hint="eastAsia" w:cs="Times New Roman"/>
                <w:color w:val="auto"/>
                <w:highlight w:val="none"/>
                <w:vertAlign w:val="baseline"/>
                <w:lang w:val="en-US" w:eastAsia="zh-CN"/>
              </w:rPr>
              <w:t>；</w:t>
            </w:r>
          </w:p>
          <w:p>
            <w:pPr>
              <w:jc w:val="both"/>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地面采用基底层压实（压实度不小于93%）+HDPE防渗膜（厚1.6mm）+抗渗混凝土层，渗透系数≤10</w:t>
            </w:r>
            <w:r>
              <w:rPr>
                <w:rFonts w:hint="eastAsia" w:ascii="Times New Roman" w:hAnsi="Times New Roman" w:eastAsia="宋体" w:cs="Times New Roman"/>
                <w:color w:val="auto"/>
                <w:highlight w:val="none"/>
                <w:vertAlign w:val="superscript"/>
                <w:lang w:val="en-US" w:eastAsia="zh-CN"/>
              </w:rPr>
              <w:t>-10</w:t>
            </w:r>
            <w:r>
              <w:rPr>
                <w:rFonts w:hint="eastAsia" w:ascii="Times New Roman" w:hAnsi="Times New Roman" w:eastAsia="宋体" w:cs="Times New Roman"/>
                <w:color w:val="auto"/>
                <w:highlight w:val="none"/>
                <w:vertAlign w:val="baseline"/>
                <w:lang w:val="en-US" w:eastAsia="zh-CN"/>
              </w:rPr>
              <w:t>cm/s。</w:t>
            </w:r>
          </w:p>
        </w:tc>
        <w:tc>
          <w:tcPr>
            <w:tcW w:w="1166" w:type="dxa"/>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restart"/>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风险防范措施</w:t>
            </w:r>
          </w:p>
        </w:tc>
        <w:tc>
          <w:tcPr>
            <w:tcW w:w="788" w:type="dxa"/>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输液管道</w:t>
            </w:r>
          </w:p>
        </w:tc>
        <w:tc>
          <w:tcPr>
            <w:tcW w:w="4897" w:type="dxa"/>
            <w:tcBorders>
              <w:tl2br w:val="nil"/>
              <w:tr2bl w:val="nil"/>
            </w:tcBorders>
            <w:vAlign w:val="center"/>
          </w:tcPr>
          <w:p>
            <w:pPr>
              <w:jc w:val="both"/>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1.</w:t>
            </w:r>
            <w:r>
              <w:rPr>
                <w:rFonts w:hint="eastAsia" w:ascii="Times New Roman" w:hAnsi="Times New Roman" w:eastAsia="宋体" w:cs="Times New Roman"/>
                <w:color w:val="auto"/>
                <w:highlight w:val="none"/>
                <w:vertAlign w:val="baseline"/>
                <w:lang w:val="en-US" w:eastAsia="zh-CN"/>
              </w:rPr>
              <w:t>加强运行期应加强巡管巡线的管理，每天至少巡线1次；</w:t>
            </w:r>
          </w:p>
          <w:p>
            <w:pPr>
              <w:jc w:val="both"/>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2.</w:t>
            </w:r>
            <w:r>
              <w:rPr>
                <w:rFonts w:hint="default" w:ascii="Times New Roman" w:hAnsi="Times New Roman" w:eastAsia="宋体" w:cs="Times New Roman"/>
                <w:color w:val="auto"/>
                <w:highlight w:val="none"/>
                <w:vertAlign w:val="baseline"/>
                <w:lang w:val="en-US" w:eastAsia="zh-CN"/>
              </w:rPr>
              <w:t>泵</w:t>
            </w:r>
            <w:r>
              <w:rPr>
                <w:rFonts w:hint="eastAsia" w:ascii="Times New Roman" w:hAnsi="Times New Roman" w:eastAsia="宋体" w:cs="Times New Roman"/>
                <w:color w:val="auto"/>
                <w:highlight w:val="none"/>
                <w:vertAlign w:val="baseline"/>
                <w:lang w:val="en-US" w:eastAsia="zh-CN"/>
              </w:rPr>
              <w:t>房</w:t>
            </w:r>
            <w:r>
              <w:rPr>
                <w:rFonts w:hint="default" w:ascii="Times New Roman" w:hAnsi="Times New Roman" w:eastAsia="宋体" w:cs="Times New Roman"/>
                <w:color w:val="auto"/>
                <w:highlight w:val="none"/>
                <w:vertAlign w:val="baseline"/>
                <w:lang w:val="en-US" w:eastAsia="zh-CN"/>
              </w:rPr>
              <w:t>管理人员对压力表进行监控，管</w:t>
            </w:r>
            <w:r>
              <w:rPr>
                <w:rFonts w:hint="eastAsia" w:ascii="Times New Roman" w:hAnsi="Times New Roman" w:eastAsia="宋体" w:cs="Times New Roman"/>
                <w:color w:val="auto"/>
                <w:highlight w:val="none"/>
                <w:vertAlign w:val="baseline"/>
                <w:lang w:val="en-US" w:eastAsia="zh-CN"/>
              </w:rPr>
              <w:t>道</w:t>
            </w:r>
            <w:r>
              <w:rPr>
                <w:rFonts w:hint="default" w:ascii="Times New Roman" w:hAnsi="Times New Roman" w:eastAsia="宋体" w:cs="Times New Roman"/>
                <w:color w:val="auto"/>
                <w:highlight w:val="none"/>
                <w:vertAlign w:val="baseline"/>
                <w:lang w:val="en-US" w:eastAsia="zh-CN"/>
              </w:rPr>
              <w:t>泄漏时将体现在压力表上，立即关闭泵</w:t>
            </w:r>
            <w:r>
              <w:rPr>
                <w:rFonts w:hint="eastAsia" w:ascii="Times New Roman" w:hAnsi="Times New Roman" w:eastAsia="宋体" w:cs="Times New Roman"/>
                <w:color w:val="auto"/>
                <w:highlight w:val="none"/>
                <w:vertAlign w:val="baseline"/>
                <w:lang w:val="en-US" w:eastAsia="zh-CN"/>
              </w:rPr>
              <w:t>房</w:t>
            </w:r>
            <w:r>
              <w:rPr>
                <w:rFonts w:hint="default" w:ascii="Times New Roman" w:hAnsi="Times New Roman" w:eastAsia="宋体" w:cs="Times New Roman"/>
                <w:color w:val="auto"/>
                <w:highlight w:val="none"/>
                <w:vertAlign w:val="baseline"/>
                <w:lang w:val="en-US" w:eastAsia="zh-CN"/>
              </w:rPr>
              <w:t>的输送，通知巡检人员和应急车辆前往现场巡查。</w:t>
            </w:r>
          </w:p>
          <w:p>
            <w:pPr>
              <w:jc w:val="both"/>
              <w:rPr>
                <w:rFonts w:hint="default"/>
                <w:color w:val="auto"/>
                <w:highlight w:val="none"/>
                <w:lang w:val="en-US" w:eastAsia="zh-CN"/>
              </w:rPr>
            </w:pPr>
            <w:r>
              <w:rPr>
                <w:rFonts w:hint="eastAsia" w:ascii="Times New Roman" w:hAnsi="Times New Roman" w:eastAsia="宋体" w:cs="Times New Roman"/>
                <w:color w:val="auto"/>
                <w:highlight w:val="none"/>
                <w:vertAlign w:val="baseline"/>
                <w:lang w:val="en-US" w:eastAsia="zh-CN"/>
              </w:rPr>
              <w:t>沿线配备应急物资车、同时每2km于沿线农户家中储存一定数量的水桶、土工布、防渗膜、沙包、装土编织袋、铲子等应急物资，在巡检人员发现</w:t>
            </w:r>
            <w:r>
              <w:rPr>
                <w:rFonts w:hint="eastAsia" w:cs="Times New Roman"/>
                <w:color w:val="auto"/>
                <w:highlight w:val="none"/>
                <w:vertAlign w:val="baseline"/>
                <w:lang w:val="en-US" w:eastAsia="zh-CN"/>
              </w:rPr>
              <w:t>泄漏</w:t>
            </w:r>
            <w:r>
              <w:rPr>
                <w:rFonts w:hint="eastAsia" w:ascii="Times New Roman" w:hAnsi="Times New Roman" w:eastAsia="宋体" w:cs="Times New Roman"/>
                <w:color w:val="auto"/>
                <w:highlight w:val="none"/>
                <w:vertAlign w:val="baseline"/>
                <w:lang w:val="en-US" w:eastAsia="zh-CN"/>
              </w:rPr>
              <w:t>时第一时间通知输送和接</w:t>
            </w:r>
            <w:r>
              <w:rPr>
                <w:rFonts w:hint="eastAsia" w:cs="Times New Roman"/>
                <w:color w:val="auto"/>
                <w:highlight w:val="none"/>
                <w:vertAlign w:val="baseline"/>
                <w:lang w:val="en-US" w:eastAsia="zh-CN"/>
              </w:rPr>
              <w:t>收废水</w:t>
            </w:r>
            <w:r>
              <w:rPr>
                <w:rFonts w:hint="eastAsia" w:ascii="Times New Roman" w:hAnsi="Times New Roman" w:eastAsia="宋体" w:cs="Times New Roman"/>
                <w:color w:val="auto"/>
                <w:highlight w:val="none"/>
                <w:vertAlign w:val="baseline"/>
                <w:lang w:val="en-US" w:eastAsia="zh-CN"/>
              </w:rPr>
              <w:t>的平台关闭泵站的运行，并关闭泄漏点前后的阀门，使用就近的应急物资，在管道泄漏口处采用沙包、装土编织袋等拦截措施阻拦外溢废水，切断废水与坑塘、沟渠、农田等之间的泄漏途径，并于阀门下方挖一处土坑用于放置水桶，挖出的表土置于旁边，应急措施完成后回填于坑中待罐车到达现场后，打开阀门将管道内的</w:t>
            </w:r>
            <w:r>
              <w:rPr>
                <w:rFonts w:hint="eastAsia" w:cs="Times New Roman"/>
                <w:color w:val="auto"/>
                <w:highlight w:val="none"/>
                <w:vertAlign w:val="baseline"/>
                <w:lang w:val="en-US" w:eastAsia="zh-CN"/>
              </w:rPr>
              <w:t>废水</w:t>
            </w:r>
            <w:r>
              <w:rPr>
                <w:rFonts w:hint="eastAsia" w:ascii="Times New Roman" w:hAnsi="Times New Roman" w:eastAsia="宋体" w:cs="Times New Roman"/>
                <w:color w:val="auto"/>
                <w:highlight w:val="none"/>
                <w:vertAlign w:val="baseline"/>
                <w:lang w:val="en-US" w:eastAsia="zh-CN"/>
              </w:rPr>
              <w:t>排入桶中，同时使用水泵将桶中的液体抽入罐车中运往污水处理站。在管道检修后替换新的管道，确保无问题后再重新开始</w:t>
            </w:r>
            <w:r>
              <w:rPr>
                <w:rFonts w:hint="eastAsia" w:cs="Times New Roman"/>
                <w:color w:val="auto"/>
                <w:highlight w:val="none"/>
                <w:vertAlign w:val="baseline"/>
                <w:lang w:val="en-US" w:eastAsia="zh-CN"/>
              </w:rPr>
              <w:t>废水</w:t>
            </w:r>
            <w:r>
              <w:rPr>
                <w:rFonts w:hint="eastAsia" w:ascii="Times New Roman" w:hAnsi="Times New Roman" w:eastAsia="宋体" w:cs="Times New Roman"/>
                <w:color w:val="auto"/>
                <w:highlight w:val="none"/>
                <w:vertAlign w:val="baseline"/>
                <w:lang w:val="en-US" w:eastAsia="zh-CN"/>
              </w:rPr>
              <w:t>的运输。</w:t>
            </w:r>
          </w:p>
        </w:tc>
        <w:tc>
          <w:tcPr>
            <w:tcW w:w="1166" w:type="dxa"/>
            <w:tcBorders>
              <w:tl2br w:val="nil"/>
              <w:tr2bl w:val="nil"/>
            </w:tcBorders>
            <w:vAlign w:val="center"/>
          </w:tcPr>
          <w:p>
            <w:pPr>
              <w:jc w:val="center"/>
              <w:rPr>
                <w:rFonts w:hint="default"/>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7"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vMerge w:val="continue"/>
            <w:tcBorders>
              <w:tl2br w:val="nil"/>
              <w:tr2bl w:val="nil"/>
            </w:tcBorders>
            <w:vAlign w:val="center"/>
          </w:tcPr>
          <w:p>
            <w:pPr>
              <w:jc w:val="center"/>
              <w:rPr>
                <w:rFonts w:hint="eastAsia"/>
                <w:color w:val="auto"/>
                <w:highlight w:val="none"/>
                <w:vertAlign w:val="baseline"/>
                <w:lang w:val="en-US" w:eastAsia="zh-CN"/>
              </w:rPr>
            </w:pPr>
          </w:p>
        </w:tc>
        <w:tc>
          <w:tcPr>
            <w:tcW w:w="788" w:type="dxa"/>
            <w:tcBorders>
              <w:tl2br w:val="nil"/>
              <w:tr2bl w:val="nil"/>
            </w:tcBorders>
            <w:vAlign w:val="center"/>
          </w:tcPr>
          <w:p>
            <w:pPr>
              <w:jc w:val="center"/>
              <w:rPr>
                <w:rFonts w:hint="default"/>
                <w:color w:val="auto"/>
                <w:highlight w:val="none"/>
                <w:vertAlign w:val="baseline"/>
                <w:lang w:val="en-US" w:eastAsia="zh-CN"/>
              </w:rPr>
            </w:pPr>
            <w:r>
              <w:rPr>
                <w:rFonts w:hint="eastAsia"/>
                <w:color w:val="auto"/>
                <w:highlight w:val="none"/>
                <w:vertAlign w:val="baseline"/>
                <w:lang w:val="en-US" w:eastAsia="zh-CN"/>
              </w:rPr>
              <w:t>站内</w:t>
            </w:r>
          </w:p>
        </w:tc>
        <w:tc>
          <w:tcPr>
            <w:tcW w:w="4897" w:type="dxa"/>
            <w:tcBorders>
              <w:tl2br w:val="nil"/>
              <w:tr2bl w:val="nil"/>
            </w:tcBorders>
            <w:vAlign w:val="center"/>
          </w:tcPr>
          <w:p>
            <w:pPr>
              <w:jc w:val="both"/>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站内设置事故池1座，有效容积不小于1300m</w:t>
            </w:r>
            <w:r>
              <w:rPr>
                <w:rFonts w:hint="eastAsia" w:cs="Times New Roman"/>
                <w:color w:val="auto"/>
                <w:highlight w:val="none"/>
                <w:vertAlign w:val="superscript"/>
                <w:lang w:val="en-US" w:eastAsia="zh-CN"/>
              </w:rPr>
              <w:t>3</w:t>
            </w:r>
            <w:r>
              <w:rPr>
                <w:rFonts w:hint="eastAsia" w:cs="Times New Roman"/>
                <w:color w:val="auto"/>
                <w:highlight w:val="none"/>
                <w:vertAlign w:val="baseline"/>
                <w:lang w:val="en-US" w:eastAsia="zh-CN"/>
              </w:rPr>
              <w:t>，事故池进行重点防渗；事故废水交由有资质单位处置</w:t>
            </w:r>
          </w:p>
        </w:tc>
        <w:tc>
          <w:tcPr>
            <w:tcW w:w="1166" w:type="dxa"/>
            <w:tcBorders>
              <w:tl2br w:val="nil"/>
              <w:tr2bl w:val="nil"/>
            </w:tcBorders>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新建</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3.1.3工程占地及平面布置</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（1）</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工程占地</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本项目项目共占地296234m</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；其中</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3#站</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站址永久占地111295m</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，占地类型为其他草地、坑塘水面及沟渠；管道施工为临时占地，占地面积184939m</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，占地类型为耕地（</w:t>
      </w:r>
      <w:r>
        <w:rPr>
          <w:rFonts w:hint="eastAsia" w:cs="Times New Roman"/>
          <w:caps w:val="0"/>
          <w:smallCaps w:val="0"/>
          <w:snapToGrid/>
          <w:color w:val="auto"/>
          <w:spacing w:val="0"/>
          <w:w w:val="100"/>
          <w:kern w:val="0"/>
          <w:sz w:val="24"/>
          <w:szCs w:val="24"/>
          <w:highlight w:val="none"/>
          <w:vertAlign w:val="baseline"/>
          <w:lang w:val="en-US" w:eastAsia="zh-CN" w:bidi="ar-SA"/>
        </w:rPr>
        <w:t>水田+</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永久基本农田+一般耕地），农村道路、坑塘水面及沟渠。</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宋体"/>
          <w:b/>
          <w:bCs/>
          <w:color w:val="auto"/>
          <w:kern w:val="2"/>
          <w:sz w:val="21"/>
          <w:szCs w:val="21"/>
          <w:highlight w:val="none"/>
          <w:lang w:val="en-US" w:eastAsia="zh-CN" w:bidi="ar-SA"/>
        </w:rPr>
      </w:pPr>
      <w:r>
        <w:rPr>
          <w:rFonts w:hint="default" w:ascii="Times New Roman" w:hAnsi="Times New Roman" w:eastAsia="宋体" w:cs="宋体"/>
          <w:b/>
          <w:bCs/>
          <w:color w:val="auto"/>
          <w:kern w:val="2"/>
          <w:sz w:val="21"/>
          <w:szCs w:val="21"/>
          <w:highlight w:val="none"/>
          <w:lang w:val="en-US" w:eastAsia="zh-CN" w:bidi="ar-SA"/>
        </w:rPr>
        <w:t>表3.1-</w:t>
      </w:r>
      <w:r>
        <w:rPr>
          <w:rFonts w:hint="eastAsia" w:ascii="Times New Roman" w:hAnsi="Times New Roman" w:eastAsia="宋体" w:cs="宋体"/>
          <w:b/>
          <w:bCs/>
          <w:color w:val="auto"/>
          <w:kern w:val="2"/>
          <w:sz w:val="21"/>
          <w:szCs w:val="21"/>
          <w:highlight w:val="none"/>
          <w:lang w:val="en-US" w:eastAsia="zh-CN" w:bidi="ar-SA"/>
        </w:rPr>
        <w:t>2</w:t>
      </w:r>
      <w:r>
        <w:rPr>
          <w:rFonts w:hint="default" w:ascii="Times New Roman" w:hAnsi="Times New Roman" w:eastAsia="宋体" w:cs="宋体"/>
          <w:b/>
          <w:bCs/>
          <w:color w:val="auto"/>
          <w:kern w:val="2"/>
          <w:sz w:val="21"/>
          <w:szCs w:val="21"/>
          <w:highlight w:val="none"/>
          <w:lang w:val="en-US" w:eastAsia="zh-CN" w:bidi="ar-SA"/>
        </w:rPr>
        <w:t>本项目占地</w:t>
      </w:r>
      <w:r>
        <w:rPr>
          <w:rFonts w:hint="eastAsia" w:ascii="Times New Roman" w:hAnsi="Times New Roman" w:eastAsia="宋体" w:cs="宋体"/>
          <w:b/>
          <w:bCs/>
          <w:color w:val="auto"/>
          <w:kern w:val="2"/>
          <w:sz w:val="21"/>
          <w:szCs w:val="21"/>
          <w:highlight w:val="none"/>
          <w:lang w:val="en-US" w:eastAsia="zh-CN" w:bidi="ar-SA"/>
        </w:rPr>
        <w:t>一览表</w:t>
      </w:r>
      <w:r>
        <w:rPr>
          <w:rFonts w:hint="default" w:ascii="Times New Roman" w:hAnsi="Times New Roman" w:eastAsia="宋体" w:cs="宋体"/>
          <w:b/>
          <w:bCs/>
          <w:color w:val="auto"/>
          <w:kern w:val="2"/>
          <w:sz w:val="21"/>
          <w:szCs w:val="21"/>
          <w:highlight w:val="none"/>
          <w:lang w:val="en-US" w:eastAsia="zh-CN" w:bidi="ar-SA"/>
        </w:rPr>
        <w:t>（m</w:t>
      </w:r>
      <w:r>
        <w:rPr>
          <w:rFonts w:hint="default" w:ascii="Times New Roman" w:hAnsi="Times New Roman" w:eastAsia="宋体" w:cs="宋体"/>
          <w:b/>
          <w:bCs/>
          <w:color w:val="auto"/>
          <w:kern w:val="2"/>
          <w:sz w:val="21"/>
          <w:szCs w:val="21"/>
          <w:highlight w:val="none"/>
          <w:vertAlign w:val="superscript"/>
          <w:lang w:val="en-US" w:eastAsia="zh-CN" w:bidi="ar-SA"/>
        </w:rPr>
        <w:t>2</w:t>
      </w:r>
      <w:r>
        <w:rPr>
          <w:rFonts w:hint="default" w:ascii="Times New Roman" w:hAnsi="Times New Roman" w:eastAsia="宋体" w:cs="宋体"/>
          <w:b/>
          <w:bCs/>
          <w:color w:val="auto"/>
          <w:kern w:val="2"/>
          <w:sz w:val="21"/>
          <w:szCs w:val="21"/>
          <w:highlight w:val="none"/>
          <w:lang w:val="en-US" w:eastAsia="zh-CN" w:bidi="ar-SA"/>
        </w:rPr>
        <w:t>）</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10"/>
        <w:gridCol w:w="1499"/>
        <w:gridCol w:w="1298"/>
        <w:gridCol w:w="1299"/>
        <w:gridCol w:w="1298"/>
        <w:gridCol w:w="1301"/>
        <w:gridCol w:w="121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10" w:type="dxa"/>
            <w:vMerge w:val="restart"/>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序号</w:t>
            </w:r>
          </w:p>
        </w:tc>
        <w:tc>
          <w:tcPr>
            <w:tcW w:w="1499" w:type="dxa"/>
            <w:vMerge w:val="restart"/>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占地类型</w:t>
            </w:r>
          </w:p>
        </w:tc>
        <w:tc>
          <w:tcPr>
            <w:tcW w:w="2597" w:type="dxa"/>
            <w:gridSpan w:val="2"/>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3#站站址</w:t>
            </w:r>
          </w:p>
        </w:tc>
        <w:tc>
          <w:tcPr>
            <w:tcW w:w="2599" w:type="dxa"/>
            <w:gridSpan w:val="2"/>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输液管道</w:t>
            </w:r>
          </w:p>
        </w:tc>
        <w:tc>
          <w:tcPr>
            <w:tcW w:w="1210" w:type="dxa"/>
            <w:vMerge w:val="restart"/>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总计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10" w:type="dxa"/>
            <w:vMerge w:val="continue"/>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p>
        </w:tc>
        <w:tc>
          <w:tcPr>
            <w:tcW w:w="1499" w:type="dxa"/>
            <w:vMerge w:val="continue"/>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永久</w:t>
            </w:r>
          </w:p>
        </w:tc>
        <w:tc>
          <w:tcPr>
            <w:tcW w:w="12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临时</w:t>
            </w:r>
          </w:p>
        </w:tc>
        <w:tc>
          <w:tcPr>
            <w:tcW w:w="1298" w:type="dxa"/>
            <w:tcBorders>
              <w:tl2br w:val="nil"/>
              <w:tr2bl w:val="nil"/>
            </w:tcBorders>
            <w:vAlign w:val="center"/>
          </w:tcPr>
          <w:p>
            <w:pPr>
              <w:jc w:val="center"/>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永久</w:t>
            </w:r>
          </w:p>
        </w:tc>
        <w:tc>
          <w:tcPr>
            <w:tcW w:w="1301" w:type="dxa"/>
            <w:tcBorders>
              <w:tl2br w:val="nil"/>
              <w:tr2bl w:val="nil"/>
            </w:tcBorders>
            <w:vAlign w:val="center"/>
          </w:tcPr>
          <w:p>
            <w:pPr>
              <w:jc w:val="center"/>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临时</w:t>
            </w:r>
          </w:p>
        </w:tc>
        <w:tc>
          <w:tcPr>
            <w:tcW w:w="1210" w:type="dxa"/>
            <w:vMerge w:val="continue"/>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10"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14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其他草地（0404）</w:t>
            </w: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103492</w:t>
            </w:r>
          </w:p>
        </w:tc>
        <w:tc>
          <w:tcPr>
            <w:tcW w:w="12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301"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10" w:type="dxa"/>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103492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610"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w:t>
            </w:r>
          </w:p>
        </w:tc>
        <w:tc>
          <w:tcPr>
            <w:tcW w:w="14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坑塘水面</w:t>
            </w:r>
            <w:r>
              <w:rPr>
                <w:rFonts w:hint="eastAsia"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vertAlign w:val="baseline"/>
                <w:lang w:val="en-US" w:eastAsia="zh-CN"/>
              </w:rPr>
              <w:t>1104</w:t>
            </w:r>
            <w:r>
              <w:rPr>
                <w:rFonts w:hint="eastAsia" w:ascii="Times New Roman" w:hAnsi="Times New Roman" w:eastAsia="宋体" w:cs="Times New Roman"/>
                <w:color w:val="auto"/>
                <w:highlight w:val="none"/>
                <w:vertAlign w:val="baseline"/>
                <w:lang w:val="en-US" w:eastAsia="zh-CN"/>
              </w:rPr>
              <w:t>）</w:t>
            </w: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2826</w:t>
            </w:r>
          </w:p>
        </w:tc>
        <w:tc>
          <w:tcPr>
            <w:tcW w:w="12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301"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1943</w:t>
            </w:r>
          </w:p>
        </w:tc>
        <w:tc>
          <w:tcPr>
            <w:tcW w:w="1210"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4769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10"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3</w:t>
            </w:r>
          </w:p>
        </w:tc>
        <w:tc>
          <w:tcPr>
            <w:tcW w:w="14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沟渠</w:t>
            </w:r>
            <w:r>
              <w:rPr>
                <w:rFonts w:hint="eastAsia" w:ascii="Times New Roman" w:hAnsi="Times New Roman" w:eastAsia="宋体" w:cs="Times New Roman"/>
                <w:color w:val="auto"/>
                <w:highlight w:val="none"/>
                <w:vertAlign w:val="baseline"/>
                <w:lang w:val="en-US" w:eastAsia="zh-CN"/>
              </w:rPr>
              <w:t>（1107）</w:t>
            </w: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4977</w:t>
            </w:r>
          </w:p>
        </w:tc>
        <w:tc>
          <w:tcPr>
            <w:tcW w:w="12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301"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1217</w:t>
            </w:r>
          </w:p>
        </w:tc>
        <w:tc>
          <w:tcPr>
            <w:tcW w:w="1210"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6194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10"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4</w:t>
            </w:r>
          </w:p>
        </w:tc>
        <w:tc>
          <w:tcPr>
            <w:tcW w:w="14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水田</w:t>
            </w:r>
            <w:r>
              <w:rPr>
                <w:rFonts w:hint="eastAsia" w:ascii="Times New Roman" w:hAnsi="Times New Roman" w:eastAsia="宋体" w:cs="Times New Roman"/>
                <w:color w:val="auto"/>
                <w:highlight w:val="none"/>
                <w:vertAlign w:val="baseline"/>
                <w:lang w:val="en-US" w:eastAsia="zh-CN"/>
              </w:rPr>
              <w:t>（0101）</w:t>
            </w: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301"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1963</w:t>
            </w:r>
          </w:p>
        </w:tc>
        <w:tc>
          <w:tcPr>
            <w:tcW w:w="1210" w:type="dxa"/>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1963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10"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5</w:t>
            </w:r>
          </w:p>
        </w:tc>
        <w:tc>
          <w:tcPr>
            <w:tcW w:w="14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旱地</w:t>
            </w:r>
            <w:r>
              <w:rPr>
                <w:rFonts w:hint="eastAsia" w:ascii="Times New Roman" w:hAnsi="Times New Roman" w:eastAsia="宋体" w:cs="Times New Roman"/>
                <w:color w:val="auto"/>
                <w:highlight w:val="none"/>
                <w:vertAlign w:val="baseline"/>
                <w:lang w:val="en-US" w:eastAsia="zh-CN"/>
              </w:rPr>
              <w:t>（0103）</w:t>
            </w: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301"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175471</w:t>
            </w:r>
          </w:p>
        </w:tc>
        <w:tc>
          <w:tcPr>
            <w:tcW w:w="1210" w:type="dxa"/>
            <w:tcBorders>
              <w:tl2br w:val="nil"/>
              <w:tr2bl w:val="nil"/>
            </w:tcBorders>
            <w:vAlign w:val="center"/>
          </w:tcPr>
          <w:p>
            <w:pPr>
              <w:jc w:val="center"/>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175471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10"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5.1</w:t>
            </w:r>
          </w:p>
        </w:tc>
        <w:tc>
          <w:tcPr>
            <w:tcW w:w="14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永久基本农田</w:t>
            </w: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301"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169093</w:t>
            </w:r>
          </w:p>
        </w:tc>
        <w:tc>
          <w:tcPr>
            <w:tcW w:w="1210" w:type="dxa"/>
            <w:tcBorders>
              <w:tl2br w:val="nil"/>
              <w:tr2bl w:val="nil"/>
            </w:tcBorders>
            <w:vAlign w:val="center"/>
          </w:tcPr>
          <w:p>
            <w:pPr>
              <w:jc w:val="center"/>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169093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10"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5.2</w:t>
            </w:r>
          </w:p>
        </w:tc>
        <w:tc>
          <w:tcPr>
            <w:tcW w:w="14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一般耕地</w:t>
            </w: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301"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6378</w:t>
            </w:r>
          </w:p>
        </w:tc>
        <w:tc>
          <w:tcPr>
            <w:tcW w:w="1210" w:type="dxa"/>
            <w:tcBorders>
              <w:tl2br w:val="nil"/>
              <w:tr2bl w:val="nil"/>
            </w:tcBorders>
            <w:vAlign w:val="center"/>
          </w:tcPr>
          <w:p>
            <w:pPr>
              <w:jc w:val="center"/>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6378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10"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6</w:t>
            </w:r>
          </w:p>
        </w:tc>
        <w:tc>
          <w:tcPr>
            <w:tcW w:w="14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农村道路</w:t>
            </w:r>
            <w:r>
              <w:rPr>
                <w:rFonts w:hint="eastAsia" w:ascii="Times New Roman" w:hAnsi="Times New Roman" w:eastAsia="宋体" w:cs="Times New Roman"/>
                <w:color w:val="auto"/>
                <w:highlight w:val="none"/>
                <w:vertAlign w:val="baseline"/>
                <w:lang w:val="en-US" w:eastAsia="zh-CN"/>
              </w:rPr>
              <w:t>（1006）</w:t>
            </w: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9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9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301"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4345</w:t>
            </w:r>
          </w:p>
        </w:tc>
        <w:tc>
          <w:tcPr>
            <w:tcW w:w="1210" w:type="dxa"/>
            <w:tcBorders>
              <w:tl2br w:val="nil"/>
              <w:tr2bl w:val="nil"/>
            </w:tcBorders>
            <w:vAlign w:val="center"/>
          </w:tcPr>
          <w:p>
            <w:pPr>
              <w:jc w:val="center"/>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4345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09" w:type="dxa"/>
            <w:gridSpan w:val="2"/>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总计</w:t>
            </w:r>
          </w:p>
        </w:tc>
        <w:tc>
          <w:tcPr>
            <w:tcW w:w="2597" w:type="dxa"/>
            <w:gridSpan w:val="2"/>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111295</w:t>
            </w:r>
          </w:p>
        </w:tc>
        <w:tc>
          <w:tcPr>
            <w:tcW w:w="2599" w:type="dxa"/>
            <w:gridSpan w:val="2"/>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184939</w:t>
            </w:r>
          </w:p>
        </w:tc>
        <w:tc>
          <w:tcPr>
            <w:tcW w:w="1210" w:type="dxa"/>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296234</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（2）总平面图布置</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本次新建3#服务站站址整体分为4个区域；分为办公生活区、废水处理区、废水暂存区及辅助用房区。</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办公生活区位于厂址进场道路西侧，设置办公楼1座，为单层框架结构，总占地面积893m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废水处理区位于厂址进场道路东侧，由卸车平台</w:t>
      </w:r>
      <w:r>
        <w:rPr>
          <w:rFonts w:hint="eastAsia" w:cs="Times New Roman"/>
          <w:caps w:val="0"/>
          <w:smallCaps w:val="0"/>
          <w:snapToGrid/>
          <w:color w:val="auto"/>
          <w:spacing w:val="0"/>
          <w:w w:val="100"/>
          <w:kern w:val="0"/>
          <w:sz w:val="24"/>
          <w:szCs w:val="24"/>
          <w:highlight w:val="none"/>
          <w:vertAlign w:val="baseline"/>
          <w:lang w:val="en-US" w:eastAsia="zh-CN" w:bidi="ar-SA"/>
        </w:rPr>
        <w:t>及</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预处理车间组成；辅助用房区分布在站址中间区域，位于办公生活区及废水处理区南侧，由危废暂存间、污油储罐区、库房、</w:t>
      </w:r>
      <w:r>
        <w:rPr>
          <w:rFonts w:hint="eastAsia" w:cs="Times New Roman"/>
          <w:caps w:val="0"/>
          <w:smallCaps w:val="0"/>
          <w:snapToGrid/>
          <w:color w:val="auto"/>
          <w:spacing w:val="0"/>
          <w:w w:val="100"/>
          <w:kern w:val="0"/>
          <w:sz w:val="24"/>
          <w:szCs w:val="24"/>
          <w:highlight w:val="none"/>
          <w:vertAlign w:val="baseline"/>
          <w:lang w:val="en-US" w:eastAsia="zh-CN" w:bidi="ar-SA"/>
        </w:rPr>
        <w:t>长输</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泵房、消防水罐区、事故池及初期雨水池组成；废水暂存区由储液池组成，位于站址南侧，总占地约6万m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。进场道路宽为8m。各构建物之间距离满足《建筑设计防火规范》（GB50016-2014）（2018年版）及《石油化工企业设计防火标准》（GB50160-2008）（2018修订）的要求。</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caps w:val="0"/>
          <w:smallCaps w:val="0"/>
          <w:snapToGrid/>
          <w:color w:val="auto"/>
          <w:spacing w:val="0"/>
          <w:w w:val="100"/>
          <w:kern w:val="0"/>
          <w:sz w:val="21"/>
          <w:szCs w:val="21"/>
          <w:highlight w:val="none"/>
          <w:vertAlign w:val="baseline"/>
          <w:lang w:val="en-US" w:eastAsia="zh-CN" w:bidi="ar-SA"/>
        </w:rPr>
      </w:pPr>
      <w:r>
        <w:rPr>
          <w:rFonts w:hint="eastAsia" w:ascii="Times New Roman" w:hAnsi="Times New Roman" w:eastAsia="宋体" w:cs="宋体"/>
          <w:b/>
          <w:bCs/>
          <w:color w:val="auto"/>
          <w:kern w:val="2"/>
          <w:sz w:val="21"/>
          <w:szCs w:val="21"/>
          <w:highlight w:val="none"/>
          <w:lang w:val="en-US" w:eastAsia="zh-CN" w:bidi="ar-SA"/>
        </w:rPr>
        <w:t>表</w:t>
      </w:r>
      <w:r>
        <w:rPr>
          <w:rFonts w:hint="default" w:ascii="Times New Roman" w:hAnsi="Times New Roman" w:eastAsia="宋体" w:cs="宋体"/>
          <w:b/>
          <w:bCs/>
          <w:color w:val="auto"/>
          <w:kern w:val="2"/>
          <w:sz w:val="21"/>
          <w:szCs w:val="21"/>
          <w:highlight w:val="none"/>
          <w:lang w:val="en-US" w:eastAsia="zh-CN" w:bidi="ar-SA"/>
        </w:rPr>
        <w:t>3.1-</w:t>
      </w:r>
      <w:r>
        <w:rPr>
          <w:rFonts w:hint="eastAsia" w:ascii="Times New Roman" w:hAnsi="Times New Roman" w:eastAsia="宋体" w:cs="宋体"/>
          <w:b/>
          <w:bCs/>
          <w:color w:val="auto"/>
          <w:kern w:val="2"/>
          <w:sz w:val="21"/>
          <w:szCs w:val="21"/>
          <w:highlight w:val="none"/>
          <w:lang w:val="en-US" w:eastAsia="zh-CN" w:bidi="ar-SA"/>
        </w:rPr>
        <w:t>3站址内构建物一览表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72"/>
        <w:gridCol w:w="2032"/>
        <w:gridCol w:w="2443"/>
        <w:gridCol w:w="236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序号</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构建物</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规格</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办公楼</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892.98m</w:t>
            </w:r>
            <w:r>
              <w:rPr>
                <w:rFonts w:hint="eastAsia" w:ascii="Times New Roman" w:hAnsi="Times New Roman" w:eastAsia="宋体" w:cs="Times New Roman"/>
                <w:color w:val="auto"/>
                <w:highlight w:val="none"/>
                <w:vertAlign w:val="superscript"/>
                <w:lang w:val="en-US" w:eastAsia="zh-CN"/>
              </w:rPr>
              <w:t>2</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框架结构，单层构建物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泵房</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530.72m</w:t>
            </w:r>
            <w:r>
              <w:rPr>
                <w:rFonts w:hint="eastAsia" w:ascii="Times New Roman" w:hAnsi="Times New Roman" w:eastAsia="宋体" w:cs="Times New Roman"/>
                <w:color w:val="auto"/>
                <w:highlight w:val="none"/>
                <w:vertAlign w:val="superscript"/>
                <w:lang w:val="en-US" w:eastAsia="zh-CN"/>
              </w:rPr>
              <w:t>2</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钢结构，单层构建物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3</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戊类库房</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233.12m</w:t>
            </w:r>
            <w:r>
              <w:rPr>
                <w:rFonts w:hint="eastAsia" w:ascii="Times New Roman" w:hAnsi="Times New Roman" w:eastAsia="宋体" w:cs="Times New Roman"/>
                <w:color w:val="auto"/>
                <w:highlight w:val="none"/>
                <w:vertAlign w:val="superscript"/>
                <w:lang w:val="en-US" w:eastAsia="zh-CN"/>
              </w:rPr>
              <w:t>2</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钢结构，单层构建物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4</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配电间</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28m</w:t>
            </w:r>
            <w:r>
              <w:rPr>
                <w:rFonts w:hint="eastAsia" w:ascii="Times New Roman" w:hAnsi="Times New Roman" w:eastAsia="宋体" w:cs="Times New Roman"/>
                <w:color w:val="auto"/>
                <w:highlight w:val="none"/>
                <w:vertAlign w:val="superscript"/>
                <w:lang w:val="en-US" w:eastAsia="zh-CN"/>
              </w:rPr>
              <w:t>2</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钢结构，单层构建物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5</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预处理车间</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1271.17m</w:t>
            </w:r>
            <w:r>
              <w:rPr>
                <w:rFonts w:hint="eastAsia" w:ascii="Times New Roman" w:hAnsi="Times New Roman" w:eastAsia="宋体" w:cs="Times New Roman"/>
                <w:color w:val="auto"/>
                <w:highlight w:val="none"/>
                <w:vertAlign w:val="superscript"/>
                <w:lang w:val="en-US" w:eastAsia="zh-CN"/>
              </w:rPr>
              <w:t>2</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钢结构，单层构建物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5.1</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进水池</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5.8</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3.7</w:t>
            </w:r>
            <w:r>
              <w:rPr>
                <w:rFonts w:hint="eastAsia" w:ascii="Times New Roman" w:hAnsi="Times New Roman" w:eastAsia="宋体" w:cs="Times New Roman"/>
                <w:color w:val="auto"/>
                <w:highlight w:val="none"/>
                <w:vertAlign w:val="baseline"/>
                <w:lang w:val="en-US" w:eastAsia="zh-CN"/>
              </w:rPr>
              <w:t>m</w:t>
            </w:r>
            <w:r>
              <w:rPr>
                <w:rFonts w:hint="eastAsia" w:cs="Times New Roman"/>
                <w:color w:val="auto"/>
                <w:highlight w:val="none"/>
                <w:vertAlign w:val="baseline"/>
                <w:lang w:val="en-US" w:eastAsia="zh-CN"/>
              </w:rPr>
              <w:t>，平均深度2.7m，容积58m</w:t>
            </w:r>
            <w:r>
              <w:rPr>
                <w:rFonts w:hint="eastAsia" w:cs="Times New Roman"/>
                <w:color w:val="auto"/>
                <w:highlight w:val="none"/>
                <w:vertAlign w:val="superscript"/>
                <w:lang w:val="en-US" w:eastAsia="zh-CN"/>
              </w:rPr>
              <w:t>3</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5.</w:t>
            </w:r>
            <w:r>
              <w:rPr>
                <w:rFonts w:hint="eastAsia" w:cs="Times New Roman"/>
                <w:color w:val="auto"/>
                <w:highlight w:val="none"/>
                <w:vertAlign w:val="baseline"/>
                <w:lang w:val="en-US" w:eastAsia="zh-CN"/>
              </w:rPr>
              <w:t>2</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隔油沉沙池</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5.8</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21.6</w:t>
            </w:r>
            <w:r>
              <w:rPr>
                <w:rFonts w:hint="eastAsia" w:ascii="Times New Roman" w:hAnsi="Times New Roman" w:eastAsia="宋体" w:cs="Times New Roman"/>
                <w:color w:val="auto"/>
                <w:highlight w:val="none"/>
                <w:vertAlign w:val="baseline"/>
                <w:lang w:val="en-US" w:eastAsia="zh-CN"/>
              </w:rPr>
              <w:t>m</w:t>
            </w:r>
            <w:r>
              <w:rPr>
                <w:rFonts w:hint="eastAsia" w:cs="Times New Roman"/>
                <w:color w:val="auto"/>
                <w:highlight w:val="none"/>
                <w:vertAlign w:val="baseline"/>
                <w:lang w:val="en-US" w:eastAsia="zh-CN"/>
              </w:rPr>
              <w:t>，平均深度2.2m，容积280m</w:t>
            </w:r>
            <w:r>
              <w:rPr>
                <w:rFonts w:hint="eastAsia" w:cs="Times New Roman"/>
                <w:color w:val="auto"/>
                <w:highlight w:val="none"/>
                <w:vertAlign w:val="superscript"/>
                <w:lang w:val="en-US" w:eastAsia="zh-CN"/>
              </w:rPr>
              <w:t>3</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sz w:val="21"/>
                <w:szCs w:val="21"/>
                <w:highlight w:val="none"/>
                <w:vertAlign w:val="baseline"/>
                <w:lang w:val="en-US" w:eastAsia="zh-CN"/>
              </w:rPr>
              <w:t>钢筋混凝土，池壁及池底重点防渗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5.</w:t>
            </w:r>
            <w:r>
              <w:rPr>
                <w:rFonts w:hint="eastAsia" w:cs="Times New Roman"/>
                <w:color w:val="auto"/>
                <w:highlight w:val="none"/>
                <w:vertAlign w:val="baseline"/>
                <w:lang w:val="en-US" w:eastAsia="zh-CN"/>
              </w:rPr>
              <w:t>3</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混凝</w:t>
            </w:r>
            <w:r>
              <w:rPr>
                <w:rFonts w:hint="eastAsia" w:ascii="Times New Roman" w:hAnsi="Times New Roman" w:eastAsia="宋体" w:cs="Times New Roman"/>
                <w:color w:val="auto"/>
                <w:highlight w:val="none"/>
                <w:vertAlign w:val="baseline"/>
                <w:lang w:val="en-US" w:eastAsia="zh-CN"/>
              </w:rPr>
              <w:t>池</w:t>
            </w:r>
            <w:r>
              <w:rPr>
                <w:rFonts w:hint="eastAsia" w:cs="Times New Roman"/>
                <w:color w:val="auto"/>
                <w:highlight w:val="none"/>
                <w:vertAlign w:val="baseline"/>
                <w:lang w:val="en-US" w:eastAsia="zh-CN"/>
              </w:rPr>
              <w:t>1#</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lang w:val="en-US" w:eastAsia="zh-CN"/>
              </w:rPr>
              <w:t>3.2</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3.15</w:t>
            </w:r>
            <w:r>
              <w:rPr>
                <w:rFonts w:hint="eastAsia" w:ascii="Times New Roman" w:hAnsi="Times New Roman" w:eastAsia="宋体" w:cs="Times New Roman"/>
                <w:color w:val="auto"/>
                <w:highlight w:val="none"/>
                <w:vertAlign w:val="baseline"/>
                <w:lang w:val="en-US" w:eastAsia="zh-CN"/>
              </w:rPr>
              <w:t>m</w:t>
            </w:r>
            <w:r>
              <w:rPr>
                <w:rFonts w:hint="eastAsia" w:cs="Times New Roman"/>
                <w:color w:val="auto"/>
                <w:highlight w:val="none"/>
                <w:lang w:val="en-US" w:eastAsia="zh-CN"/>
              </w:rPr>
              <w:t>，</w:t>
            </w:r>
            <w:r>
              <w:rPr>
                <w:rFonts w:hint="eastAsia" w:cs="Times New Roman"/>
                <w:color w:val="auto"/>
                <w:highlight w:val="none"/>
                <w:vertAlign w:val="baseline"/>
                <w:lang w:val="en-US" w:eastAsia="zh-CN"/>
              </w:rPr>
              <w:t>平均深度2.2m</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sz w:val="21"/>
                <w:szCs w:val="21"/>
                <w:highlight w:val="none"/>
                <w:vertAlign w:val="baseline"/>
                <w:lang w:val="en-US" w:eastAsia="zh-CN"/>
              </w:rPr>
              <w:t>钢筋混凝土，池壁及池底重点防渗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5.4</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絮凝</w:t>
            </w:r>
            <w:r>
              <w:rPr>
                <w:rFonts w:hint="eastAsia" w:ascii="Times New Roman" w:hAnsi="Times New Roman" w:eastAsia="宋体" w:cs="Times New Roman"/>
                <w:color w:val="auto"/>
                <w:highlight w:val="none"/>
                <w:vertAlign w:val="baseline"/>
                <w:lang w:val="en-US" w:eastAsia="zh-CN"/>
              </w:rPr>
              <w:t>池</w:t>
            </w:r>
            <w:r>
              <w:rPr>
                <w:rFonts w:hint="eastAsia" w:cs="Times New Roman"/>
                <w:color w:val="auto"/>
                <w:highlight w:val="none"/>
                <w:vertAlign w:val="baseline"/>
                <w:lang w:val="en-US" w:eastAsia="zh-CN"/>
              </w:rPr>
              <w:t>1-1#</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lang w:val="en-US" w:eastAsia="zh-CN"/>
              </w:rPr>
            </w:pPr>
            <w:r>
              <w:rPr>
                <w:rFonts w:hint="eastAsia" w:cs="Times New Roman"/>
                <w:color w:val="auto"/>
                <w:highlight w:val="none"/>
                <w:lang w:val="en-US" w:eastAsia="zh-CN"/>
              </w:rPr>
              <w:t>3.2</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3.15</w:t>
            </w:r>
            <w:r>
              <w:rPr>
                <w:rFonts w:hint="eastAsia" w:ascii="Times New Roman" w:hAnsi="Times New Roman" w:eastAsia="宋体" w:cs="Times New Roman"/>
                <w:color w:val="auto"/>
                <w:highlight w:val="none"/>
                <w:vertAlign w:val="baseline"/>
                <w:lang w:val="en-US" w:eastAsia="zh-CN"/>
              </w:rPr>
              <w:t>m</w:t>
            </w:r>
            <w:r>
              <w:rPr>
                <w:rFonts w:hint="eastAsia" w:cs="Times New Roman"/>
                <w:color w:val="auto"/>
                <w:highlight w:val="none"/>
                <w:lang w:val="en-US" w:eastAsia="zh-CN"/>
              </w:rPr>
              <w:t>，</w:t>
            </w:r>
            <w:r>
              <w:rPr>
                <w:rFonts w:hint="eastAsia" w:cs="Times New Roman"/>
                <w:color w:val="auto"/>
                <w:highlight w:val="none"/>
                <w:vertAlign w:val="baseline"/>
                <w:lang w:val="en-US" w:eastAsia="zh-CN"/>
              </w:rPr>
              <w:t>平均深度2.2m</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钢筋混凝土，池壁及池底重点防渗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5.5</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絮凝</w:t>
            </w:r>
            <w:r>
              <w:rPr>
                <w:rFonts w:hint="eastAsia" w:ascii="Times New Roman" w:hAnsi="Times New Roman" w:eastAsia="宋体" w:cs="Times New Roman"/>
                <w:color w:val="auto"/>
                <w:highlight w:val="none"/>
                <w:vertAlign w:val="baseline"/>
                <w:lang w:val="en-US" w:eastAsia="zh-CN"/>
              </w:rPr>
              <w:t>池</w:t>
            </w:r>
            <w:r>
              <w:rPr>
                <w:rFonts w:hint="eastAsia" w:cs="Times New Roman"/>
                <w:color w:val="auto"/>
                <w:highlight w:val="none"/>
                <w:vertAlign w:val="baseline"/>
                <w:lang w:val="en-US" w:eastAsia="zh-CN"/>
              </w:rPr>
              <w:t>1-2#</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lang w:val="en-US" w:eastAsia="zh-CN"/>
              </w:rPr>
            </w:pPr>
            <w:r>
              <w:rPr>
                <w:rFonts w:hint="eastAsia" w:cs="Times New Roman"/>
                <w:color w:val="auto"/>
                <w:highlight w:val="none"/>
                <w:lang w:val="en-US" w:eastAsia="zh-CN"/>
              </w:rPr>
              <w:t>3.2</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3.15</w:t>
            </w:r>
            <w:r>
              <w:rPr>
                <w:rFonts w:hint="eastAsia" w:ascii="Times New Roman" w:hAnsi="Times New Roman" w:eastAsia="宋体" w:cs="Times New Roman"/>
                <w:color w:val="auto"/>
                <w:highlight w:val="none"/>
                <w:vertAlign w:val="baseline"/>
                <w:lang w:val="en-US" w:eastAsia="zh-CN"/>
              </w:rPr>
              <w:t>m</w:t>
            </w:r>
            <w:r>
              <w:rPr>
                <w:rFonts w:hint="eastAsia" w:cs="Times New Roman"/>
                <w:color w:val="auto"/>
                <w:highlight w:val="none"/>
                <w:lang w:val="en-US" w:eastAsia="zh-CN"/>
              </w:rPr>
              <w:t>，</w:t>
            </w:r>
            <w:r>
              <w:rPr>
                <w:rFonts w:hint="eastAsia" w:cs="Times New Roman"/>
                <w:color w:val="auto"/>
                <w:highlight w:val="none"/>
                <w:vertAlign w:val="baseline"/>
                <w:lang w:val="en-US" w:eastAsia="zh-CN"/>
              </w:rPr>
              <w:t>平均深度2.2m</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钢筋混凝土，池壁及池底重点防渗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5.6</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絮凝</w:t>
            </w:r>
            <w:r>
              <w:rPr>
                <w:rFonts w:hint="eastAsia" w:ascii="Times New Roman" w:hAnsi="Times New Roman" w:eastAsia="宋体" w:cs="Times New Roman"/>
                <w:color w:val="auto"/>
                <w:highlight w:val="none"/>
                <w:vertAlign w:val="baseline"/>
                <w:lang w:val="en-US" w:eastAsia="zh-CN"/>
              </w:rPr>
              <w:t>池</w:t>
            </w:r>
            <w:r>
              <w:rPr>
                <w:rFonts w:hint="eastAsia" w:cs="Times New Roman"/>
                <w:color w:val="auto"/>
                <w:highlight w:val="none"/>
                <w:vertAlign w:val="baseline"/>
                <w:lang w:val="en-US" w:eastAsia="zh-CN"/>
              </w:rPr>
              <w:t>1-3#</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lang w:val="en-US" w:eastAsia="zh-CN"/>
              </w:rPr>
            </w:pPr>
            <w:r>
              <w:rPr>
                <w:rFonts w:hint="eastAsia" w:cs="Times New Roman"/>
                <w:color w:val="auto"/>
                <w:highlight w:val="none"/>
                <w:lang w:val="en-US" w:eastAsia="zh-CN"/>
              </w:rPr>
              <w:t>3.2</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3.15</w:t>
            </w:r>
            <w:r>
              <w:rPr>
                <w:rFonts w:hint="eastAsia" w:ascii="Times New Roman" w:hAnsi="Times New Roman" w:eastAsia="宋体" w:cs="Times New Roman"/>
                <w:color w:val="auto"/>
                <w:highlight w:val="none"/>
                <w:vertAlign w:val="baseline"/>
                <w:lang w:val="en-US" w:eastAsia="zh-CN"/>
              </w:rPr>
              <w:t>m</w:t>
            </w:r>
            <w:r>
              <w:rPr>
                <w:rFonts w:hint="eastAsia" w:cs="Times New Roman"/>
                <w:color w:val="auto"/>
                <w:highlight w:val="none"/>
                <w:lang w:val="en-US" w:eastAsia="zh-CN"/>
              </w:rPr>
              <w:t>，</w:t>
            </w:r>
            <w:r>
              <w:rPr>
                <w:rFonts w:hint="eastAsia" w:cs="Times New Roman"/>
                <w:color w:val="auto"/>
                <w:highlight w:val="none"/>
                <w:vertAlign w:val="baseline"/>
                <w:lang w:val="en-US" w:eastAsia="zh-CN"/>
              </w:rPr>
              <w:t>平均深度2.2m</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钢筋混凝土，池壁及池底重点防渗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5.7</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沉淀池</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lang w:val="en-US" w:eastAsia="zh-CN"/>
              </w:rPr>
            </w:pPr>
            <w:r>
              <w:rPr>
                <w:rFonts w:hint="eastAsia" w:cs="Times New Roman"/>
                <w:color w:val="auto"/>
                <w:highlight w:val="none"/>
                <w:lang w:val="en-US" w:eastAsia="zh-CN"/>
              </w:rPr>
              <w:t>7.5</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22.5</w:t>
            </w:r>
            <w:r>
              <w:rPr>
                <w:rFonts w:hint="eastAsia" w:ascii="Times New Roman" w:hAnsi="Times New Roman" w:eastAsia="宋体" w:cs="Times New Roman"/>
                <w:color w:val="auto"/>
                <w:highlight w:val="none"/>
                <w:vertAlign w:val="baseline"/>
                <w:lang w:val="en-US" w:eastAsia="zh-CN"/>
              </w:rPr>
              <w:t>m</w:t>
            </w:r>
            <w:r>
              <w:rPr>
                <w:rFonts w:hint="eastAsia" w:cs="Times New Roman"/>
                <w:color w:val="auto"/>
                <w:highlight w:val="none"/>
                <w:vertAlign w:val="baseline"/>
                <w:lang w:val="en-US" w:eastAsia="zh-CN"/>
              </w:rPr>
              <w:t>，平均深度3.4m，容积570m</w:t>
            </w:r>
            <w:r>
              <w:rPr>
                <w:rFonts w:hint="eastAsia" w:cs="Times New Roman"/>
                <w:color w:val="auto"/>
                <w:highlight w:val="none"/>
                <w:vertAlign w:val="superscript"/>
                <w:lang w:val="en-US" w:eastAsia="zh-CN"/>
              </w:rPr>
              <w:t>3</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钢筋混凝土，池壁及池底重点防渗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5.8</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混凝</w:t>
            </w:r>
            <w:r>
              <w:rPr>
                <w:rFonts w:hint="eastAsia" w:ascii="Times New Roman" w:hAnsi="Times New Roman" w:eastAsia="宋体" w:cs="Times New Roman"/>
                <w:color w:val="auto"/>
                <w:highlight w:val="none"/>
                <w:vertAlign w:val="baseline"/>
                <w:lang w:val="en-US" w:eastAsia="zh-CN"/>
              </w:rPr>
              <w:t>池</w:t>
            </w:r>
            <w:r>
              <w:rPr>
                <w:rFonts w:hint="eastAsia" w:cs="Times New Roman"/>
                <w:color w:val="auto"/>
                <w:highlight w:val="none"/>
                <w:vertAlign w:val="baseline"/>
                <w:lang w:val="en-US" w:eastAsia="zh-CN"/>
              </w:rPr>
              <w:t>2#</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lang w:val="en-US" w:eastAsia="zh-CN"/>
              </w:rPr>
            </w:pPr>
            <w:r>
              <w:rPr>
                <w:rFonts w:hint="eastAsia" w:cs="Times New Roman"/>
                <w:color w:val="auto"/>
                <w:highlight w:val="none"/>
                <w:lang w:val="en-US" w:eastAsia="zh-CN"/>
              </w:rPr>
              <w:t>7.5</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2.2</w:t>
            </w:r>
            <w:r>
              <w:rPr>
                <w:rFonts w:hint="eastAsia" w:ascii="Times New Roman" w:hAnsi="Times New Roman" w:eastAsia="宋体" w:cs="Times New Roman"/>
                <w:color w:val="auto"/>
                <w:highlight w:val="none"/>
                <w:vertAlign w:val="baseline"/>
                <w:lang w:val="en-US" w:eastAsia="zh-CN"/>
              </w:rPr>
              <w:t>m</w:t>
            </w:r>
            <w:r>
              <w:rPr>
                <w:rFonts w:hint="eastAsia" w:cs="Times New Roman"/>
                <w:color w:val="auto"/>
                <w:highlight w:val="none"/>
                <w:vertAlign w:val="baseline"/>
                <w:lang w:val="en-US" w:eastAsia="zh-CN"/>
              </w:rPr>
              <w:t>，平均深度2.2m</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钢筋混凝土，池壁及池底重点防渗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5.9</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絮凝</w:t>
            </w:r>
            <w:r>
              <w:rPr>
                <w:rFonts w:hint="eastAsia" w:ascii="Times New Roman" w:hAnsi="Times New Roman" w:eastAsia="宋体" w:cs="Times New Roman"/>
                <w:color w:val="auto"/>
                <w:highlight w:val="none"/>
                <w:vertAlign w:val="baseline"/>
                <w:lang w:val="en-US" w:eastAsia="zh-CN"/>
              </w:rPr>
              <w:t>池</w:t>
            </w:r>
            <w:r>
              <w:rPr>
                <w:rFonts w:hint="eastAsia" w:cs="Times New Roman"/>
                <w:color w:val="auto"/>
                <w:highlight w:val="none"/>
                <w:vertAlign w:val="baseline"/>
                <w:lang w:val="en-US" w:eastAsia="zh-CN"/>
              </w:rPr>
              <w:t>2#</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lang w:val="en-US" w:eastAsia="zh-CN"/>
              </w:rPr>
            </w:pPr>
            <w:r>
              <w:rPr>
                <w:rFonts w:hint="eastAsia" w:cs="Times New Roman"/>
                <w:color w:val="auto"/>
                <w:highlight w:val="none"/>
                <w:lang w:val="en-US" w:eastAsia="zh-CN"/>
              </w:rPr>
              <w:t>7.5</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2.2</w:t>
            </w:r>
            <w:r>
              <w:rPr>
                <w:rFonts w:hint="eastAsia" w:ascii="Times New Roman" w:hAnsi="Times New Roman" w:eastAsia="宋体" w:cs="Times New Roman"/>
                <w:color w:val="auto"/>
                <w:highlight w:val="none"/>
                <w:vertAlign w:val="baseline"/>
                <w:lang w:val="en-US" w:eastAsia="zh-CN"/>
              </w:rPr>
              <w:t>m</w:t>
            </w:r>
            <w:r>
              <w:rPr>
                <w:rFonts w:hint="eastAsia" w:cs="Times New Roman"/>
                <w:color w:val="auto"/>
                <w:highlight w:val="none"/>
                <w:vertAlign w:val="baseline"/>
                <w:lang w:val="en-US" w:eastAsia="zh-CN"/>
              </w:rPr>
              <w:t>，平均深度2.2m</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钢筋混凝土，池壁及池底重点防渗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94" w:hRule="atLeast"/>
        </w:trPr>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5.10</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涡凹反应池</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lang w:val="en-US" w:eastAsia="zh-CN"/>
              </w:rPr>
            </w:pPr>
            <w:r>
              <w:rPr>
                <w:rFonts w:hint="eastAsia" w:cs="Times New Roman"/>
                <w:color w:val="auto"/>
                <w:highlight w:val="none"/>
                <w:lang w:val="en-US" w:eastAsia="zh-CN"/>
              </w:rPr>
              <w:t>5.1</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3.5</w:t>
            </w:r>
            <w:r>
              <w:rPr>
                <w:rFonts w:hint="eastAsia" w:ascii="Times New Roman" w:hAnsi="Times New Roman" w:eastAsia="宋体" w:cs="Times New Roman"/>
                <w:color w:val="auto"/>
                <w:highlight w:val="none"/>
                <w:vertAlign w:val="baseline"/>
                <w:lang w:val="en-US" w:eastAsia="zh-CN"/>
              </w:rPr>
              <w:t>m</w:t>
            </w:r>
            <w:r>
              <w:rPr>
                <w:rFonts w:hint="eastAsia" w:cs="Times New Roman"/>
                <w:color w:val="auto"/>
                <w:highlight w:val="none"/>
                <w:vertAlign w:val="baseline"/>
                <w:lang w:val="en-US" w:eastAsia="zh-CN"/>
              </w:rPr>
              <w:t>，平均深度2.2m</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钢筋混凝土，池壁及池底重点防渗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5.11</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涡凹气浮刮渣池</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lang w:val="en-US" w:eastAsia="zh-CN"/>
              </w:rPr>
            </w:pPr>
            <w:r>
              <w:rPr>
                <w:rFonts w:hint="eastAsia" w:cs="Times New Roman"/>
                <w:color w:val="auto"/>
                <w:highlight w:val="none"/>
                <w:lang w:val="en-US" w:eastAsia="zh-CN"/>
              </w:rPr>
              <w:t>5.8</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5.7</w:t>
            </w:r>
            <w:r>
              <w:rPr>
                <w:rFonts w:hint="eastAsia" w:ascii="Times New Roman" w:hAnsi="Times New Roman" w:eastAsia="宋体" w:cs="Times New Roman"/>
                <w:color w:val="auto"/>
                <w:highlight w:val="none"/>
                <w:vertAlign w:val="baseline"/>
                <w:lang w:val="en-US" w:eastAsia="zh-CN"/>
              </w:rPr>
              <w:t>m</w:t>
            </w:r>
            <w:r>
              <w:rPr>
                <w:rFonts w:hint="eastAsia" w:cs="Times New Roman"/>
                <w:color w:val="auto"/>
                <w:highlight w:val="none"/>
                <w:vertAlign w:val="baseline"/>
                <w:lang w:val="en-US" w:eastAsia="zh-CN"/>
              </w:rPr>
              <w:t>，平均深度6m，容积195m</w:t>
            </w:r>
            <w:r>
              <w:rPr>
                <w:rFonts w:hint="eastAsia" w:cs="Times New Roman"/>
                <w:color w:val="auto"/>
                <w:highlight w:val="none"/>
                <w:vertAlign w:val="superscript"/>
                <w:lang w:val="en-US" w:eastAsia="zh-CN"/>
              </w:rPr>
              <w:t>3</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钢筋混凝土，池壁及池底重点防渗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5.12</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外排水池</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lang w:val="en-US" w:eastAsia="zh-CN"/>
              </w:rPr>
            </w:pPr>
            <w:r>
              <w:rPr>
                <w:rFonts w:hint="eastAsia" w:cs="Times New Roman"/>
                <w:color w:val="auto"/>
                <w:highlight w:val="none"/>
                <w:lang w:val="en-US" w:eastAsia="zh-CN"/>
              </w:rPr>
              <w:t>5.8</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9.9</w:t>
            </w:r>
            <w:r>
              <w:rPr>
                <w:rFonts w:hint="eastAsia" w:ascii="Times New Roman" w:hAnsi="Times New Roman" w:eastAsia="宋体" w:cs="Times New Roman"/>
                <w:color w:val="auto"/>
                <w:highlight w:val="none"/>
                <w:vertAlign w:val="baseline"/>
                <w:lang w:val="en-US" w:eastAsia="zh-CN"/>
              </w:rPr>
              <w:t>m</w:t>
            </w:r>
            <w:r>
              <w:rPr>
                <w:rFonts w:hint="eastAsia" w:cs="Times New Roman"/>
                <w:color w:val="auto"/>
                <w:highlight w:val="none"/>
                <w:vertAlign w:val="baseline"/>
                <w:lang w:val="en-US" w:eastAsia="zh-CN"/>
              </w:rPr>
              <w:t>，平均深度2.7m</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钢筋混凝土，池壁及池底重点防渗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5.13</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储油池</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lang w:val="en-US" w:eastAsia="zh-CN"/>
              </w:rPr>
            </w:pPr>
            <w:r>
              <w:rPr>
                <w:rFonts w:hint="eastAsia" w:cs="Times New Roman"/>
                <w:color w:val="auto"/>
                <w:highlight w:val="none"/>
                <w:lang w:val="en-US" w:eastAsia="zh-CN"/>
              </w:rPr>
              <w:t>13.9m×4m×1.9m</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钢筋混凝土，池壁及池底重点防渗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5.14</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储泥池</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lang w:val="en-US" w:eastAsia="zh-CN"/>
              </w:rPr>
            </w:pPr>
            <w:r>
              <w:rPr>
                <w:rFonts w:hint="eastAsia" w:cs="Times New Roman"/>
                <w:color w:val="auto"/>
                <w:highlight w:val="none"/>
                <w:lang w:val="en-US" w:eastAsia="zh-CN"/>
              </w:rPr>
              <w:t>4.16m×3.77m×1.9m</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钢筋混凝土，池壁及池底重点防渗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6</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卸车平台</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105m</w:t>
            </w:r>
            <w:r>
              <w:rPr>
                <w:rFonts w:hint="eastAsia" w:ascii="Times New Roman" w:hAnsi="Times New Roman" w:eastAsia="宋体" w:cs="Times New Roman"/>
                <w:color w:val="auto"/>
                <w:highlight w:val="none"/>
                <w:vertAlign w:val="superscript"/>
                <w:lang w:val="en-US" w:eastAsia="zh-CN"/>
              </w:rPr>
              <w:t>2</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钢结构，单层构建物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6.1</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卸料槽子</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12</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×8.5</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×0.8</w:t>
            </w:r>
            <w:r>
              <w:rPr>
                <w:rFonts w:hint="eastAsia" w:ascii="Times New Roman" w:hAnsi="Times New Roman" w:eastAsia="宋体" w:cs="Times New Roman"/>
                <w:color w:val="auto"/>
                <w:highlight w:val="none"/>
                <w:vertAlign w:val="baseline"/>
                <w:lang w:val="en-US" w:eastAsia="zh-CN"/>
              </w:rPr>
              <w:t>m</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6.2</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均质池</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12</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×7.5</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×1.5</w:t>
            </w:r>
            <w:r>
              <w:rPr>
                <w:rFonts w:hint="eastAsia" w:ascii="Times New Roman" w:hAnsi="Times New Roman" w:eastAsia="宋体" w:cs="Times New Roman"/>
                <w:color w:val="auto"/>
                <w:highlight w:val="none"/>
                <w:vertAlign w:val="baseline"/>
                <w:lang w:val="en-US" w:eastAsia="zh-CN"/>
              </w:rPr>
              <w:t>m</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地下储池</w:t>
            </w:r>
            <w:r>
              <w:rPr>
                <w:rFonts w:hint="eastAsia" w:cs="Times New Roman"/>
                <w:color w:val="auto"/>
                <w:highlight w:val="none"/>
                <w:vertAlign w:val="baseline"/>
                <w:lang w:val="en-US" w:eastAsia="zh-CN"/>
              </w:rPr>
              <w:t>，</w:t>
            </w:r>
            <w:r>
              <w:rPr>
                <w:rFonts w:hint="eastAsia" w:cs="Times New Roman"/>
                <w:color w:val="auto"/>
                <w:sz w:val="21"/>
                <w:szCs w:val="21"/>
                <w:highlight w:val="none"/>
                <w:vertAlign w:val="baseline"/>
                <w:lang w:val="en-US" w:eastAsia="zh-CN"/>
              </w:rPr>
              <w:t>钢筋混凝土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7</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值班室</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51.51m</w:t>
            </w:r>
            <w:r>
              <w:rPr>
                <w:rFonts w:hint="eastAsia" w:ascii="Times New Roman" w:hAnsi="Times New Roman" w:eastAsia="宋体" w:cs="Times New Roman"/>
                <w:color w:val="auto"/>
                <w:highlight w:val="none"/>
                <w:vertAlign w:val="superscript"/>
                <w:lang w:val="en-US" w:eastAsia="zh-CN"/>
              </w:rPr>
              <w:t>2</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钢结构，单层构建物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8</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污油储罐区</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100m</w:t>
            </w:r>
            <w:r>
              <w:rPr>
                <w:rFonts w:hint="eastAsia" w:ascii="Times New Roman" w:hAnsi="Times New Roman" w:eastAsia="宋体" w:cs="Times New Roman"/>
                <w:color w:val="auto"/>
                <w:highlight w:val="none"/>
                <w:vertAlign w:val="superscript"/>
                <w:lang w:val="en-US" w:eastAsia="zh-CN"/>
              </w:rPr>
              <w:t>2</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直径8.8m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9</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危废暂存间</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200m</w:t>
            </w:r>
            <w:r>
              <w:rPr>
                <w:rFonts w:hint="eastAsia" w:ascii="Times New Roman" w:hAnsi="Times New Roman" w:eastAsia="宋体" w:cs="Times New Roman"/>
                <w:color w:val="auto"/>
                <w:highlight w:val="none"/>
                <w:vertAlign w:val="superscript"/>
                <w:lang w:val="en-US" w:eastAsia="zh-CN"/>
              </w:rPr>
              <w:t>2</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钢结构，单层构建物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10</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消防水罐区</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100m</w:t>
            </w:r>
            <w:r>
              <w:rPr>
                <w:rFonts w:hint="eastAsia" w:ascii="Times New Roman" w:hAnsi="Times New Roman" w:eastAsia="宋体" w:cs="Times New Roman"/>
                <w:color w:val="auto"/>
                <w:highlight w:val="none"/>
                <w:vertAlign w:val="superscript"/>
                <w:lang w:val="en-US" w:eastAsia="zh-CN"/>
              </w:rPr>
              <w:t>2</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直径9m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11</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储液池1#</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底面积：21240.27m</w:t>
            </w:r>
            <w:r>
              <w:rPr>
                <w:rFonts w:hint="eastAsia" w:ascii="Times New Roman" w:hAnsi="Times New Roman" w:eastAsia="宋体" w:cs="Times New Roman"/>
                <w:color w:val="auto"/>
                <w:highlight w:val="none"/>
                <w:vertAlign w:val="superscript"/>
                <w:lang w:val="en-US" w:eastAsia="zh-CN"/>
              </w:rPr>
              <w:t>2</w:t>
            </w:r>
            <w:r>
              <w:rPr>
                <w:rFonts w:hint="eastAsia" w:ascii="Times New Roman" w:hAnsi="Times New Roman" w:eastAsia="宋体" w:cs="Times New Roman"/>
                <w:color w:val="auto"/>
                <w:highlight w:val="none"/>
                <w:vertAlign w:val="baseline"/>
                <w:lang w:val="en-US" w:eastAsia="zh-CN"/>
              </w:rPr>
              <w:t>，顶面积：29302.65m</w:t>
            </w:r>
            <w:r>
              <w:rPr>
                <w:rFonts w:hint="eastAsia" w:ascii="Times New Roman" w:hAnsi="Times New Roman" w:eastAsia="宋体" w:cs="Times New Roman"/>
                <w:color w:val="auto"/>
                <w:highlight w:val="none"/>
                <w:vertAlign w:val="superscript"/>
                <w:lang w:val="en-US" w:eastAsia="zh-CN"/>
              </w:rPr>
              <w:t>2</w:t>
            </w:r>
            <w:r>
              <w:rPr>
                <w:rFonts w:hint="eastAsia" w:ascii="Times New Roman" w:hAnsi="Times New Roman" w:eastAsia="宋体" w:cs="Times New Roman"/>
                <w:color w:val="auto"/>
                <w:highlight w:val="none"/>
                <w:vertAlign w:val="baseline"/>
                <w:lang w:val="en-US" w:eastAsia="zh-CN"/>
              </w:rPr>
              <w:t>，</w:t>
            </w:r>
            <w:r>
              <w:rPr>
                <w:rFonts w:hint="eastAsia" w:cs="Times New Roman"/>
                <w:color w:val="auto"/>
                <w:highlight w:val="none"/>
                <w:lang w:val="en-US" w:eastAsia="zh-CN"/>
              </w:rPr>
              <w:t>容积90168m</w:t>
            </w:r>
            <w:r>
              <w:rPr>
                <w:rFonts w:hint="eastAsia" w:cs="Times New Roman"/>
                <w:color w:val="auto"/>
                <w:highlight w:val="none"/>
                <w:vertAlign w:val="superscript"/>
                <w:lang w:val="en-US" w:eastAsia="zh-CN"/>
              </w:rPr>
              <w:t>3</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平均挖深</w:t>
            </w:r>
            <w:r>
              <w:rPr>
                <w:rFonts w:hint="eastAsia" w:cs="Times New Roman"/>
                <w:color w:val="auto"/>
                <w:highlight w:val="none"/>
                <w:vertAlign w:val="baseline"/>
                <w:lang w:val="en-US" w:eastAsia="zh-CN"/>
              </w:rPr>
              <w:t>4</w:t>
            </w:r>
            <w:r>
              <w:rPr>
                <w:rFonts w:hint="eastAsia" w:ascii="Times New Roman" w:hAnsi="Times New Roman" w:eastAsia="宋体" w:cs="Times New Roman"/>
                <w:color w:val="auto"/>
                <w:highlight w:val="none"/>
                <w:vertAlign w:val="baseline"/>
                <w:lang w:val="en-US" w:eastAsia="zh-CN"/>
              </w:rPr>
              <w:t>m</w:t>
            </w:r>
            <w:r>
              <w:rPr>
                <w:rFonts w:hint="eastAsia" w:cs="Times New Roman"/>
                <w:color w:val="auto"/>
                <w:highlight w:val="none"/>
                <w:vertAlign w:val="baseline"/>
                <w:lang w:val="en-US" w:eastAsia="zh-CN"/>
              </w:rPr>
              <w:t>，</w:t>
            </w:r>
            <w:r>
              <w:rPr>
                <w:rFonts w:hint="eastAsia" w:cs="Times New Roman"/>
                <w:color w:val="auto"/>
                <w:sz w:val="21"/>
                <w:szCs w:val="21"/>
                <w:highlight w:val="none"/>
                <w:vertAlign w:val="baseline"/>
                <w:lang w:val="en-US" w:eastAsia="zh-CN"/>
              </w:rPr>
              <w:t>钢筋混凝土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12</w:t>
            </w:r>
          </w:p>
        </w:tc>
        <w:tc>
          <w:tcPr>
            <w:tcW w:w="20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储液池2#</w:t>
            </w:r>
          </w:p>
        </w:tc>
        <w:tc>
          <w:tcPr>
            <w:tcW w:w="24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底面积：12475.44m</w:t>
            </w:r>
            <w:r>
              <w:rPr>
                <w:rFonts w:hint="eastAsia" w:ascii="Times New Roman" w:hAnsi="Times New Roman" w:eastAsia="宋体" w:cs="Times New Roman"/>
                <w:color w:val="auto"/>
                <w:highlight w:val="none"/>
                <w:vertAlign w:val="superscript"/>
                <w:lang w:val="en-US" w:eastAsia="zh-CN"/>
              </w:rPr>
              <w:t>2</w:t>
            </w:r>
            <w:r>
              <w:rPr>
                <w:rFonts w:hint="eastAsia" w:ascii="Times New Roman" w:hAnsi="Times New Roman" w:eastAsia="宋体" w:cs="Times New Roman"/>
                <w:color w:val="auto"/>
                <w:highlight w:val="none"/>
                <w:vertAlign w:val="baseline"/>
                <w:lang w:val="en-US" w:eastAsia="zh-CN"/>
              </w:rPr>
              <w:t>，顶面积：17390.02m</w:t>
            </w:r>
            <w:r>
              <w:rPr>
                <w:rFonts w:hint="eastAsia" w:ascii="Times New Roman" w:hAnsi="Times New Roman" w:eastAsia="宋体" w:cs="Times New Roman"/>
                <w:color w:val="auto"/>
                <w:highlight w:val="none"/>
                <w:vertAlign w:val="superscript"/>
                <w:lang w:val="en-US" w:eastAsia="zh-CN"/>
              </w:rPr>
              <w:t>2</w:t>
            </w:r>
            <w:r>
              <w:rPr>
                <w:rFonts w:hint="eastAsia" w:ascii="Times New Roman" w:hAnsi="Times New Roman" w:eastAsia="宋体" w:cs="Times New Roman"/>
                <w:color w:val="auto"/>
                <w:highlight w:val="none"/>
                <w:vertAlign w:val="baseline"/>
                <w:lang w:val="en-US" w:eastAsia="zh-CN"/>
              </w:rPr>
              <w:t>，</w:t>
            </w:r>
            <w:r>
              <w:rPr>
                <w:rFonts w:hint="eastAsia" w:cs="Times New Roman"/>
                <w:color w:val="auto"/>
                <w:highlight w:val="none"/>
                <w:lang w:val="en-US" w:eastAsia="zh-CN"/>
              </w:rPr>
              <w:t>容积50418m</w:t>
            </w:r>
            <w:r>
              <w:rPr>
                <w:rFonts w:hint="eastAsia" w:cs="Times New Roman"/>
                <w:color w:val="auto"/>
                <w:highlight w:val="none"/>
                <w:vertAlign w:val="superscript"/>
                <w:lang w:val="en-US" w:eastAsia="zh-CN"/>
              </w:rPr>
              <w:t>3</w:t>
            </w:r>
          </w:p>
        </w:tc>
        <w:tc>
          <w:tcPr>
            <w:tcW w:w="23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平均挖深</w:t>
            </w:r>
            <w:r>
              <w:rPr>
                <w:rFonts w:hint="eastAsia" w:cs="Times New Roman"/>
                <w:color w:val="auto"/>
                <w:highlight w:val="none"/>
                <w:vertAlign w:val="baseline"/>
                <w:lang w:val="en-US" w:eastAsia="zh-CN"/>
              </w:rPr>
              <w:t>4</w:t>
            </w:r>
            <w:r>
              <w:rPr>
                <w:rFonts w:hint="eastAsia" w:ascii="Times New Roman" w:hAnsi="Times New Roman" w:eastAsia="宋体" w:cs="Times New Roman"/>
                <w:color w:val="auto"/>
                <w:highlight w:val="none"/>
                <w:vertAlign w:val="baseline"/>
                <w:lang w:val="en-US" w:eastAsia="zh-CN"/>
              </w:rPr>
              <w:t>m</w:t>
            </w:r>
            <w:r>
              <w:rPr>
                <w:rFonts w:hint="eastAsia" w:cs="Times New Roman"/>
                <w:color w:val="auto"/>
                <w:highlight w:val="none"/>
                <w:vertAlign w:val="baseline"/>
                <w:lang w:val="en-US" w:eastAsia="zh-CN"/>
              </w:rPr>
              <w:t>，</w:t>
            </w:r>
            <w:r>
              <w:rPr>
                <w:rFonts w:hint="eastAsia" w:cs="Times New Roman"/>
                <w:color w:val="auto"/>
                <w:sz w:val="21"/>
                <w:szCs w:val="21"/>
                <w:highlight w:val="none"/>
                <w:vertAlign w:val="baseline"/>
                <w:lang w:val="en-US" w:eastAsia="zh-CN"/>
              </w:rPr>
              <w:t>钢筋混凝土</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（3）输液管道铺设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本次新建</w:t>
      </w:r>
      <w:r>
        <w:rPr>
          <w:rFonts w:hint="eastAsia" w:cs="Times New Roman"/>
          <w:caps w:val="0"/>
          <w:smallCaps w:val="0"/>
          <w:snapToGrid/>
          <w:color w:val="auto"/>
          <w:spacing w:val="0"/>
          <w:w w:val="100"/>
          <w:kern w:val="0"/>
          <w:sz w:val="24"/>
          <w:szCs w:val="24"/>
          <w:highlight w:val="none"/>
          <w:vertAlign w:val="baseline"/>
          <w:lang w:val="en-US" w:eastAsia="zh-CN" w:bidi="ar-SA"/>
        </w:rPr>
        <w:t>的3条输液管道</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由3#服务站站址西北角出线，由南向北铺设，沿G232国道两侧铺设，分别沿鸭木蛋格</w:t>
      </w:r>
      <w:r>
        <w:rPr>
          <w:rFonts w:hint="eastAsia" w:cs="Times New Roman"/>
          <w:caps w:val="0"/>
          <w:smallCaps w:val="0"/>
          <w:snapToGrid/>
          <w:color w:val="auto"/>
          <w:spacing w:val="0"/>
          <w:w w:val="100"/>
          <w:kern w:val="0"/>
          <w:sz w:val="24"/>
          <w:szCs w:val="24"/>
          <w:highlight w:val="none"/>
          <w:vertAlign w:val="baseline"/>
          <w:lang w:val="en-US" w:eastAsia="zh-CN" w:bidi="ar-SA"/>
        </w:rPr>
        <w:t>屯</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、道宝村、古龙镇外围区域铺设，在经过古龙镇后继续由南向北沿公路铺设途径西葫芦代后，</w:t>
      </w:r>
      <w:r>
        <w:rPr>
          <w:rFonts w:hint="eastAsia" w:cs="Times New Roman"/>
          <w:caps w:val="0"/>
          <w:smallCaps w:val="0"/>
          <w:snapToGrid/>
          <w:color w:val="auto"/>
          <w:spacing w:val="0"/>
          <w:w w:val="100"/>
          <w:kern w:val="0"/>
          <w:sz w:val="24"/>
          <w:szCs w:val="24"/>
          <w:highlight w:val="none"/>
          <w:vertAlign w:val="baseline"/>
          <w:lang w:val="en-US" w:eastAsia="zh-CN" w:bidi="ar-SA"/>
        </w:rPr>
        <w:t>由</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东北侧穿越坑塘</w:t>
      </w:r>
      <w:r>
        <w:rPr>
          <w:rFonts w:hint="eastAsia" w:cs="Times New Roman"/>
          <w:caps w:val="0"/>
          <w:smallCaps w:val="0"/>
          <w:snapToGrid/>
          <w:color w:val="auto"/>
          <w:spacing w:val="0"/>
          <w:w w:val="100"/>
          <w:kern w:val="0"/>
          <w:sz w:val="24"/>
          <w:szCs w:val="24"/>
          <w:highlight w:val="none"/>
          <w:vertAlign w:val="baseline"/>
          <w:lang w:val="en-US" w:eastAsia="zh-CN" w:bidi="ar-SA"/>
        </w:rPr>
        <w:t>水面</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、沟渠铺设至河北村东侧公路处，继续沿公路铺设经大五家子</w:t>
      </w:r>
      <w:r>
        <w:rPr>
          <w:rFonts w:hint="eastAsia" w:cs="Times New Roman"/>
          <w:caps w:val="0"/>
          <w:smallCaps w:val="0"/>
          <w:snapToGrid/>
          <w:color w:val="auto"/>
          <w:spacing w:val="0"/>
          <w:w w:val="100"/>
          <w:kern w:val="0"/>
          <w:sz w:val="24"/>
          <w:szCs w:val="24"/>
          <w:highlight w:val="none"/>
          <w:vertAlign w:val="baseline"/>
          <w:lang w:val="en-US" w:eastAsia="zh-CN" w:bidi="ar-SA"/>
        </w:rPr>
        <w:t>屯</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、经大五家子</w:t>
      </w:r>
      <w:r>
        <w:rPr>
          <w:rFonts w:hint="eastAsia" w:cs="Times New Roman"/>
          <w:caps w:val="0"/>
          <w:smallCaps w:val="0"/>
          <w:snapToGrid/>
          <w:color w:val="auto"/>
          <w:spacing w:val="0"/>
          <w:w w:val="100"/>
          <w:kern w:val="0"/>
          <w:sz w:val="24"/>
          <w:szCs w:val="24"/>
          <w:highlight w:val="none"/>
          <w:vertAlign w:val="baseline"/>
          <w:lang w:val="en-US" w:eastAsia="zh-CN" w:bidi="ar-SA"/>
        </w:rPr>
        <w:t>屯</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东北侧坑塘，由西南角接入风瀚</w:t>
      </w:r>
      <w:r>
        <w:rPr>
          <w:rFonts w:hint="eastAsia" w:cs="Times New Roman"/>
          <w:caps w:val="0"/>
          <w:smallCaps w:val="0"/>
          <w:snapToGrid/>
          <w:color w:val="auto"/>
          <w:spacing w:val="0"/>
          <w:w w:val="100"/>
          <w:kern w:val="0"/>
          <w:sz w:val="24"/>
          <w:szCs w:val="24"/>
          <w:highlight w:val="none"/>
          <w:vertAlign w:val="baseline"/>
          <w:lang w:val="en-US" w:eastAsia="zh-CN" w:bidi="ar-SA"/>
        </w:rPr>
        <w:t>已建的</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2#服务站。</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根据管道铺设区域土地利用现状，主要为耕地、农村宅基地、农村道路，分布着少量坑塘</w:t>
      </w:r>
      <w:r>
        <w:rPr>
          <w:rFonts w:hint="eastAsia" w:cs="Times New Roman"/>
          <w:caps w:val="0"/>
          <w:smallCaps w:val="0"/>
          <w:snapToGrid/>
          <w:color w:val="auto"/>
          <w:spacing w:val="0"/>
          <w:w w:val="100"/>
          <w:kern w:val="0"/>
          <w:sz w:val="24"/>
          <w:szCs w:val="24"/>
          <w:highlight w:val="none"/>
          <w:vertAlign w:val="baseline"/>
          <w:lang w:val="en-US" w:eastAsia="zh-CN" w:bidi="ar-SA"/>
        </w:rPr>
        <w:t>水面、沟渠</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及林地，林地集中在鸭木蛋格</w:t>
      </w:r>
      <w:r>
        <w:rPr>
          <w:rFonts w:hint="eastAsia" w:cs="Times New Roman"/>
          <w:caps w:val="0"/>
          <w:smallCaps w:val="0"/>
          <w:snapToGrid/>
          <w:color w:val="auto"/>
          <w:spacing w:val="0"/>
          <w:w w:val="100"/>
          <w:kern w:val="0"/>
          <w:sz w:val="24"/>
          <w:szCs w:val="24"/>
          <w:highlight w:val="none"/>
          <w:vertAlign w:val="baseline"/>
          <w:lang w:val="en-US" w:eastAsia="zh-CN" w:bidi="ar-SA"/>
        </w:rPr>
        <w:t>屯</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西南侧，本次</w:t>
      </w:r>
      <w:r>
        <w:rPr>
          <w:rFonts w:hint="eastAsia" w:cs="Times New Roman"/>
          <w:caps w:val="0"/>
          <w:smallCaps w:val="0"/>
          <w:snapToGrid/>
          <w:color w:val="auto"/>
          <w:spacing w:val="0"/>
          <w:w w:val="100"/>
          <w:kern w:val="0"/>
          <w:sz w:val="24"/>
          <w:szCs w:val="24"/>
          <w:highlight w:val="none"/>
          <w:vertAlign w:val="baseline"/>
          <w:lang w:val="en-US" w:eastAsia="zh-CN" w:bidi="ar-SA"/>
        </w:rPr>
        <w:t>管道铺设，对</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坑塘</w:t>
      </w:r>
      <w:r>
        <w:rPr>
          <w:rFonts w:hint="eastAsia" w:cs="Times New Roman"/>
          <w:caps w:val="0"/>
          <w:smallCaps w:val="0"/>
          <w:snapToGrid/>
          <w:color w:val="auto"/>
          <w:spacing w:val="0"/>
          <w:w w:val="100"/>
          <w:kern w:val="0"/>
          <w:sz w:val="24"/>
          <w:szCs w:val="24"/>
          <w:highlight w:val="none"/>
          <w:vertAlign w:val="baseline"/>
          <w:lang w:val="en-US" w:eastAsia="zh-CN" w:bidi="ar-SA"/>
        </w:rPr>
        <w:t>水面、沟渠</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及林地采取定向穿越的施工方式，不对林木进行砍伐</w:t>
      </w:r>
      <w:r>
        <w:rPr>
          <w:rFonts w:hint="eastAsia" w:cs="Times New Roman"/>
          <w:caps w:val="0"/>
          <w:smallCaps w:val="0"/>
          <w:snapToGrid/>
          <w:color w:val="auto"/>
          <w:spacing w:val="0"/>
          <w:w w:val="100"/>
          <w:kern w:val="0"/>
          <w:sz w:val="24"/>
          <w:szCs w:val="24"/>
          <w:highlight w:val="none"/>
          <w:vertAlign w:val="baseline"/>
          <w:lang w:val="en-US" w:eastAsia="zh-CN" w:bidi="ar-SA"/>
        </w:rPr>
        <w:t>，不进行涉水施工</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耕地呈大面积块状分布在村屯外围、G232国道及村屯出入公路两侧，管道施工临时占地主要占用耕地。同时考虑管道铺设经济成本，结合区域土地利用现状，本次输液管道确定了唯一路径。项目在施工前，按照相关规定制定表土剥离方案，剥离耕作层表土单独存放，施工时，分层开挖，不同土层土壤分开堆放，表面覆盖水土保持毯，定期洒水，防止土壤肥力降低。施工结束后，尽快回填，需先回填下层土，后回填表层。制定耕地复垦方案，复垦率为100%，复垦质量满足《土地复垦质量控制标准》（TD/T1036-2013）中规定的要求，要求临时占用的耕地内农作物生产能力恢复至施工前原有水平。</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2#服务站2条输液管道由已建的2#服务站站址西北侧出线，向北</w:t>
      </w:r>
      <w:r>
        <w:rPr>
          <w:rFonts w:hint="eastAsia" w:cs="Times New Roman"/>
          <w:caps w:val="0"/>
          <w:smallCaps w:val="0"/>
          <w:snapToGrid/>
          <w:color w:val="auto"/>
          <w:spacing w:val="0"/>
          <w:w w:val="100"/>
          <w:kern w:val="0"/>
          <w:sz w:val="24"/>
          <w:szCs w:val="24"/>
          <w:highlight w:val="none"/>
          <w:vertAlign w:val="baseline"/>
          <w:lang w:val="en-US" w:eastAsia="zh-CN" w:bidi="ar-SA"/>
        </w:rPr>
        <w:t>在耕地内</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铺设，与1#服务站已建的输液管道连接，管道并列铺设，长度均为4km</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5260975" cy="4723765"/>
            <wp:effectExtent l="0" t="0" r="15875" b="635"/>
            <wp:docPr id="75" name="图片 75" descr="管道图+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管道图+图例"/>
                    <pic:cNvPicPr>
                      <a:picLocks noChangeAspect="1"/>
                    </pic:cNvPicPr>
                  </pic:nvPicPr>
                  <pic:blipFill>
                    <a:blip r:embed="rId15"/>
                    <a:stretch>
                      <a:fillRect/>
                    </a:stretch>
                  </pic:blipFill>
                  <pic:spPr>
                    <a:xfrm>
                      <a:off x="0" y="0"/>
                      <a:ext cx="5260975" cy="47237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图3.1-1管道铺设路径图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3.1.</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4土石方</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本工程涉及土方工程</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为管道施工挖方及站址建设剥离的</w:t>
      </w:r>
      <w:r>
        <w:rPr>
          <w:rFonts w:hint="eastAsia" w:cs="Times New Roman"/>
          <w:caps w:val="0"/>
          <w:smallCaps w:val="0"/>
          <w:snapToGrid/>
          <w:color w:val="auto"/>
          <w:spacing w:val="0"/>
          <w:w w:val="100"/>
          <w:kern w:val="0"/>
          <w:sz w:val="24"/>
          <w:szCs w:val="24"/>
          <w:highlight w:val="none"/>
          <w:vertAlign w:val="baseline"/>
          <w:lang w:val="en-US" w:eastAsia="zh-CN" w:bidi="ar-SA"/>
        </w:rPr>
        <w:t>土方</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及填方。</w:t>
      </w:r>
      <w:r>
        <w:rPr>
          <w:rFonts w:hint="eastAsia" w:cs="Times New Roman"/>
          <w:caps w:val="0"/>
          <w:smallCaps w:val="0"/>
          <w:snapToGrid/>
          <w:color w:val="auto"/>
          <w:spacing w:val="0"/>
          <w:w w:val="100"/>
          <w:kern w:val="0"/>
          <w:sz w:val="24"/>
          <w:szCs w:val="24"/>
          <w:highlight w:val="none"/>
          <w:vertAlign w:val="baseline"/>
          <w:lang w:val="en-US" w:eastAsia="zh-CN" w:bidi="ar-SA"/>
        </w:rPr>
        <w:t>其中</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2#服务站2条输液管道</w:t>
      </w:r>
      <w:r>
        <w:rPr>
          <w:rFonts w:hint="eastAsia" w:cs="Times New Roman"/>
          <w:caps w:val="0"/>
          <w:smallCaps w:val="0"/>
          <w:snapToGrid/>
          <w:color w:val="auto"/>
          <w:spacing w:val="0"/>
          <w:w w:val="100"/>
          <w:kern w:val="0"/>
          <w:sz w:val="24"/>
          <w:szCs w:val="24"/>
          <w:highlight w:val="none"/>
          <w:vertAlign w:val="baseline"/>
          <w:lang w:val="en-US" w:eastAsia="zh-CN" w:bidi="ar-SA"/>
        </w:rPr>
        <w:t>为已建工程，本次土石方未进行核算。</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本项目管道施工临时占地类型主要为耕地（</w:t>
      </w:r>
      <w:r>
        <w:rPr>
          <w:rFonts w:hint="eastAsia" w:cs="Times New Roman"/>
          <w:caps w:val="0"/>
          <w:smallCaps w:val="0"/>
          <w:snapToGrid/>
          <w:color w:val="auto"/>
          <w:spacing w:val="0"/>
          <w:w w:val="100"/>
          <w:kern w:val="0"/>
          <w:sz w:val="24"/>
          <w:szCs w:val="24"/>
          <w:highlight w:val="none"/>
          <w:vertAlign w:val="baseline"/>
          <w:lang w:val="en-US" w:eastAsia="zh-CN" w:bidi="ar-SA"/>
        </w:rPr>
        <w:t>水田+</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永久基本农田+一般耕地</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），施工前需要对耕作层进行剥离，剥离厚度为30cm，剥离表土总量为53230m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，单独存放在施工占地内，施工结束后，表土回填至表层。管道施工产生的弃方为管道铺设产生的中心土层渣土，用于3#服务站站址建设。3#服务站站址挖方共31048m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，全部用于站址填方建设。</w:t>
      </w:r>
    </w:p>
    <w:p>
      <w:pPr>
        <w:pStyle w:val="11"/>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default"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表</w:t>
      </w:r>
      <w:r>
        <w:rPr>
          <w:rFonts w:hint="default" w:ascii="Times New Roman" w:hAnsi="Times New Roman" w:eastAsia="宋体" w:cs="宋体"/>
          <w:b/>
          <w:bCs/>
          <w:color w:val="auto"/>
          <w:kern w:val="2"/>
          <w:sz w:val="21"/>
          <w:szCs w:val="21"/>
          <w:highlight w:val="none"/>
          <w:lang w:val="en-US" w:eastAsia="zh-CN" w:bidi="ar-SA"/>
        </w:rPr>
        <w:t>3.1-</w:t>
      </w:r>
      <w:r>
        <w:rPr>
          <w:rFonts w:hint="eastAsia" w:ascii="Times New Roman" w:hAnsi="Times New Roman" w:eastAsia="宋体" w:cs="宋体"/>
          <w:b/>
          <w:bCs/>
          <w:color w:val="auto"/>
          <w:kern w:val="2"/>
          <w:sz w:val="21"/>
          <w:szCs w:val="21"/>
          <w:highlight w:val="none"/>
          <w:lang w:val="en-US" w:eastAsia="zh-CN" w:bidi="ar-SA"/>
        </w:rPr>
        <w:t>4土石方  单位</w:t>
      </w:r>
      <w:r>
        <w:rPr>
          <w:rFonts w:hint="eastAsia" w:ascii="Times New Roman" w:hAnsi="Times New Roman" w:eastAsia="宋体" w:cs="宋体"/>
          <w:b/>
          <w:bCs/>
          <w:smallCaps w:val="0"/>
          <w:color w:val="auto"/>
          <w:kern w:val="2"/>
          <w:sz w:val="21"/>
          <w:szCs w:val="21"/>
          <w:highlight w:val="none"/>
          <w:lang w:val="en-US" w:eastAsia="zh-CN" w:bidi="ar-SA"/>
        </w:rPr>
        <w:t>：m</w:t>
      </w:r>
      <w:r>
        <w:rPr>
          <w:rFonts w:hint="eastAsia" w:ascii="Times New Roman" w:hAnsi="Times New Roman" w:eastAsia="宋体" w:cs="宋体"/>
          <w:b/>
          <w:bCs/>
          <w:smallCaps w:val="0"/>
          <w:color w:val="auto"/>
          <w:kern w:val="2"/>
          <w:sz w:val="21"/>
          <w:szCs w:val="21"/>
          <w:highlight w:val="none"/>
          <w:vertAlign w:val="superscript"/>
          <w:lang w:val="en-US" w:eastAsia="zh-CN" w:bidi="ar-SA"/>
        </w:rPr>
        <w:t>3</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50"/>
        <w:gridCol w:w="1057"/>
        <w:gridCol w:w="1057"/>
        <w:gridCol w:w="1057"/>
        <w:gridCol w:w="1122"/>
        <w:gridCol w:w="1058"/>
        <w:gridCol w:w="1059"/>
        <w:gridCol w:w="105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50" w:type="dxa"/>
            <w:vMerge w:val="restart"/>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cs="Times New Roman" w:eastAsiaTheme="minorEastAsia"/>
                <w:snapToGrid/>
                <w:color w:val="auto"/>
                <w:kern w:val="2"/>
                <w:sz w:val="21"/>
                <w:szCs w:val="21"/>
                <w:highlight w:val="none"/>
                <w:lang w:val="en-US" w:eastAsia="zh-CN"/>
              </w:rPr>
              <w:t>工程组成</w:t>
            </w:r>
          </w:p>
        </w:tc>
        <w:tc>
          <w:tcPr>
            <w:tcW w:w="2114" w:type="dxa"/>
            <w:gridSpan w:val="2"/>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cs="Times New Roman" w:eastAsiaTheme="minorEastAsia"/>
                <w:snapToGrid/>
                <w:color w:val="auto"/>
                <w:kern w:val="2"/>
                <w:sz w:val="21"/>
                <w:szCs w:val="21"/>
                <w:highlight w:val="none"/>
                <w:lang w:val="en-US" w:eastAsia="zh-CN"/>
              </w:rPr>
              <w:t>挖方</w:t>
            </w:r>
          </w:p>
        </w:tc>
        <w:tc>
          <w:tcPr>
            <w:tcW w:w="2179" w:type="dxa"/>
            <w:gridSpan w:val="2"/>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cs="Times New Roman" w:eastAsiaTheme="minorEastAsia"/>
                <w:snapToGrid/>
                <w:color w:val="auto"/>
                <w:kern w:val="2"/>
                <w:sz w:val="21"/>
                <w:szCs w:val="21"/>
                <w:highlight w:val="none"/>
                <w:lang w:val="en-US" w:eastAsia="zh-CN"/>
              </w:rPr>
              <w:t>填方</w:t>
            </w:r>
          </w:p>
        </w:tc>
        <w:tc>
          <w:tcPr>
            <w:tcW w:w="2117" w:type="dxa"/>
            <w:gridSpan w:val="2"/>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cs="Times New Roman" w:eastAsiaTheme="minorEastAsia"/>
                <w:snapToGrid/>
                <w:color w:val="auto"/>
                <w:kern w:val="2"/>
                <w:sz w:val="21"/>
                <w:szCs w:val="21"/>
                <w:highlight w:val="none"/>
                <w:lang w:val="en-US" w:eastAsia="zh-CN"/>
              </w:rPr>
              <w:t>弃土</w:t>
            </w:r>
          </w:p>
        </w:tc>
        <w:tc>
          <w:tcPr>
            <w:tcW w:w="1056" w:type="dxa"/>
            <w:vMerge w:val="restart"/>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50" w:type="dxa"/>
            <w:vMerge w:val="continue"/>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p>
        </w:tc>
        <w:tc>
          <w:tcPr>
            <w:tcW w:w="105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cs="Times New Roman" w:eastAsiaTheme="minorEastAsia"/>
                <w:snapToGrid/>
                <w:color w:val="auto"/>
                <w:kern w:val="2"/>
                <w:sz w:val="21"/>
                <w:szCs w:val="21"/>
                <w:highlight w:val="none"/>
                <w:lang w:val="en-US" w:eastAsia="zh-CN"/>
              </w:rPr>
              <w:t>表土</w:t>
            </w:r>
          </w:p>
        </w:tc>
        <w:tc>
          <w:tcPr>
            <w:tcW w:w="1057" w:type="dxa"/>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cs="Times New Roman" w:eastAsiaTheme="minorEastAsia"/>
                <w:snapToGrid/>
                <w:color w:val="auto"/>
                <w:kern w:val="2"/>
                <w:sz w:val="21"/>
                <w:szCs w:val="21"/>
                <w:highlight w:val="none"/>
                <w:lang w:val="en-US" w:eastAsia="zh-CN"/>
              </w:rPr>
              <w:t>其他土</w:t>
            </w:r>
          </w:p>
        </w:tc>
        <w:tc>
          <w:tcPr>
            <w:tcW w:w="105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cs="Times New Roman" w:eastAsiaTheme="minorEastAsia"/>
                <w:snapToGrid/>
                <w:color w:val="auto"/>
                <w:kern w:val="2"/>
                <w:sz w:val="21"/>
                <w:szCs w:val="21"/>
                <w:highlight w:val="none"/>
                <w:lang w:val="en-US" w:eastAsia="zh-CN"/>
              </w:rPr>
              <w:t>表土</w:t>
            </w:r>
          </w:p>
        </w:tc>
        <w:tc>
          <w:tcPr>
            <w:tcW w:w="1122" w:type="dxa"/>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cs="Times New Roman" w:eastAsiaTheme="minorEastAsia"/>
                <w:snapToGrid/>
                <w:color w:val="auto"/>
                <w:kern w:val="2"/>
                <w:sz w:val="21"/>
                <w:szCs w:val="21"/>
                <w:highlight w:val="none"/>
                <w:lang w:val="en-US" w:eastAsia="zh-CN"/>
              </w:rPr>
              <w:t>其他土</w:t>
            </w:r>
          </w:p>
        </w:tc>
        <w:tc>
          <w:tcPr>
            <w:tcW w:w="105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cs="Times New Roman" w:eastAsiaTheme="minorEastAsia"/>
                <w:snapToGrid/>
                <w:color w:val="auto"/>
                <w:kern w:val="2"/>
                <w:sz w:val="21"/>
                <w:szCs w:val="21"/>
                <w:highlight w:val="none"/>
                <w:lang w:val="en-US" w:eastAsia="zh-CN"/>
              </w:rPr>
              <w:t>表土</w:t>
            </w:r>
          </w:p>
        </w:tc>
        <w:tc>
          <w:tcPr>
            <w:tcW w:w="1059" w:type="dxa"/>
            <w:tcBorders>
              <w:tl2br w:val="nil"/>
              <w:tr2bl w:val="nil"/>
            </w:tcBorders>
            <w:vAlign w:val="center"/>
          </w:tcPr>
          <w:p>
            <w:pPr>
              <w:widowControl w:val="0"/>
              <w:kinsoku/>
              <w:autoSpaceDE/>
              <w:autoSpaceDN/>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cs="Times New Roman" w:eastAsiaTheme="minorEastAsia"/>
                <w:snapToGrid/>
                <w:color w:val="auto"/>
                <w:kern w:val="2"/>
                <w:sz w:val="21"/>
                <w:szCs w:val="21"/>
                <w:highlight w:val="none"/>
                <w:lang w:val="en-US" w:eastAsia="zh-CN"/>
              </w:rPr>
              <w:t>其他土</w:t>
            </w:r>
          </w:p>
        </w:tc>
        <w:tc>
          <w:tcPr>
            <w:tcW w:w="1056" w:type="dxa"/>
            <w:vMerge w:val="continue"/>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50"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服务站站址</w:t>
            </w:r>
          </w:p>
        </w:tc>
        <w:tc>
          <w:tcPr>
            <w:tcW w:w="1057"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c>
          <w:tcPr>
            <w:tcW w:w="1057"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31048</w:t>
            </w:r>
          </w:p>
        </w:tc>
        <w:tc>
          <w:tcPr>
            <w:tcW w:w="1057"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122"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38331.46</w:t>
            </w:r>
            <w:r>
              <w:rPr>
                <w:rFonts w:hint="eastAsia" w:ascii="Times New Roman" w:hAnsi="Times New Roman" w:eastAsia="宋体" w:cs="Times New Roman"/>
                <w:color w:val="auto"/>
                <w:highlight w:val="none"/>
                <w:vertAlign w:val="baseline"/>
                <w:lang w:val="en-US" w:eastAsia="zh-CN"/>
              </w:rPr>
              <w:t>（外购</w:t>
            </w:r>
            <w:r>
              <w:rPr>
                <w:rFonts w:hint="eastAsia" w:cs="Times New Roman"/>
                <w:color w:val="auto"/>
                <w:highlight w:val="none"/>
                <w:vertAlign w:val="baseline"/>
                <w:lang w:val="en-US" w:eastAsia="zh-CN"/>
              </w:rPr>
              <w:t>2376.46</w:t>
            </w:r>
            <w:r>
              <w:rPr>
                <w:rFonts w:hint="eastAsia" w:ascii="Times New Roman" w:hAnsi="Times New Roman" w:eastAsia="宋体" w:cs="Times New Roman"/>
                <w:color w:val="auto"/>
                <w:highlight w:val="none"/>
                <w:vertAlign w:val="baseline"/>
                <w:lang w:val="en-US" w:eastAsia="zh-CN"/>
              </w:rPr>
              <w:t>+管道弃方4907</w:t>
            </w:r>
            <w:r>
              <w:rPr>
                <w:rFonts w:hint="eastAsia" w:cs="Times New Roman"/>
                <w:color w:val="auto"/>
                <w:highlight w:val="none"/>
                <w:vertAlign w:val="baseline"/>
                <w:lang w:val="en-US" w:eastAsia="zh-CN"/>
              </w:rPr>
              <w:t>+挖方31048</w:t>
            </w:r>
            <w:r>
              <w:rPr>
                <w:rFonts w:hint="eastAsia" w:ascii="Times New Roman" w:hAnsi="Times New Roman" w:eastAsia="宋体" w:cs="Times New Roman"/>
                <w:color w:val="auto"/>
                <w:highlight w:val="none"/>
                <w:vertAlign w:val="baseline"/>
                <w:lang w:val="en-US" w:eastAsia="zh-CN"/>
              </w:rPr>
              <w:t>）</w:t>
            </w:r>
          </w:p>
        </w:tc>
        <w:tc>
          <w:tcPr>
            <w:tcW w:w="1058" w:type="dxa"/>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c>
          <w:tcPr>
            <w:tcW w:w="1059"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056" w:type="dxa"/>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r>
              <w:rPr>
                <w:rFonts w:hint="eastAsia"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50"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管道</w:t>
            </w:r>
          </w:p>
        </w:tc>
        <w:tc>
          <w:tcPr>
            <w:tcW w:w="1057" w:type="dxa"/>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53230</w:t>
            </w:r>
          </w:p>
        </w:tc>
        <w:tc>
          <w:tcPr>
            <w:tcW w:w="1057"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70452</w:t>
            </w:r>
          </w:p>
        </w:tc>
        <w:tc>
          <w:tcPr>
            <w:tcW w:w="1057" w:type="dxa"/>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53230</w:t>
            </w:r>
          </w:p>
        </w:tc>
        <w:tc>
          <w:tcPr>
            <w:tcW w:w="1122"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65431.4</w:t>
            </w:r>
          </w:p>
        </w:tc>
        <w:tc>
          <w:tcPr>
            <w:tcW w:w="1058"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059" w:type="dxa"/>
            <w:tcBorders>
              <w:tl2br w:val="nil"/>
              <w:tr2bl w:val="nil"/>
            </w:tcBorders>
            <w:vAlign w:val="center"/>
          </w:tcPr>
          <w:p>
            <w:pPr>
              <w:jc w:val="both"/>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4907（中心土层渣土）+</w:t>
            </w:r>
            <w:r>
              <w:rPr>
                <w:rFonts w:hint="eastAsia" w:cs="Times New Roman"/>
                <w:color w:val="auto"/>
                <w:highlight w:val="none"/>
                <w:vertAlign w:val="baseline"/>
                <w:lang w:val="en-US" w:eastAsia="zh-CN"/>
              </w:rPr>
              <w:t>168</w:t>
            </w:r>
            <w:r>
              <w:rPr>
                <w:rFonts w:hint="eastAsia" w:ascii="Times New Roman" w:hAnsi="Times New Roman" w:eastAsia="宋体" w:cs="Times New Roman"/>
                <w:color w:val="auto"/>
                <w:highlight w:val="none"/>
                <w:vertAlign w:val="baseline"/>
                <w:lang w:val="en-US" w:eastAsia="zh-CN"/>
              </w:rPr>
              <w:t>（定向穿越泥浆）</w:t>
            </w:r>
          </w:p>
        </w:tc>
        <w:tc>
          <w:tcPr>
            <w:tcW w:w="1056" w:type="dxa"/>
            <w:tcBorders>
              <w:tl2br w:val="nil"/>
              <w:tr2bl w:val="nil"/>
            </w:tcBorders>
            <w:vAlign w:val="center"/>
          </w:tcPr>
          <w:p>
            <w:pPr>
              <w:jc w:val="center"/>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泥浆拉运至</w:t>
            </w:r>
            <w:r>
              <w:rPr>
                <w:rFonts w:hint="default" w:ascii="Times New Roman" w:hAnsi="Times New Roman" w:cs="Times New Roman"/>
                <w:color w:val="auto"/>
                <w:sz w:val="21"/>
                <w:szCs w:val="21"/>
                <w:highlight w:val="none"/>
                <w:vertAlign w:val="baseline"/>
                <w:lang w:val="en-US" w:eastAsia="zh-CN"/>
              </w:rPr>
              <w:t>自然资源局指定地点存放或处置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50"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总计</w:t>
            </w:r>
          </w:p>
        </w:tc>
        <w:tc>
          <w:tcPr>
            <w:tcW w:w="2114" w:type="dxa"/>
            <w:gridSpan w:val="2"/>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154730</w:t>
            </w:r>
          </w:p>
        </w:tc>
        <w:tc>
          <w:tcPr>
            <w:tcW w:w="2179" w:type="dxa"/>
            <w:gridSpan w:val="2"/>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156992.86</w:t>
            </w:r>
          </w:p>
        </w:tc>
        <w:tc>
          <w:tcPr>
            <w:tcW w:w="2117" w:type="dxa"/>
            <w:gridSpan w:val="2"/>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5075</w:t>
            </w:r>
          </w:p>
        </w:tc>
        <w:tc>
          <w:tcPr>
            <w:tcW w:w="1056" w:type="dxa"/>
            <w:tcBorders>
              <w:tl2br w:val="nil"/>
              <w:tr2bl w:val="nil"/>
            </w:tcBorders>
            <w:vAlign w:val="center"/>
          </w:tcPr>
          <w:p>
            <w:pPr>
              <w:jc w:val="center"/>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3.1.</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5主要设备</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表3.1-5设备一览表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78"/>
        <w:gridCol w:w="1552"/>
        <w:gridCol w:w="2540"/>
        <w:gridCol w:w="1218"/>
        <w:gridCol w:w="1220"/>
        <w:gridCol w:w="12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16" w:type="dxa"/>
            <w:gridSpan w:val="6"/>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一、</w:t>
            </w:r>
            <w:r>
              <w:rPr>
                <w:rFonts w:hint="eastAsia" w:cs="Times New Roman"/>
                <w:color w:val="auto"/>
                <w:highlight w:val="none"/>
                <w:vertAlign w:val="baseline"/>
                <w:lang w:val="en-US" w:eastAsia="zh-CN"/>
              </w:rPr>
              <w:t>长输</w:t>
            </w:r>
            <w:r>
              <w:rPr>
                <w:rFonts w:hint="eastAsia" w:ascii="Times New Roman" w:hAnsi="Times New Roman" w:eastAsia="宋体" w:cs="Times New Roman"/>
                <w:color w:val="auto"/>
                <w:highlight w:val="none"/>
                <w:vertAlign w:val="baseline"/>
                <w:lang w:val="en-US" w:eastAsia="zh-CN"/>
              </w:rPr>
              <w:t>泵房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序号</w:t>
            </w:r>
          </w:p>
        </w:tc>
        <w:tc>
          <w:tcPr>
            <w:tcW w:w="15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设备</w:t>
            </w:r>
          </w:p>
        </w:tc>
        <w:tc>
          <w:tcPr>
            <w:tcW w:w="25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规格</w:t>
            </w:r>
          </w:p>
        </w:tc>
        <w:tc>
          <w:tcPr>
            <w:tcW w:w="12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单位</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数量</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15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大泵</w:t>
            </w:r>
          </w:p>
        </w:tc>
        <w:tc>
          <w:tcPr>
            <w:tcW w:w="25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285m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vertAlign w:val="baseline"/>
                <w:lang w:val="en-US" w:eastAsia="zh-CN"/>
              </w:rPr>
              <w:t>/h，132KW</w:t>
            </w:r>
          </w:p>
        </w:tc>
        <w:tc>
          <w:tcPr>
            <w:tcW w:w="12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3</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2用1备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w:t>
            </w:r>
          </w:p>
        </w:tc>
        <w:tc>
          <w:tcPr>
            <w:tcW w:w="15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真空泵</w:t>
            </w:r>
          </w:p>
        </w:tc>
        <w:tc>
          <w:tcPr>
            <w:tcW w:w="25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7.5KW</w:t>
            </w:r>
          </w:p>
        </w:tc>
        <w:tc>
          <w:tcPr>
            <w:tcW w:w="12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1用1备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3</w:t>
            </w:r>
          </w:p>
        </w:tc>
        <w:tc>
          <w:tcPr>
            <w:tcW w:w="15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变频冲洗泵</w:t>
            </w:r>
          </w:p>
        </w:tc>
        <w:tc>
          <w:tcPr>
            <w:tcW w:w="25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220V 550W</w:t>
            </w:r>
          </w:p>
        </w:tc>
        <w:tc>
          <w:tcPr>
            <w:tcW w:w="12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16" w:type="dxa"/>
            <w:gridSpan w:val="6"/>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二、废水处理区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15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防爆轴流风机</w:t>
            </w:r>
          </w:p>
        </w:tc>
        <w:tc>
          <w:tcPr>
            <w:tcW w:w="25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0.55KW</w:t>
            </w:r>
          </w:p>
        </w:tc>
        <w:tc>
          <w:tcPr>
            <w:tcW w:w="12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10</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w:t>
            </w:r>
          </w:p>
        </w:tc>
        <w:tc>
          <w:tcPr>
            <w:tcW w:w="15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防爆潜污泵</w:t>
            </w:r>
          </w:p>
        </w:tc>
        <w:tc>
          <w:tcPr>
            <w:tcW w:w="2540"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流量10</w:t>
            </w:r>
            <w:r>
              <w:rPr>
                <w:rFonts w:hint="eastAsia" w:cs="Times New Roman"/>
                <w:color w:val="auto"/>
                <w:highlight w:val="none"/>
                <w:vertAlign w:val="baseline"/>
                <w:lang w:val="en-US" w:eastAsia="zh-CN"/>
              </w:rPr>
              <w:t>m</w:t>
            </w:r>
            <w:r>
              <w:rPr>
                <w:rFonts w:hint="eastAsia" w:cs="Times New Roman"/>
                <w:color w:val="auto"/>
                <w:highlight w:val="none"/>
                <w:vertAlign w:val="superscript"/>
                <w:lang w:val="en-US" w:eastAsia="zh-CN"/>
              </w:rPr>
              <w:t>3</w:t>
            </w:r>
            <w:r>
              <w:rPr>
                <w:rFonts w:hint="eastAsia" w:ascii="Times New Roman" w:hAnsi="Times New Roman" w:eastAsia="宋体" w:cs="Times New Roman"/>
                <w:color w:val="auto"/>
                <w:highlight w:val="none"/>
                <w:vertAlign w:val="baseline"/>
                <w:lang w:val="en-US" w:eastAsia="zh-CN"/>
              </w:rPr>
              <w:t>/小时，扬程10米</w:t>
            </w:r>
          </w:p>
        </w:tc>
        <w:tc>
          <w:tcPr>
            <w:tcW w:w="12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5</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3</w:t>
            </w:r>
          </w:p>
        </w:tc>
        <w:tc>
          <w:tcPr>
            <w:tcW w:w="15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防爆齿轮泵</w:t>
            </w:r>
          </w:p>
        </w:tc>
        <w:tc>
          <w:tcPr>
            <w:tcW w:w="2540"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压力0.6MPa，流量60m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vertAlign w:val="baseline"/>
                <w:lang w:val="en-US" w:eastAsia="zh-CN"/>
              </w:rPr>
              <w:t>/h</w:t>
            </w:r>
          </w:p>
        </w:tc>
        <w:tc>
          <w:tcPr>
            <w:tcW w:w="12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4</w:t>
            </w:r>
          </w:p>
        </w:tc>
        <w:tc>
          <w:tcPr>
            <w:tcW w:w="15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槽钢</w:t>
            </w:r>
          </w:p>
        </w:tc>
        <w:tc>
          <w:tcPr>
            <w:tcW w:w="2540"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12#</w:t>
            </w:r>
          </w:p>
        </w:tc>
        <w:tc>
          <w:tcPr>
            <w:tcW w:w="12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米</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足量</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5</w:t>
            </w:r>
          </w:p>
        </w:tc>
        <w:tc>
          <w:tcPr>
            <w:tcW w:w="15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防爆减速机</w:t>
            </w:r>
          </w:p>
        </w:tc>
        <w:tc>
          <w:tcPr>
            <w:tcW w:w="2540"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4极0.37千瓦，减速机2.2r/min</w:t>
            </w:r>
          </w:p>
        </w:tc>
        <w:tc>
          <w:tcPr>
            <w:tcW w:w="12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3</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6</w:t>
            </w:r>
          </w:p>
        </w:tc>
        <w:tc>
          <w:tcPr>
            <w:tcW w:w="155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轻轨</w:t>
            </w:r>
          </w:p>
        </w:tc>
        <w:tc>
          <w:tcPr>
            <w:tcW w:w="2540" w:type="dxa"/>
            <w:tcBorders>
              <w:tl2br w:val="nil"/>
              <w:tr2bl w:val="nil"/>
            </w:tcBorders>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15公斤</w:t>
            </w:r>
          </w:p>
        </w:tc>
        <w:tc>
          <w:tcPr>
            <w:tcW w:w="12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米</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90</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7</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下开式堰门</w:t>
            </w:r>
          </w:p>
        </w:tc>
        <w:tc>
          <w:tcPr>
            <w:tcW w:w="2540" w:type="dxa"/>
            <w:tcBorders>
              <w:tl2br w:val="nil"/>
              <w:tr2bl w:val="nil"/>
            </w:tcBorders>
            <w:vAlign w:val="top"/>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800×400</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个</w:t>
            </w:r>
          </w:p>
        </w:tc>
        <w:tc>
          <w:tcPr>
            <w:tcW w:w="1220"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2</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8</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浆式搅拌器</w:t>
            </w:r>
          </w:p>
        </w:tc>
        <w:tc>
          <w:tcPr>
            <w:tcW w:w="2540" w:type="dxa"/>
            <w:tcBorders>
              <w:tl2br w:val="nil"/>
              <w:tr2bl w:val="nil"/>
            </w:tcBorders>
            <w:vAlign w:val="top"/>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4极7.5千瓦，减速机70r/min</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台</w:t>
            </w:r>
          </w:p>
        </w:tc>
        <w:tc>
          <w:tcPr>
            <w:tcW w:w="1220"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2</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9</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框式搅拌器</w:t>
            </w:r>
          </w:p>
        </w:tc>
        <w:tc>
          <w:tcPr>
            <w:tcW w:w="2540" w:type="dxa"/>
            <w:tcBorders>
              <w:tl2br w:val="nil"/>
              <w:tr2bl w:val="nil"/>
            </w:tcBorders>
            <w:vAlign w:val="top"/>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4极1.5千瓦，减速机70r/min</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台</w:t>
            </w:r>
          </w:p>
        </w:tc>
        <w:tc>
          <w:tcPr>
            <w:tcW w:w="1220"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5</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10</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玻璃钢格栅</w:t>
            </w:r>
          </w:p>
        </w:tc>
        <w:tc>
          <w:tcPr>
            <w:tcW w:w="2540" w:type="dxa"/>
            <w:tcBorders>
              <w:tl2br w:val="nil"/>
              <w:tr2bl w:val="nil"/>
            </w:tcBorders>
            <w:vAlign w:val="top"/>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38#</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平方米</w:t>
            </w:r>
          </w:p>
        </w:tc>
        <w:tc>
          <w:tcPr>
            <w:tcW w:w="1220"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11</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锯齿堰板</w:t>
            </w:r>
          </w:p>
        </w:tc>
        <w:tc>
          <w:tcPr>
            <w:tcW w:w="2540" w:type="dxa"/>
            <w:tcBorders>
              <w:tl2br w:val="nil"/>
              <w:tr2bl w:val="nil"/>
            </w:tcBorders>
            <w:vAlign w:val="top"/>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6000*300</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张</w:t>
            </w:r>
          </w:p>
        </w:tc>
        <w:tc>
          <w:tcPr>
            <w:tcW w:w="1220"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1</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不锈钢槽</w:t>
            </w:r>
          </w:p>
        </w:tc>
        <w:tc>
          <w:tcPr>
            <w:tcW w:w="2540" w:type="dxa"/>
            <w:tcBorders>
              <w:tl2br w:val="nil"/>
              <w:tr2bl w:val="nil"/>
            </w:tcBorders>
            <w:vAlign w:val="top"/>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6000*400*500</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个</w:t>
            </w:r>
          </w:p>
        </w:tc>
        <w:tc>
          <w:tcPr>
            <w:tcW w:w="1220"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2</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15</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防爆自吸泵</w:t>
            </w:r>
          </w:p>
        </w:tc>
        <w:tc>
          <w:tcPr>
            <w:tcW w:w="2540" w:type="dxa"/>
            <w:tcBorders>
              <w:tl2br w:val="nil"/>
              <w:tr2bl w:val="nil"/>
            </w:tcBorders>
            <w:vAlign w:val="top"/>
          </w:tcPr>
          <w:p>
            <w:pPr>
              <w:spacing w:line="4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台</w:t>
            </w:r>
          </w:p>
        </w:tc>
        <w:tc>
          <w:tcPr>
            <w:tcW w:w="1220"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2</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14</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阀门</w:t>
            </w:r>
          </w:p>
        </w:tc>
        <w:tc>
          <w:tcPr>
            <w:tcW w:w="2540" w:type="dxa"/>
            <w:tcBorders>
              <w:tl2br w:val="nil"/>
              <w:tr2bl w:val="nil"/>
            </w:tcBorders>
            <w:vAlign w:val="top"/>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vertAlign w:val="baseline"/>
                <w:lang w:val="en-US" w:eastAsia="zh-CN"/>
              </w:rPr>
              <w:t>/</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个</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13</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15</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管件</w:t>
            </w:r>
          </w:p>
        </w:tc>
        <w:tc>
          <w:tcPr>
            <w:tcW w:w="2540" w:type="dxa"/>
            <w:tcBorders>
              <w:tl2br w:val="nil"/>
              <w:tr2bl w:val="nil"/>
            </w:tcBorders>
            <w:vAlign w:val="top"/>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vertAlign w:val="baseline"/>
                <w:lang w:val="en-US" w:eastAsia="zh-CN"/>
              </w:rPr>
              <w:t>/</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套</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58</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16</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围栏</w:t>
            </w:r>
          </w:p>
        </w:tc>
        <w:tc>
          <w:tcPr>
            <w:tcW w:w="2540" w:type="dxa"/>
            <w:tcBorders>
              <w:tl2br w:val="nil"/>
              <w:tr2bl w:val="nil"/>
            </w:tcBorders>
            <w:vAlign w:val="top"/>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vertAlign w:val="baseline"/>
                <w:lang w:val="en-US" w:eastAsia="zh-CN"/>
              </w:rPr>
              <w:t>/</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米</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110</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17</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防爆配电柜</w:t>
            </w:r>
          </w:p>
        </w:tc>
        <w:tc>
          <w:tcPr>
            <w:tcW w:w="2540" w:type="dxa"/>
            <w:tcBorders>
              <w:tl2br w:val="nil"/>
              <w:tr2bl w:val="nil"/>
            </w:tcBorders>
            <w:vAlign w:val="top"/>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vertAlign w:val="baseline"/>
                <w:lang w:val="en-US" w:eastAsia="zh-CN"/>
              </w:rPr>
              <w:t>/</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台</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5</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18</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电线电缆</w:t>
            </w:r>
          </w:p>
        </w:tc>
        <w:tc>
          <w:tcPr>
            <w:tcW w:w="2540" w:type="dxa"/>
            <w:tcBorders>
              <w:tl2br w:val="nil"/>
              <w:tr2bl w:val="nil"/>
            </w:tcBorders>
            <w:vAlign w:val="top"/>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vertAlign w:val="baseline"/>
                <w:lang w:val="en-US" w:eastAsia="zh-CN"/>
              </w:rPr>
              <w:t>/</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套</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8</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19</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传感器</w:t>
            </w:r>
          </w:p>
        </w:tc>
        <w:tc>
          <w:tcPr>
            <w:tcW w:w="2540" w:type="dxa"/>
            <w:tcBorders>
              <w:tl2br w:val="nil"/>
              <w:tr2bl w:val="nil"/>
            </w:tcBorders>
            <w:vAlign w:val="top"/>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vertAlign w:val="baseline"/>
                <w:lang w:val="en-US" w:eastAsia="zh-CN"/>
              </w:rPr>
              <w:t>/</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个</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3</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20</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变频器</w:t>
            </w:r>
          </w:p>
        </w:tc>
        <w:tc>
          <w:tcPr>
            <w:tcW w:w="2540" w:type="dxa"/>
            <w:tcBorders>
              <w:tl2br w:val="nil"/>
              <w:tr2bl w:val="nil"/>
            </w:tcBorders>
            <w:vAlign w:val="top"/>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vertAlign w:val="baseline"/>
                <w:lang w:val="en-US" w:eastAsia="zh-CN"/>
              </w:rPr>
              <w:t>/</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台</w:t>
            </w:r>
          </w:p>
        </w:tc>
        <w:tc>
          <w:tcPr>
            <w:tcW w:w="12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3</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21</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电气控制系统</w:t>
            </w:r>
          </w:p>
        </w:tc>
        <w:tc>
          <w:tcPr>
            <w:tcW w:w="2540" w:type="dxa"/>
            <w:tcBorders>
              <w:tl2br w:val="nil"/>
              <w:tr2bl w:val="nil"/>
            </w:tcBorders>
            <w:vAlign w:val="top"/>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vertAlign w:val="baseline"/>
                <w:lang w:val="en-US" w:eastAsia="zh-CN"/>
              </w:rPr>
              <w:t>/</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套</w:t>
            </w:r>
          </w:p>
        </w:tc>
        <w:tc>
          <w:tcPr>
            <w:tcW w:w="1220"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1</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22</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涡凹曝气机</w:t>
            </w:r>
          </w:p>
        </w:tc>
        <w:tc>
          <w:tcPr>
            <w:tcW w:w="2540" w:type="dxa"/>
            <w:tcBorders>
              <w:tl2br w:val="nil"/>
              <w:tr2bl w:val="nil"/>
            </w:tcBorders>
            <w:vAlign w:val="top"/>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color w:val="auto"/>
                <w:szCs w:val="21"/>
                <w:highlight w:val="none"/>
              </w:rPr>
              <w:t>HAF-75</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台</w:t>
            </w:r>
          </w:p>
        </w:tc>
        <w:tc>
          <w:tcPr>
            <w:tcW w:w="1220"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3</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23</w:t>
            </w:r>
          </w:p>
        </w:tc>
        <w:tc>
          <w:tcPr>
            <w:tcW w:w="1552"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潜水搅拌器</w:t>
            </w:r>
          </w:p>
        </w:tc>
        <w:tc>
          <w:tcPr>
            <w:tcW w:w="2540" w:type="dxa"/>
            <w:tcBorders>
              <w:tl2br w:val="nil"/>
              <w:tr2bl w:val="nil"/>
            </w:tcBorders>
            <w:vAlign w:val="top"/>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color w:val="auto"/>
                <w:szCs w:val="21"/>
                <w:highlight w:val="none"/>
              </w:rPr>
              <w:t>MA2.2/8-320-740N=2.2kw</w:t>
            </w:r>
          </w:p>
        </w:tc>
        <w:tc>
          <w:tcPr>
            <w:tcW w:w="1218"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台</w:t>
            </w:r>
          </w:p>
        </w:tc>
        <w:tc>
          <w:tcPr>
            <w:tcW w:w="1220" w:type="dxa"/>
            <w:tcBorders>
              <w:tl2br w:val="nil"/>
              <w:tr2bl w:val="nil"/>
            </w:tcBorders>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2</w:t>
            </w:r>
          </w:p>
        </w:tc>
        <w:tc>
          <w:tcPr>
            <w:tcW w:w="12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24</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排污泵1#</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7.5kw</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16</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排污泵2#</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4kw</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17</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自动熔药机</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4</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18</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可燃报警设备</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8</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19</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液位仪</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20</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小型清洗机</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21</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刮油航车</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22</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不锈钢油槽</w:t>
            </w:r>
            <w:r>
              <w:rPr>
                <w:rFonts w:hint="eastAsia" w:cs="Times New Roman"/>
                <w:color w:val="auto"/>
                <w:highlight w:val="none"/>
                <w:vertAlign w:val="baseline"/>
                <w:lang w:val="en-US" w:eastAsia="zh-CN"/>
              </w:rPr>
              <w:t>/槽</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1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122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6" w:hRule="atLeast"/>
        </w:trPr>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23</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可调节堰门</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1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个</w:t>
            </w:r>
          </w:p>
        </w:tc>
        <w:tc>
          <w:tcPr>
            <w:tcW w:w="122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24</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刮渣机</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18" w:type="dxa"/>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套</w:t>
            </w:r>
          </w:p>
        </w:tc>
        <w:tc>
          <w:tcPr>
            <w:tcW w:w="1220" w:type="dxa"/>
            <w:vAlign w:val="center"/>
          </w:tcPr>
          <w:p>
            <w:pPr>
              <w:spacing w:line="40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16" w:type="dxa"/>
            <w:gridSpan w:val="6"/>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三、值班室</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可燃报警设备监测表</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1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122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0" w:type="auto"/>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液位仪监测表</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1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122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0" w:type="auto"/>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16" w:type="dxa"/>
            <w:gridSpan w:val="6"/>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四、供水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水源井</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60-80m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vertAlign w:val="baseline"/>
                <w:lang w:val="en-US" w:eastAsia="zh-CN"/>
              </w:rPr>
              <w:t>/h</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口</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12</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潜水井泵</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15kw</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3</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潜水井泵</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100m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vertAlign w:val="baseline"/>
                <w:lang w:val="en-US" w:eastAsia="zh-CN"/>
              </w:rPr>
              <w:t>/h，60m，25kw</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4</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潜水井泵</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80m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vertAlign w:val="baseline"/>
                <w:lang w:val="en-US" w:eastAsia="zh-CN"/>
              </w:rPr>
              <w:t>/h，60m，18.5kw</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10</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5</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潜水泵配电箱</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5</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6</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扬水管</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DN200/PN1.0</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m</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600</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PE</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16" w:type="dxa"/>
            <w:gridSpan w:val="6"/>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五、锅炉房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换水泵</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2.2KW</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1用1备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锅炉</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30KW</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16" w:type="dxa"/>
            <w:gridSpan w:val="6"/>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六、其他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站内输送管线</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121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3050</w:t>
            </w:r>
          </w:p>
        </w:tc>
        <w:tc>
          <w:tcPr>
            <w:tcW w:w="122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PE</w:t>
            </w:r>
          </w:p>
        </w:tc>
        <w:tc>
          <w:tcPr>
            <w:tcW w:w="120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箱式变压器</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315kVA</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3</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3</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小型发电机</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台</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4</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管道阀门及管件等附属设施</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项</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5</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电气系统</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项</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7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6</w:t>
            </w:r>
          </w:p>
        </w:tc>
        <w:tc>
          <w:tcPr>
            <w:tcW w:w="155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自控系统</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项</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3.1.6主要原辅材料以及能源用量</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（1）原辅材料消耗</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表3.1-6主要原辅材料消耗一览表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79"/>
        <w:gridCol w:w="1077"/>
        <w:gridCol w:w="1050"/>
        <w:gridCol w:w="1132"/>
        <w:gridCol w:w="1159"/>
        <w:gridCol w:w="1902"/>
        <w:gridCol w:w="12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序号</w:t>
            </w:r>
          </w:p>
        </w:tc>
        <w:tc>
          <w:tcPr>
            <w:tcW w:w="10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名称</w:t>
            </w:r>
          </w:p>
        </w:tc>
        <w:tc>
          <w:tcPr>
            <w:tcW w:w="10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用量</w:t>
            </w:r>
          </w:p>
        </w:tc>
        <w:tc>
          <w:tcPr>
            <w:tcW w:w="11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最大存储量</w:t>
            </w:r>
          </w:p>
        </w:tc>
        <w:tc>
          <w:tcPr>
            <w:tcW w:w="11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状态</w:t>
            </w:r>
          </w:p>
        </w:tc>
        <w:tc>
          <w:tcPr>
            <w:tcW w:w="190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用途</w:t>
            </w:r>
          </w:p>
        </w:tc>
        <w:tc>
          <w:tcPr>
            <w:tcW w:w="12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存储位置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w:t>
            </w:r>
          </w:p>
        </w:tc>
        <w:tc>
          <w:tcPr>
            <w:tcW w:w="1077"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rPr>
              <w:t>PAM</w:t>
            </w:r>
          </w:p>
        </w:tc>
        <w:tc>
          <w:tcPr>
            <w:tcW w:w="1050"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rPr>
              <w:t>3</w:t>
            </w:r>
            <w:r>
              <w:rPr>
                <w:rFonts w:ascii="Times New Roman" w:hAnsi="Times New Roman" w:eastAsia="宋体" w:cs="Times New Roman"/>
                <w:color w:val="auto"/>
                <w:kern w:val="0"/>
                <w:sz w:val="21"/>
                <w:szCs w:val="21"/>
                <w:highlight w:val="none"/>
              </w:rPr>
              <w:t>6</w:t>
            </w:r>
            <w:r>
              <w:rPr>
                <w:rFonts w:hint="eastAsia" w:ascii="Times New Roman" w:hAnsi="Times New Roman" w:eastAsia="宋体" w:cs="Times New Roman"/>
                <w:color w:val="auto"/>
                <w:sz w:val="21"/>
                <w:szCs w:val="21"/>
                <w:highlight w:val="none"/>
                <w:vertAlign w:val="baseline"/>
                <w:lang w:val="en-US" w:eastAsia="zh-CN"/>
              </w:rPr>
              <w:t>t/a</w:t>
            </w:r>
          </w:p>
        </w:tc>
        <w:tc>
          <w:tcPr>
            <w:tcW w:w="1132"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rPr>
              <w:t>3</w:t>
            </w:r>
            <w:r>
              <w:rPr>
                <w:rFonts w:hint="eastAsia" w:ascii="Times New Roman" w:hAnsi="Times New Roman" w:cs="Times New Roman"/>
                <w:color w:val="auto"/>
                <w:kern w:val="0"/>
                <w:sz w:val="21"/>
                <w:szCs w:val="21"/>
                <w:highlight w:val="none"/>
                <w:lang w:val="en-US" w:eastAsia="zh-CN"/>
              </w:rPr>
              <w:t>0t</w:t>
            </w:r>
            <w:r>
              <w:rPr>
                <w:rFonts w:hint="eastAsia" w:ascii="Times New Roman" w:hAnsi="Times New Roman" w:eastAsia="宋体" w:cs="Times New Roman"/>
                <w:color w:val="auto"/>
                <w:sz w:val="21"/>
                <w:szCs w:val="21"/>
                <w:highlight w:val="none"/>
                <w:vertAlign w:val="baseline"/>
                <w:lang w:val="en-US" w:eastAsia="zh-CN"/>
              </w:rPr>
              <w:t>/次</w:t>
            </w:r>
          </w:p>
        </w:tc>
        <w:tc>
          <w:tcPr>
            <w:tcW w:w="1159"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rPr>
              <w:t>固体</w:t>
            </w:r>
          </w:p>
        </w:tc>
        <w:tc>
          <w:tcPr>
            <w:tcW w:w="1902"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sz w:val="21"/>
                <w:szCs w:val="21"/>
                <w:highlight w:val="none"/>
                <w:vertAlign w:val="baseline"/>
                <w:lang w:val="en-US" w:eastAsia="zh-CN"/>
              </w:rPr>
            </w:pPr>
            <w:r>
              <w:rPr>
                <w:rFonts w:ascii="Times New Roman" w:hAnsi="Times New Roman" w:eastAsia="宋体" w:cs="Times New Roman"/>
                <w:color w:val="auto"/>
                <w:kern w:val="0"/>
                <w:sz w:val="21"/>
                <w:szCs w:val="21"/>
                <w:highlight w:val="none"/>
              </w:rPr>
              <w:t>絮凝沉淀</w:t>
            </w:r>
          </w:p>
        </w:tc>
        <w:tc>
          <w:tcPr>
            <w:tcW w:w="12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戊类库房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w:t>
            </w:r>
          </w:p>
        </w:tc>
        <w:tc>
          <w:tcPr>
            <w:tcW w:w="1077"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rPr>
              <w:t>PAC</w:t>
            </w:r>
          </w:p>
        </w:tc>
        <w:tc>
          <w:tcPr>
            <w:tcW w:w="1050"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rPr>
              <w:t>3</w:t>
            </w:r>
            <w:r>
              <w:rPr>
                <w:rFonts w:ascii="Times New Roman" w:hAnsi="Times New Roman" w:eastAsia="宋体" w:cs="Times New Roman"/>
                <w:color w:val="auto"/>
                <w:kern w:val="0"/>
                <w:sz w:val="21"/>
                <w:szCs w:val="21"/>
                <w:highlight w:val="none"/>
              </w:rPr>
              <w:t>60</w:t>
            </w:r>
            <w:r>
              <w:rPr>
                <w:rFonts w:hint="eastAsia" w:ascii="Times New Roman" w:hAnsi="Times New Roman" w:eastAsia="宋体" w:cs="Times New Roman"/>
                <w:color w:val="auto"/>
                <w:sz w:val="21"/>
                <w:szCs w:val="21"/>
                <w:highlight w:val="none"/>
                <w:vertAlign w:val="baseline"/>
                <w:lang w:val="en-US" w:eastAsia="zh-CN"/>
              </w:rPr>
              <w:t>t/a</w:t>
            </w:r>
          </w:p>
        </w:tc>
        <w:tc>
          <w:tcPr>
            <w:tcW w:w="1132"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rPr>
              <w:t>3</w:t>
            </w:r>
            <w:r>
              <w:rPr>
                <w:rFonts w:hint="eastAsia" w:ascii="Times New Roman" w:hAnsi="Times New Roman" w:cs="Times New Roman"/>
                <w:color w:val="auto"/>
                <w:kern w:val="0"/>
                <w:sz w:val="21"/>
                <w:szCs w:val="21"/>
                <w:highlight w:val="none"/>
                <w:lang w:val="en-US" w:eastAsia="zh-CN"/>
              </w:rPr>
              <w:t>0t</w:t>
            </w:r>
            <w:r>
              <w:rPr>
                <w:rFonts w:hint="eastAsia" w:ascii="Times New Roman" w:hAnsi="Times New Roman" w:eastAsia="宋体" w:cs="Times New Roman"/>
                <w:color w:val="auto"/>
                <w:sz w:val="21"/>
                <w:szCs w:val="21"/>
                <w:highlight w:val="none"/>
                <w:vertAlign w:val="baseline"/>
                <w:lang w:val="en-US" w:eastAsia="zh-CN"/>
              </w:rPr>
              <w:t>/次</w:t>
            </w:r>
          </w:p>
        </w:tc>
        <w:tc>
          <w:tcPr>
            <w:tcW w:w="1159"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rPr>
              <w:t>固体</w:t>
            </w:r>
          </w:p>
        </w:tc>
        <w:tc>
          <w:tcPr>
            <w:tcW w:w="1902"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混凝</w:t>
            </w:r>
            <w:r>
              <w:rPr>
                <w:rFonts w:ascii="Times New Roman" w:hAnsi="Times New Roman" w:eastAsia="宋体" w:cs="Times New Roman"/>
                <w:color w:val="auto"/>
                <w:kern w:val="0"/>
                <w:sz w:val="21"/>
                <w:szCs w:val="21"/>
                <w:highlight w:val="none"/>
              </w:rPr>
              <w:t>沉淀</w:t>
            </w:r>
          </w:p>
        </w:tc>
        <w:tc>
          <w:tcPr>
            <w:tcW w:w="12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戊类库房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0" w:hRule="atLeast"/>
        </w:trPr>
        <w:tc>
          <w:tcPr>
            <w:tcW w:w="9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w:t>
            </w:r>
          </w:p>
        </w:tc>
        <w:tc>
          <w:tcPr>
            <w:tcW w:w="1077"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除硬剂</w:t>
            </w:r>
          </w:p>
        </w:tc>
        <w:tc>
          <w:tcPr>
            <w:tcW w:w="1050" w:type="dxa"/>
            <w:tcBorders>
              <w:tl2br w:val="nil"/>
              <w:tr2bl w:val="nil"/>
            </w:tcBorders>
            <w:vAlign w:val="center"/>
          </w:tcPr>
          <w:p>
            <w:pPr>
              <w:pStyle w:val="18"/>
              <w:spacing w:line="360" w:lineRule="exact"/>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50</w:t>
            </w:r>
            <w:r>
              <w:rPr>
                <w:rFonts w:hint="eastAsia" w:ascii="Times New Roman" w:hAnsi="Times New Roman" w:eastAsia="宋体" w:cs="Times New Roman"/>
                <w:color w:val="auto"/>
                <w:sz w:val="21"/>
                <w:szCs w:val="21"/>
                <w:highlight w:val="none"/>
                <w:vertAlign w:val="baseline"/>
                <w:lang w:val="en-US" w:eastAsia="zh-CN"/>
              </w:rPr>
              <w:t>t/a</w:t>
            </w:r>
          </w:p>
        </w:tc>
        <w:tc>
          <w:tcPr>
            <w:tcW w:w="1132"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2t</w:t>
            </w:r>
            <w:r>
              <w:rPr>
                <w:rFonts w:hint="eastAsia" w:ascii="Times New Roman" w:hAnsi="Times New Roman" w:eastAsia="宋体" w:cs="Times New Roman"/>
                <w:color w:val="auto"/>
                <w:sz w:val="21"/>
                <w:szCs w:val="21"/>
                <w:highlight w:val="none"/>
                <w:vertAlign w:val="baseline"/>
                <w:lang w:val="en-US" w:eastAsia="zh-CN"/>
              </w:rPr>
              <w:t>/次</w:t>
            </w:r>
          </w:p>
        </w:tc>
        <w:tc>
          <w:tcPr>
            <w:tcW w:w="1159"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rPr>
              <w:t>固体</w:t>
            </w:r>
          </w:p>
        </w:tc>
        <w:tc>
          <w:tcPr>
            <w:tcW w:w="1902" w:type="dxa"/>
            <w:tcBorders>
              <w:tl2br w:val="nil"/>
              <w:tr2bl w:val="nil"/>
            </w:tcBorders>
            <w:vAlign w:val="center"/>
          </w:tcPr>
          <w:p>
            <w:pPr>
              <w:pStyle w:val="18"/>
              <w:spacing w:line="360" w:lineRule="exact"/>
              <w:ind w:firstLine="0" w:firstLineChars="0"/>
              <w:jc w:val="center"/>
              <w:rPr>
                <w:rFonts w:ascii="Times New Roman" w:hAnsi="Times New Roman" w:eastAsia="宋体"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混凝</w:t>
            </w:r>
            <w:r>
              <w:rPr>
                <w:rFonts w:ascii="Times New Roman" w:hAnsi="Times New Roman" w:eastAsia="宋体" w:cs="Times New Roman"/>
                <w:color w:val="auto"/>
                <w:kern w:val="0"/>
                <w:sz w:val="21"/>
                <w:szCs w:val="21"/>
                <w:highlight w:val="none"/>
              </w:rPr>
              <w:t>沉淀</w:t>
            </w:r>
          </w:p>
        </w:tc>
        <w:tc>
          <w:tcPr>
            <w:tcW w:w="12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戊类库房</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（2）原辅材料理化性质</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本项目使用的原辅材料理化性质见下表。</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表3.1-7本项目原辅材料理化性质一览表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41"/>
        <w:gridCol w:w="845"/>
        <w:gridCol w:w="2168"/>
        <w:gridCol w:w="3421"/>
        <w:gridCol w:w="124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序号</w:t>
            </w:r>
          </w:p>
        </w:tc>
        <w:tc>
          <w:tcPr>
            <w:tcW w:w="8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物料</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重要组分</w:t>
            </w:r>
          </w:p>
        </w:tc>
        <w:tc>
          <w:tcPr>
            <w:tcW w:w="34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理化性质及作用</w:t>
            </w:r>
          </w:p>
        </w:tc>
        <w:tc>
          <w:tcPr>
            <w:tcW w:w="12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毒理性质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8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kern w:val="0"/>
                <w:sz w:val="21"/>
                <w:szCs w:val="21"/>
                <w:highlight w:val="none"/>
              </w:rPr>
              <w:t>PAM</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聚合氯化铝（PAC），化学通式为[Al</w:t>
            </w:r>
            <w:r>
              <w:rPr>
                <w:rFonts w:hint="eastAsia" w:ascii="Times New Roman" w:hAnsi="Times New Roman" w:eastAsia="宋体" w:cs="Times New Roman"/>
                <w:color w:val="auto"/>
                <w:highlight w:val="none"/>
                <w:vertAlign w:val="subscript"/>
                <w:lang w:val="en-US" w:eastAsia="zh-CN"/>
              </w:rPr>
              <w:t>2</w:t>
            </w:r>
            <w:r>
              <w:rPr>
                <w:rFonts w:hint="eastAsia" w:ascii="Times New Roman" w:hAnsi="Times New Roman" w:eastAsia="宋体" w:cs="Times New Roman"/>
                <w:color w:val="auto"/>
                <w:highlight w:val="none"/>
                <w:vertAlign w:val="baseline"/>
                <w:lang w:val="en-US" w:eastAsia="zh-CN"/>
              </w:rPr>
              <w:t>（OH）nCl</w:t>
            </w:r>
            <w:r>
              <w:rPr>
                <w:rFonts w:hint="eastAsia" w:ascii="Times New Roman" w:hAnsi="Times New Roman" w:eastAsia="宋体" w:cs="Times New Roman"/>
                <w:color w:val="auto"/>
                <w:highlight w:val="none"/>
                <w:vertAlign w:val="subscript"/>
                <w:lang w:val="en-US" w:eastAsia="zh-CN"/>
              </w:rPr>
              <w:t>6</w:t>
            </w:r>
            <w:r>
              <w:rPr>
                <w:rFonts w:hint="eastAsia" w:ascii="Times New Roman" w:hAnsi="Times New Roman" w:eastAsia="宋体" w:cs="Times New Roman"/>
                <w:color w:val="auto"/>
                <w:highlight w:val="none"/>
                <w:vertAlign w:val="baseline"/>
                <w:lang w:val="en-US" w:eastAsia="zh-CN"/>
              </w:rPr>
              <w:t>-n]m，其中m代表聚合程度，n表示PAC产品的中性程度</w:t>
            </w:r>
          </w:p>
        </w:tc>
        <w:tc>
          <w:tcPr>
            <w:tcW w:w="34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对水中胶体和颗粒物具有高度电中和及桥联作用，并可强力去除微有毒物及重金属离子，性状稳定。由于氢氧根离子的架桥作用和多价阴离子的聚合作用，生产出来的聚合氯化铝是相对分子质量较大、电荷较高的无机高分子水处理药剂</w:t>
            </w:r>
          </w:p>
        </w:tc>
        <w:tc>
          <w:tcPr>
            <w:tcW w:w="12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无毒性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2</w:t>
            </w:r>
          </w:p>
        </w:tc>
        <w:tc>
          <w:tcPr>
            <w:tcW w:w="8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kern w:val="0"/>
                <w:sz w:val="21"/>
                <w:szCs w:val="21"/>
                <w:highlight w:val="none"/>
              </w:rPr>
              <w:t>PAC</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聚丙烯酰胺（PAM）是一种线型高分子聚合物，化学式为（C</w:t>
            </w:r>
            <w:r>
              <w:rPr>
                <w:rFonts w:hint="eastAsia" w:ascii="Times New Roman" w:hAnsi="Times New Roman" w:eastAsia="宋体" w:cs="Times New Roman"/>
                <w:color w:val="auto"/>
                <w:highlight w:val="none"/>
                <w:vertAlign w:val="subscript"/>
                <w:lang w:val="en-US" w:eastAsia="zh-CN"/>
              </w:rPr>
              <w:t>3</w:t>
            </w:r>
            <w:r>
              <w:rPr>
                <w:rFonts w:hint="eastAsia" w:ascii="Times New Roman" w:hAnsi="Times New Roman" w:eastAsia="宋体" w:cs="Times New Roman"/>
                <w:color w:val="auto"/>
                <w:highlight w:val="none"/>
                <w:vertAlign w:val="baseline"/>
                <w:lang w:val="en-US" w:eastAsia="zh-CN"/>
              </w:rPr>
              <w:t>H</w:t>
            </w:r>
            <w:r>
              <w:rPr>
                <w:rFonts w:hint="eastAsia" w:ascii="Times New Roman" w:hAnsi="Times New Roman" w:eastAsia="宋体" w:cs="Times New Roman"/>
                <w:color w:val="auto"/>
                <w:highlight w:val="none"/>
                <w:vertAlign w:val="subscript"/>
                <w:lang w:val="en-US" w:eastAsia="zh-CN"/>
              </w:rPr>
              <w:t>5</w:t>
            </w:r>
            <w:r>
              <w:rPr>
                <w:rFonts w:hint="eastAsia" w:ascii="Times New Roman" w:hAnsi="Times New Roman" w:eastAsia="宋体" w:cs="Times New Roman"/>
                <w:color w:val="auto"/>
                <w:highlight w:val="none"/>
                <w:vertAlign w:val="baseline"/>
                <w:lang w:val="en-US" w:eastAsia="zh-CN"/>
              </w:rPr>
              <w:t>NO）</w:t>
            </w:r>
            <w:r>
              <w:rPr>
                <w:rFonts w:hint="eastAsia" w:ascii="Times New Roman" w:hAnsi="Times New Roman" w:eastAsia="宋体" w:cs="Times New Roman"/>
                <w:color w:val="auto"/>
                <w:highlight w:val="none"/>
                <w:vertAlign w:val="subscript"/>
                <w:lang w:val="en-US" w:eastAsia="zh-CN"/>
              </w:rPr>
              <w:t>n</w:t>
            </w:r>
          </w:p>
        </w:tc>
        <w:tc>
          <w:tcPr>
            <w:tcW w:w="34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在常温下为坚硬的玻璃态固体，产品有胶液、胶乳和白色粉粒、半透明珠粒和薄片等。热稳定性良好。能以任意比例溶于水，水溶液为均匀透明的液体。聚丙烯酰胺作为润滑剂、悬浮剂、粘土稳定剂、驱油剂、降失水剂和增稠剂</w:t>
            </w:r>
          </w:p>
        </w:tc>
        <w:tc>
          <w:tcPr>
            <w:tcW w:w="12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无毒性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3</w:t>
            </w:r>
          </w:p>
        </w:tc>
        <w:tc>
          <w:tcPr>
            <w:tcW w:w="845" w:type="dxa"/>
            <w:tcBorders>
              <w:tl2br w:val="nil"/>
              <w:tr2bl w:val="nil"/>
            </w:tcBorders>
            <w:vAlign w:val="center"/>
          </w:tcPr>
          <w:p>
            <w:pPr>
              <w:pStyle w:val="18"/>
              <w:spacing w:line="360" w:lineRule="exact"/>
              <w:ind w:firstLine="0" w:firstLineChars="0"/>
              <w:jc w:val="center"/>
              <w:rPr>
                <w:rFonts w:hint="eastAsia" w:ascii="Times New Roman" w:hAnsi="Times New Roman" w:eastAsia="宋体"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除硬剂</w:t>
            </w:r>
          </w:p>
        </w:tc>
        <w:tc>
          <w:tcPr>
            <w:tcW w:w="216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主要成分为碳酸钠及氢氧化钙</w:t>
            </w:r>
          </w:p>
        </w:tc>
        <w:tc>
          <w:tcPr>
            <w:tcW w:w="34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氢氧化钙</w:t>
            </w:r>
            <w:r>
              <w:rPr>
                <w:rFonts w:hint="eastAsia" w:ascii="Times New Roman" w:hAnsi="Times New Roman" w:eastAsia="宋体" w:cs="Times New Roman"/>
                <w:color w:val="auto"/>
                <w:highlight w:val="none"/>
                <w:vertAlign w:val="baseline"/>
                <w:lang w:val="en-US" w:eastAsia="zh-CN"/>
              </w:rPr>
              <w:t>微有苦碱味。易吸收空气中二氧化碳生成碳酸钙，灼热失去水成氧化钙。在25℃时饱和水溶液pH为12.4。能溶于甘油、蔗糖溶液和氯化铵溶液，溶于酸时能产生大量热，微溶于水。有腐蚀性。半数致死量(大鼠，经口)7.34g/kg</w:t>
            </w:r>
            <w:r>
              <w:rPr>
                <w:rFonts w:hint="eastAsia" w:cs="Times New Roman"/>
                <w:color w:val="auto"/>
                <w:highlight w:val="none"/>
                <w:vertAlign w:val="baseline"/>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碳酸钠：无气味。有碱味。有吸湿性。露置空气中逐渐吸收1mol/L水分(约15%)。400℃时开始失去二氧化碳。遇酸分解并泡腾。溶于水(室温时3.5份，35℃时2.2份)和甘油，不溶于醇。水溶液呈强碱性，pH11.6。半数致死量(30日)(小鼠中，腹腔)116.6mg/kg。有刺激性。</w:t>
            </w:r>
          </w:p>
        </w:tc>
        <w:tc>
          <w:tcPr>
            <w:tcW w:w="12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无毒性</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3.1.7公用工程</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3.1.7.1给水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（1）施工期</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本项目施工期间用水主要为施工人员生活用水。</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项目施工期共5个月，最多施工人数为30人</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生活用水量参照黑龙江省地方标准《用水定额》（DB23/T727-2021）中农村居民生活用水量核算，本</w:t>
      </w:r>
      <w:r>
        <w:rPr>
          <w:rFonts w:hint="eastAsia" w:cs="Times New Roman"/>
          <w:caps w:val="0"/>
          <w:smallCaps w:val="0"/>
          <w:snapToGrid/>
          <w:color w:val="auto"/>
          <w:spacing w:val="0"/>
          <w:w w:val="100"/>
          <w:kern w:val="0"/>
          <w:sz w:val="24"/>
          <w:szCs w:val="24"/>
          <w:highlight w:val="none"/>
          <w:lang w:val="en-US" w:eastAsia="zh-CN" w:bidi="ar-SA"/>
        </w:rPr>
        <w:t>项目</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施工期生活用水量每人80L/d，生活用水量共计</w:t>
      </w:r>
      <w:r>
        <w:rPr>
          <w:rFonts w:hint="eastAsia" w:cs="Times New Roman"/>
          <w:caps w:val="0"/>
          <w:smallCaps w:val="0"/>
          <w:snapToGrid/>
          <w:color w:val="auto"/>
          <w:spacing w:val="0"/>
          <w:w w:val="100"/>
          <w:kern w:val="0"/>
          <w:sz w:val="24"/>
          <w:szCs w:val="24"/>
          <w:highlight w:val="none"/>
          <w:lang w:val="en-US" w:eastAsia="zh-CN" w:bidi="ar-SA"/>
        </w:rPr>
        <w:t>360</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r>
        <w:rPr>
          <w:rFonts w:hint="eastAsia" w:cs="Times New Roman"/>
          <w:caps w:val="0"/>
          <w:smallCaps w:val="0"/>
          <w:snapToGrid/>
          <w:color w:val="auto"/>
          <w:spacing w:val="0"/>
          <w:w w:val="100"/>
          <w:kern w:val="0"/>
          <w:sz w:val="24"/>
          <w:szCs w:val="24"/>
          <w:highlight w:val="none"/>
          <w:vertAlign w:val="baseline"/>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r>
        <w:rPr>
          <w:rFonts w:hint="eastAsia" w:cs="Times New Roman"/>
          <w:caps w:val="0"/>
          <w:smallCaps w:val="0"/>
          <w:snapToGrid/>
          <w:color w:val="auto"/>
          <w:spacing w:val="0"/>
          <w:w w:val="100"/>
          <w:kern w:val="0"/>
          <w:sz w:val="24"/>
          <w:szCs w:val="24"/>
          <w:highlight w:val="none"/>
          <w:vertAlign w:val="baseline"/>
          <w:lang w:val="en-US" w:eastAsia="zh-CN" w:bidi="ar-SA"/>
        </w:rPr>
        <w:t>运行</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期</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项目运行期用水为试验区油井压裂前期用水、站内运维人员生活用水及消防用水。</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w:t>
      </w:r>
      <w:r>
        <w:rPr>
          <w:rFonts w:hint="eastAsia" w:cs="Times New Roman"/>
          <w:caps w:val="0"/>
          <w:smallCaps w:val="0"/>
          <w:snapToGrid/>
          <w:color w:val="auto"/>
          <w:spacing w:val="0"/>
          <w:w w:val="100"/>
          <w:kern w:val="0"/>
          <w:sz w:val="24"/>
          <w:szCs w:val="24"/>
          <w:highlight w:val="none"/>
          <w:lang w:val="en-US" w:eastAsia="zh-CN" w:bidi="ar-SA"/>
        </w:rPr>
        <w:t>压裂前期用水</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3#服务站站内</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自打深水井12口，用于页岩油3#试验区压裂前期使用，单井涌水量为60-80m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/h，取水层为取水层位为第四系林甸组和泰康组浅层含水层，</w:t>
      </w:r>
      <w:r>
        <w:rPr>
          <w:rFonts w:hint="eastAsia" w:cs="Times New Roman"/>
          <w:caps w:val="0"/>
          <w:smallCaps w:val="0"/>
          <w:snapToGrid/>
          <w:color w:val="auto"/>
          <w:spacing w:val="0"/>
          <w:w w:val="100"/>
          <w:kern w:val="0"/>
          <w:sz w:val="24"/>
          <w:szCs w:val="24"/>
          <w:highlight w:val="none"/>
          <w:lang w:val="en-US" w:eastAsia="zh-CN" w:bidi="ar-SA"/>
        </w:rPr>
        <w:t>最大</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年取水量为50万m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cs="Times New Roman"/>
          <w:caps w:val="0"/>
          <w:smallCaps w:val="0"/>
          <w:snapToGrid/>
          <w:color w:val="auto"/>
          <w:spacing w:val="0"/>
          <w:w w:val="100"/>
          <w:kern w:val="0"/>
          <w:sz w:val="24"/>
          <w:szCs w:val="24"/>
          <w:highlight w:val="none"/>
          <w:lang w:val="en-US" w:eastAsia="zh-CN" w:bidi="ar-SA"/>
        </w:rPr>
        <w:t>本项目已办理取水论证，取得肇源县水务局许可。</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肇源县2020年灌溉水利用系数为0.61，工业增加用水下降率为11.1%，2030年地下水用水总量控制指标2.37×10</w:t>
      </w:r>
      <w:r>
        <w:rPr>
          <w:rFonts w:hint="eastAsia" w:cs="Times New Roman"/>
          <w:caps w:val="0"/>
          <w:smallCaps w:val="0"/>
          <w:snapToGrid/>
          <w:color w:val="auto"/>
          <w:spacing w:val="0"/>
          <w:w w:val="100"/>
          <w:kern w:val="0"/>
          <w:sz w:val="24"/>
          <w:szCs w:val="24"/>
          <w:highlight w:val="none"/>
          <w:vertAlign w:val="superscript"/>
          <w:lang w:val="en-US" w:eastAsia="zh-CN" w:bidi="ar-SA"/>
        </w:rPr>
        <w:t>8</w:t>
      </w:r>
      <w:r>
        <w:rPr>
          <w:rFonts w:hint="eastAsia" w:cs="Times New Roman"/>
          <w:caps w:val="0"/>
          <w:smallCaps w:val="0"/>
          <w:snapToGrid/>
          <w:color w:val="auto"/>
          <w:spacing w:val="0"/>
          <w:w w:val="100"/>
          <w:kern w:val="0"/>
          <w:sz w:val="24"/>
          <w:szCs w:val="24"/>
          <w:highlight w:val="none"/>
          <w:lang w:val="en-US" w:eastAsia="zh-CN" w:bidi="ar-SA"/>
        </w:rPr>
        <w:t>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。现状地下水开采量1.60×10</w:t>
      </w:r>
      <w:r>
        <w:rPr>
          <w:rFonts w:hint="eastAsia" w:cs="Times New Roman"/>
          <w:caps w:val="0"/>
          <w:smallCaps w:val="0"/>
          <w:snapToGrid/>
          <w:color w:val="auto"/>
          <w:spacing w:val="0"/>
          <w:w w:val="100"/>
          <w:kern w:val="0"/>
          <w:sz w:val="24"/>
          <w:szCs w:val="24"/>
          <w:highlight w:val="none"/>
          <w:vertAlign w:val="superscript"/>
          <w:lang w:val="en-US" w:eastAsia="zh-CN" w:bidi="ar-SA"/>
        </w:rPr>
        <w:t>8</w:t>
      </w:r>
      <w:r>
        <w:rPr>
          <w:rFonts w:hint="eastAsia" w:cs="Times New Roman"/>
          <w:caps w:val="0"/>
          <w:smallCaps w:val="0"/>
          <w:snapToGrid/>
          <w:color w:val="auto"/>
          <w:spacing w:val="0"/>
          <w:w w:val="100"/>
          <w:kern w:val="0"/>
          <w:sz w:val="24"/>
          <w:szCs w:val="24"/>
          <w:highlight w:val="none"/>
          <w:lang w:val="en-US" w:eastAsia="zh-CN" w:bidi="ar-SA"/>
        </w:rPr>
        <w:t>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，项目所在区域具有较好的地下水资源条件，含水层埋藏较浅，区域浅层发育有较厚的第四系砂砾石含水层，含水特征较好，是可供开采的供水水源，</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同时，地下水水质较好，属于低矿化度重碳酸钠钙型水，水量、水质基本达到工业、农业、生活用水标准，项目建设开采地下水对于区域用水指标取水量符合用水总量控制要求。</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②</w:t>
      </w:r>
      <w:r>
        <w:rPr>
          <w:rFonts w:hint="eastAsia" w:cs="Times New Roman"/>
          <w:caps w:val="0"/>
          <w:smallCaps w:val="0"/>
          <w:snapToGrid/>
          <w:color w:val="auto"/>
          <w:spacing w:val="0"/>
          <w:w w:val="100"/>
          <w:kern w:val="0"/>
          <w:sz w:val="24"/>
          <w:szCs w:val="24"/>
          <w:highlight w:val="none"/>
          <w:lang w:val="en-US" w:eastAsia="zh-CN" w:bidi="ar-SA"/>
        </w:rPr>
        <w:t>站内运维人员生活用水</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运行期间，站内生活用水外购桶装水。</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参照黑龙江省地方标准《用水定额》（DB23/T727-2021）中农村居民生活用水量核算，</w:t>
      </w:r>
      <w:r>
        <w:rPr>
          <w:rFonts w:hint="eastAsia" w:cs="Times New Roman"/>
          <w:caps w:val="0"/>
          <w:smallCaps w:val="0"/>
          <w:snapToGrid/>
          <w:color w:val="auto"/>
          <w:spacing w:val="0"/>
          <w:w w:val="100"/>
          <w:kern w:val="0"/>
          <w:sz w:val="24"/>
          <w:szCs w:val="24"/>
          <w:highlight w:val="none"/>
          <w:lang w:val="en-US" w:eastAsia="zh-CN" w:bidi="ar-SA"/>
        </w:rPr>
        <w:t>站内运维人员共30人，</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生活用水量每人80L/d，生活用水量共计</w:t>
      </w:r>
      <w:r>
        <w:rPr>
          <w:rFonts w:hint="eastAsia" w:cs="Times New Roman"/>
          <w:caps w:val="0"/>
          <w:smallCaps w:val="0"/>
          <w:snapToGrid/>
          <w:color w:val="auto"/>
          <w:spacing w:val="0"/>
          <w:w w:val="100"/>
          <w:kern w:val="0"/>
          <w:sz w:val="24"/>
          <w:szCs w:val="24"/>
          <w:highlight w:val="none"/>
          <w:lang w:val="en-US" w:eastAsia="zh-CN" w:bidi="ar-SA"/>
        </w:rPr>
        <w:t>876</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③</w:t>
      </w:r>
      <w:r>
        <w:rPr>
          <w:rFonts w:hint="eastAsia" w:cs="Times New Roman"/>
          <w:caps w:val="0"/>
          <w:smallCaps w:val="0"/>
          <w:snapToGrid/>
          <w:color w:val="auto"/>
          <w:spacing w:val="0"/>
          <w:w w:val="100"/>
          <w:kern w:val="0"/>
          <w:sz w:val="24"/>
          <w:szCs w:val="24"/>
          <w:highlight w:val="none"/>
          <w:lang w:val="en-US" w:eastAsia="zh-CN" w:bidi="ar-SA"/>
        </w:rPr>
        <w:t>消防用水</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根据《事故状态下水体污染的预防和控制规范》（Q/SY08190-2019）附录B中消防用水量的计算公式：</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240" w:lineRule="auto"/>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drawing>
          <wp:inline distT="0" distB="0" distL="114300" distR="114300">
            <wp:extent cx="1524000" cy="419100"/>
            <wp:effectExtent l="0" t="0" r="0" b="0"/>
            <wp:docPr id="5" name="图片 5" descr="消防用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消防用水"/>
                    <pic:cNvPicPr>
                      <a:picLocks noChangeAspect="1"/>
                    </pic:cNvPicPr>
                  </pic:nvPicPr>
                  <pic:blipFill>
                    <a:blip r:embed="rId16"/>
                    <a:stretch>
                      <a:fillRect/>
                    </a:stretch>
                  </pic:blipFill>
                  <pic:spPr>
                    <a:xfrm>
                      <a:off x="0" y="0"/>
                      <a:ext cx="1524000" cy="419100"/>
                    </a:xfrm>
                    <a:prstGeom prst="rect">
                      <a:avLst/>
                    </a:prstGeom>
                  </pic:spPr>
                </pic:pic>
              </a:graphicData>
            </a:graphic>
          </wp:inline>
        </w:drawing>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式中：V-发生事故时，装置及厂区消防用水总量，m</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Q消-发生事故时，装置及厂区同时使用的消防设施给水量，m</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/h；</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t消-消防设施对应的设计消防历时，h。</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根据</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《石油化工企业设计防火标准》（GB50160-2008）（2018修订）的要求</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，本项目室外消防用水量Q取</w:t>
      </w:r>
      <w:r>
        <w:rPr>
          <w:rFonts w:hint="eastAsia" w:cs="Times New Roman"/>
          <w:caps w:val="0"/>
          <w:smallCaps w:val="0"/>
          <w:snapToGrid/>
          <w:color w:val="auto"/>
          <w:spacing w:val="0"/>
          <w:w w:val="100"/>
          <w:kern w:val="0"/>
          <w:sz w:val="24"/>
          <w:szCs w:val="24"/>
          <w:highlight w:val="none"/>
          <w:lang w:val="en-US" w:eastAsia="zh-CN" w:bidi="ar-SA"/>
        </w:rPr>
        <w:t>60</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L/S，室内消防用水量Q取15</w:t>
      </w:r>
      <w:r>
        <w:rPr>
          <w:rFonts w:hint="eastAsia" w:cs="Times New Roman"/>
          <w:caps w:val="0"/>
          <w:smallCaps w:val="0"/>
          <w:snapToGrid/>
          <w:color w:val="auto"/>
          <w:spacing w:val="0"/>
          <w:w w:val="100"/>
          <w:kern w:val="0"/>
          <w:sz w:val="24"/>
          <w:szCs w:val="24"/>
          <w:highlight w:val="none"/>
          <w:lang w:val="en-US" w:eastAsia="zh-CN" w:bidi="ar-SA"/>
        </w:rPr>
        <w:t>0</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L/S，t消为</w:t>
      </w:r>
      <w:r>
        <w:rPr>
          <w:rFonts w:hint="eastAsia" w:cs="Times New Roman"/>
          <w:caps w:val="0"/>
          <w:smallCaps w:val="0"/>
          <w:snapToGrid/>
          <w:color w:val="auto"/>
          <w:spacing w:val="0"/>
          <w:w w:val="100"/>
          <w:kern w:val="0"/>
          <w:sz w:val="24"/>
          <w:szCs w:val="24"/>
          <w:highlight w:val="none"/>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h。计算得出消防用水量为</w:t>
      </w:r>
      <w:r>
        <w:rPr>
          <w:rFonts w:hint="eastAsia" w:cs="Times New Roman"/>
          <w:caps w:val="0"/>
          <w:smallCaps w:val="0"/>
          <w:snapToGrid/>
          <w:color w:val="auto"/>
          <w:spacing w:val="0"/>
          <w:w w:val="100"/>
          <w:kern w:val="0"/>
          <w:sz w:val="24"/>
          <w:szCs w:val="24"/>
          <w:highlight w:val="none"/>
          <w:lang w:val="en-US" w:eastAsia="zh-CN" w:bidi="ar-SA"/>
        </w:rPr>
        <w:t>648</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m</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/次。</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3.1.7.</w:t>
      </w:r>
      <w:r>
        <w:rPr>
          <w:rFonts w:hint="eastAsia" w:cs="Times New Roman"/>
          <w:caps w:val="0"/>
          <w:smallCaps w:val="0"/>
          <w:snapToGrid/>
          <w:color w:val="auto"/>
          <w:spacing w:val="0"/>
          <w:w w:val="100"/>
          <w:kern w:val="0"/>
          <w:sz w:val="24"/>
          <w:szCs w:val="24"/>
          <w:highlight w:val="none"/>
          <w:vertAlign w:val="baseline"/>
          <w:lang w:val="en-US" w:eastAsia="zh-CN" w:bidi="ar-SA"/>
        </w:rPr>
        <w:t>2排水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（1）施工期</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施工期</w:t>
      </w:r>
      <w:r>
        <w:rPr>
          <w:rFonts w:hint="eastAsia" w:cs="Times New Roman"/>
          <w:caps w:val="0"/>
          <w:smallCaps w:val="0"/>
          <w:snapToGrid/>
          <w:color w:val="auto"/>
          <w:spacing w:val="0"/>
          <w:w w:val="100"/>
          <w:kern w:val="0"/>
          <w:sz w:val="24"/>
          <w:szCs w:val="24"/>
          <w:highlight w:val="none"/>
          <w:vertAlign w:val="baseline"/>
          <w:lang w:val="en-US" w:eastAsia="zh-CN" w:bidi="ar-SA"/>
        </w:rPr>
        <w:t>产生的废水为施工人员生活污水及施工废水。</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生活污水产生量按生活用水的80%计算，则生活污水产生量为</w:t>
      </w:r>
      <w:r>
        <w:rPr>
          <w:rFonts w:hint="eastAsia" w:cs="Times New Roman"/>
          <w:caps w:val="0"/>
          <w:smallCaps w:val="0"/>
          <w:snapToGrid/>
          <w:color w:val="auto"/>
          <w:spacing w:val="0"/>
          <w:w w:val="100"/>
          <w:kern w:val="0"/>
          <w:sz w:val="24"/>
          <w:szCs w:val="24"/>
          <w:highlight w:val="none"/>
          <w:lang w:val="en-US" w:eastAsia="zh-CN" w:bidi="ar-SA"/>
        </w:rPr>
        <w:t>288</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3#服务站站址</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施工区域生活污水排入站内化粪池，施工结束后，可随站内运维人员生活污水一起拉运处置；管道施工区域距附近村屯较近，不设置施工营地，租用附近的村民民房进行生活，生活污水排入租用民房防渗化粪池内，定期清掏。</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施工废水为搅拌砂浆、润湿建筑材料、清洗施工设备的少量生产废水，</w:t>
      </w:r>
      <w:r>
        <w:rPr>
          <w:rFonts w:hint="eastAsia" w:cs="Times New Roman"/>
          <w:caps w:val="0"/>
          <w:smallCaps w:val="0"/>
          <w:snapToGrid/>
          <w:color w:val="auto"/>
          <w:spacing w:val="0"/>
          <w:w w:val="100"/>
          <w:kern w:val="0"/>
          <w:sz w:val="24"/>
          <w:szCs w:val="24"/>
          <w:highlight w:val="none"/>
          <w:lang w:val="en-US" w:eastAsia="zh-CN" w:bidi="ar-SA"/>
        </w:rPr>
        <w:t>产生量小，</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经施工场地内临时沉淀池沉淀后，用于厂区施工洒水抑尘。</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r>
        <w:rPr>
          <w:rFonts w:hint="eastAsia" w:cs="Times New Roman"/>
          <w:caps w:val="0"/>
          <w:smallCaps w:val="0"/>
          <w:snapToGrid/>
          <w:color w:val="auto"/>
          <w:spacing w:val="0"/>
          <w:w w:val="100"/>
          <w:kern w:val="0"/>
          <w:sz w:val="24"/>
          <w:szCs w:val="24"/>
          <w:highlight w:val="none"/>
          <w:vertAlign w:val="baseline"/>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r>
        <w:rPr>
          <w:rFonts w:hint="eastAsia" w:cs="Times New Roman"/>
          <w:caps w:val="0"/>
          <w:smallCaps w:val="0"/>
          <w:snapToGrid/>
          <w:color w:val="auto"/>
          <w:spacing w:val="0"/>
          <w:w w:val="100"/>
          <w:kern w:val="0"/>
          <w:sz w:val="24"/>
          <w:szCs w:val="24"/>
          <w:highlight w:val="none"/>
          <w:vertAlign w:val="baseline"/>
          <w:lang w:val="en-US" w:eastAsia="zh-CN" w:bidi="ar-SA"/>
        </w:rPr>
        <w:t>运行</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期</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项目运行期产生的废水为运维人员生活污水、站内处理达标水、初期雨水、污泥离心浓缩废水、消防废水。厂区进行雨污分流制。</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w:t>
      </w:r>
      <w:r>
        <w:rPr>
          <w:rFonts w:hint="eastAsia" w:cs="Times New Roman"/>
          <w:caps w:val="0"/>
          <w:smallCaps w:val="0"/>
          <w:snapToGrid/>
          <w:color w:val="auto"/>
          <w:spacing w:val="0"/>
          <w:w w:val="100"/>
          <w:kern w:val="0"/>
          <w:sz w:val="24"/>
          <w:szCs w:val="24"/>
          <w:highlight w:val="none"/>
          <w:lang w:val="en-US" w:eastAsia="zh-CN" w:bidi="ar-SA"/>
        </w:rPr>
        <w:t>生活污水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生活污水产生量按生活用水的80%计算，则生活污水产生量为701m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。排入化粪池内，定期清掏，拉运至新站镇生活污水处理厂处理。</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②</w:t>
      </w:r>
      <w:r>
        <w:rPr>
          <w:rFonts w:hint="eastAsia" w:cs="Times New Roman"/>
          <w:caps w:val="0"/>
          <w:smallCaps w:val="0"/>
          <w:snapToGrid/>
          <w:color w:val="auto"/>
          <w:spacing w:val="0"/>
          <w:w w:val="100"/>
          <w:kern w:val="0"/>
          <w:sz w:val="24"/>
          <w:szCs w:val="24"/>
          <w:highlight w:val="none"/>
          <w:vertAlign w:val="baseline"/>
          <w:lang w:val="en-US" w:eastAsia="zh-CN" w:bidi="ar-SA"/>
        </w:rPr>
        <w:t>初期雨水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厂区道路设置初期雨水收集系统。初期雨水收集系统主要由初期雨水收集池、水泵、雨水收集管及控制阀门组成。收集后前15min雨水排入雨水收集池，15分钟后的雨水排至厂区</w:t>
      </w:r>
      <w:r>
        <w:rPr>
          <w:rFonts w:hint="eastAsia" w:cs="Times New Roman"/>
          <w:caps w:val="0"/>
          <w:smallCaps w:val="0"/>
          <w:snapToGrid/>
          <w:color w:val="auto"/>
          <w:spacing w:val="0"/>
          <w:w w:val="100"/>
          <w:kern w:val="0"/>
          <w:sz w:val="24"/>
          <w:szCs w:val="24"/>
          <w:highlight w:val="none"/>
          <w:vertAlign w:val="baseline"/>
          <w:lang w:val="en-US" w:eastAsia="zh-CN" w:bidi="ar-SA"/>
        </w:rPr>
        <w:t>北侧公路两侧低洼地带。</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设计暴雨强度按大庆地区暴雨强度公式计算：</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2438400" cy="361950"/>
            <wp:effectExtent l="0" t="0" r="0" b="0"/>
            <wp:docPr id="6" name="图片 6" descr="暴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暴雨"/>
                    <pic:cNvPicPr>
                      <a:picLocks noChangeAspect="1"/>
                    </pic:cNvPicPr>
                  </pic:nvPicPr>
                  <pic:blipFill>
                    <a:blip r:embed="rId17"/>
                    <a:stretch>
                      <a:fillRect/>
                    </a:stretch>
                  </pic:blipFill>
                  <pic:spPr>
                    <a:xfrm>
                      <a:off x="0" y="0"/>
                      <a:ext cx="2438400" cy="3619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雨水设计流量按下列公式计算：</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Q=qΨF</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式中：Q—雨水设计流量（L/s）；</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960" w:firstLineChars="400"/>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q—设计暴雨强度（L/s.ha）；</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960" w:firstLineChars="400"/>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Ψ—径流系数，取0.65；</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960" w:firstLineChars="400"/>
        <w:jc w:val="both"/>
        <w:textAlignment w:val="auto"/>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F—汇水面积（ha），本项目为12100m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雨水排水系统设计重现期为2年，降雨历时为15min，径流系数采用0.90。设计计算暴雨强度：q=205.28升/秒.公顷，初期雨水收集量为201.2m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。经收集，暂存在初期雨水收集池内，再进入站内废水处理系统，经处理达标后，回用于页岩油试验区压裂复配。</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③</w:t>
      </w:r>
      <w:r>
        <w:rPr>
          <w:rFonts w:hint="eastAsia" w:cs="Times New Roman"/>
          <w:caps w:val="0"/>
          <w:smallCaps w:val="0"/>
          <w:snapToGrid/>
          <w:color w:val="auto"/>
          <w:spacing w:val="0"/>
          <w:w w:val="100"/>
          <w:kern w:val="0"/>
          <w:sz w:val="24"/>
          <w:szCs w:val="24"/>
          <w:highlight w:val="none"/>
          <w:vertAlign w:val="baseline"/>
          <w:lang w:val="en-US" w:eastAsia="zh-CN" w:bidi="ar-SA"/>
        </w:rPr>
        <w:t>消防废水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消防废水产生量按用水量的100%计，则消防废水产生量为</w:t>
      </w:r>
      <w:r>
        <w:rPr>
          <w:rFonts w:hint="eastAsia" w:cs="Times New Roman"/>
          <w:caps w:val="0"/>
          <w:smallCaps w:val="0"/>
          <w:snapToGrid/>
          <w:color w:val="auto"/>
          <w:spacing w:val="0"/>
          <w:w w:val="100"/>
          <w:kern w:val="0"/>
          <w:sz w:val="24"/>
          <w:szCs w:val="24"/>
          <w:highlight w:val="none"/>
          <w:vertAlign w:val="baseline"/>
          <w:lang w:val="en-US" w:eastAsia="zh-CN" w:bidi="ar-SA"/>
        </w:rPr>
        <w:t>648</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/次，站内建设</w:t>
      </w:r>
      <w:r>
        <w:rPr>
          <w:rFonts w:hint="eastAsia" w:cs="Times New Roman"/>
          <w:caps w:val="0"/>
          <w:smallCaps w:val="0"/>
          <w:snapToGrid/>
          <w:color w:val="auto"/>
          <w:spacing w:val="0"/>
          <w:w w:val="100"/>
          <w:kern w:val="0"/>
          <w:sz w:val="24"/>
          <w:szCs w:val="24"/>
          <w:highlight w:val="none"/>
          <w:vertAlign w:val="baseline"/>
          <w:lang w:val="en-US" w:eastAsia="zh-CN" w:bidi="ar-SA"/>
        </w:rPr>
        <w:t>事故池1座，</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有效容积不小于</w:t>
      </w:r>
      <w:r>
        <w:rPr>
          <w:rFonts w:hint="eastAsia" w:cs="Times New Roman"/>
          <w:caps w:val="0"/>
          <w:smallCaps w:val="0"/>
          <w:snapToGrid/>
          <w:color w:val="auto"/>
          <w:spacing w:val="0"/>
          <w:w w:val="100"/>
          <w:kern w:val="0"/>
          <w:sz w:val="24"/>
          <w:szCs w:val="24"/>
          <w:highlight w:val="none"/>
          <w:vertAlign w:val="baseline"/>
          <w:lang w:val="en-US" w:eastAsia="zh-CN" w:bidi="ar-SA"/>
        </w:rPr>
        <w:t>1300</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，消防废水经收集后，暂存于</w:t>
      </w:r>
      <w:r>
        <w:rPr>
          <w:rFonts w:hint="eastAsia" w:cs="Times New Roman"/>
          <w:caps w:val="0"/>
          <w:smallCaps w:val="0"/>
          <w:snapToGrid/>
          <w:color w:val="auto"/>
          <w:spacing w:val="0"/>
          <w:w w:val="100"/>
          <w:kern w:val="0"/>
          <w:sz w:val="24"/>
          <w:szCs w:val="24"/>
          <w:highlight w:val="none"/>
          <w:vertAlign w:val="baseline"/>
          <w:lang w:val="en-US" w:eastAsia="zh-CN" w:bidi="ar-SA"/>
        </w:rPr>
        <w:t>事故池</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中</w:t>
      </w:r>
      <w:r>
        <w:rPr>
          <w:rFonts w:hint="eastAsia" w:cs="Times New Roman"/>
          <w:caps w:val="0"/>
          <w:smallCaps w:val="0"/>
          <w:snapToGrid/>
          <w:color w:val="auto"/>
          <w:spacing w:val="0"/>
          <w:w w:val="100"/>
          <w:kern w:val="0"/>
          <w:sz w:val="24"/>
          <w:szCs w:val="24"/>
          <w:highlight w:val="none"/>
          <w:lang w:val="en-US" w:eastAsia="zh-CN" w:bidi="ar-SA"/>
        </w:rPr>
        <w:t>，交由有资质单位处置。</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④污泥离心浓缩废水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污泥经压泥机离心处理后，有浓缩废水产生。类比风瀚杜蒙1#服务站项目，本项目污泥未离心处理前产生量为423t/a，含水量不低于85%，经离心后污泥含水量不低于70%，则污泥离心浓缩废水产生量为211.5t/a，0.6t/d，进入站内废水处理系统，经处理达标</w:t>
      </w:r>
      <w:r>
        <w:rPr>
          <w:rFonts w:hint="eastAsia" w:cs="Times New Roman"/>
          <w:caps w:val="0"/>
          <w:smallCaps w:val="0"/>
          <w:snapToGrid/>
          <w:color w:val="auto"/>
          <w:spacing w:val="0"/>
          <w:w w:val="100"/>
          <w:kern w:val="0"/>
          <w:sz w:val="24"/>
          <w:szCs w:val="24"/>
          <w:highlight w:val="none"/>
          <w:vertAlign w:val="baseline"/>
          <w:lang w:val="en-US" w:eastAsia="zh-CN" w:bidi="ar-SA"/>
        </w:rPr>
        <w:t>后，回用于页岩油试验区压裂复配。</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⑤</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站内处理达标</w:t>
      </w:r>
      <w:r>
        <w:rPr>
          <w:rFonts w:hint="eastAsia" w:cs="Times New Roman"/>
          <w:caps w:val="0"/>
          <w:smallCaps w:val="0"/>
          <w:snapToGrid/>
          <w:color w:val="auto"/>
          <w:spacing w:val="0"/>
          <w:w w:val="100"/>
          <w:kern w:val="0"/>
          <w:sz w:val="24"/>
          <w:szCs w:val="24"/>
          <w:highlight w:val="none"/>
          <w:vertAlign w:val="baseline"/>
          <w:lang w:val="en-US" w:eastAsia="zh-CN" w:bidi="ar-SA"/>
        </w:rPr>
        <w:t>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w:t>
      </w:r>
      <w:r>
        <w:rPr>
          <w:rFonts w:hint="eastAsia" w:cs="Times New Roman"/>
          <w:caps w:val="0"/>
          <w:smallCaps w:val="0"/>
          <w:snapToGrid/>
          <w:color w:val="auto"/>
          <w:spacing w:val="0"/>
          <w:w w:val="100"/>
          <w:kern w:val="0"/>
          <w:sz w:val="24"/>
          <w:szCs w:val="24"/>
          <w:highlight w:val="none"/>
          <w:vertAlign w:val="baseline"/>
          <w:lang w:val="en-US" w:eastAsia="zh-CN" w:bidi="ar-SA"/>
        </w:rPr>
        <w:t>采取“均质+隔油沉沙+混凝絮凝沉淀+气浮”的工艺对运来的压裂返排液进行处理；处理达标中水满足《大庆油田地面工程建设设计规定》（Q/SYDQ 0639-2015）“含油量≤20mg/L、悬浮固体含量≤20mg/L”，暂存于站址内储液池中，根据需要，通过罐车拉运3#页岩油试验区，或者管输至杜蒙1#服务站，回用于其他页岩油试验区压裂复配。</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w:t>
      </w:r>
      <w:r>
        <w:rPr>
          <w:rFonts w:hint="eastAsia" w:cs="Times New Roman"/>
          <w:caps w:val="0"/>
          <w:smallCaps w:val="0"/>
          <w:snapToGrid/>
          <w:color w:val="auto"/>
          <w:spacing w:val="0"/>
          <w:w w:val="100"/>
          <w:kern w:val="0"/>
          <w:sz w:val="24"/>
          <w:szCs w:val="24"/>
          <w:highlight w:val="none"/>
          <w:vertAlign w:val="baseline"/>
          <w:lang w:val="en-US" w:eastAsia="zh-CN" w:bidi="ar-SA"/>
        </w:rPr>
        <w:t>3#服务站设计处理量为4500t/d，站外来水先经卸料槽+均质池，均质调节水质、水量后，进入预处理车间，依次经进水池→隔油沉沙池→混凝池1#→絮凝池1#→沉淀池→混凝池2#→絮凝池2#→涡凹反应池→涡凹气浮刮渣池→外排水池，处理满足《大庆油田地面工程建设设计规定》（Q/SYDQ 0639-2015）“含油量≤20mg/L、悬浮固体含量≤20mg/L”，通过管道进入站内设置的储液池区域，暂存，尽快回用。</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涡凹气浮刮渣池产生的污泥，进入压泥机进行简单离心脱水处置。</w:t>
      </w:r>
    </w:p>
    <w:p>
      <w:pPr>
        <w:pStyle w:val="11"/>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color w:val="auto"/>
          <w:highlight w:val="none"/>
          <w:lang w:val="en-US" w:eastAsia="zh-CN"/>
        </w:rPr>
      </w:pPr>
      <w:r>
        <w:rPr>
          <w:rFonts w:hint="default"/>
          <w:color w:val="auto"/>
          <w:highlight w:val="none"/>
          <w:lang w:val="en-US" w:eastAsia="zh-CN"/>
        </w:rPr>
        <w:drawing>
          <wp:inline distT="0" distB="0" distL="114300" distR="114300">
            <wp:extent cx="5263515" cy="2320925"/>
            <wp:effectExtent l="0" t="0" r="13335" b="3175"/>
            <wp:docPr id="76" name="图片 76" descr="水平衡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水平衡图"/>
                    <pic:cNvPicPr>
                      <a:picLocks noChangeAspect="1"/>
                    </pic:cNvPicPr>
                  </pic:nvPicPr>
                  <pic:blipFill>
                    <a:blip r:embed="rId18"/>
                    <a:stretch>
                      <a:fillRect/>
                    </a:stretch>
                  </pic:blipFill>
                  <pic:spPr>
                    <a:xfrm>
                      <a:off x="0" y="0"/>
                      <a:ext cx="5263515" cy="23209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图</w:t>
      </w:r>
      <w:r>
        <w:rPr>
          <w:rFonts w:hint="eastAsia" w:cs="宋体"/>
          <w:b/>
          <w:bCs/>
          <w:smallCaps w:val="0"/>
          <w:color w:val="auto"/>
          <w:kern w:val="2"/>
          <w:sz w:val="21"/>
          <w:szCs w:val="21"/>
          <w:highlight w:val="none"/>
          <w:lang w:val="en-US" w:eastAsia="zh-CN" w:bidi="ar-SA"/>
        </w:rPr>
        <w:t>3.1-2运行期水平衡图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3.1.7.</w:t>
      </w:r>
      <w:r>
        <w:rPr>
          <w:rFonts w:hint="eastAsia" w:cs="Times New Roman"/>
          <w:caps w:val="0"/>
          <w:smallCaps w:val="0"/>
          <w:snapToGrid/>
          <w:color w:val="auto"/>
          <w:spacing w:val="0"/>
          <w:w w:val="100"/>
          <w:kern w:val="0"/>
          <w:sz w:val="24"/>
          <w:szCs w:val="24"/>
          <w:highlight w:val="none"/>
          <w:vertAlign w:val="baseline"/>
          <w:lang w:val="en-US" w:eastAsia="zh-CN" w:bidi="ar-SA"/>
        </w:rPr>
        <w:t>3供配电</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本项目电源取自附近村屯电网，站内设置315kVA箱式变压器3台，10kV供电线路引接至厂区配电室，0.4kV低压侧线路为整个厂区供电，自控仪表及火灾报警系统采用UPS（不间断电源）供电。</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3.1.7.</w:t>
      </w:r>
      <w:r>
        <w:rPr>
          <w:rFonts w:hint="eastAsia" w:cs="Times New Roman"/>
          <w:caps w:val="0"/>
          <w:smallCaps w:val="0"/>
          <w:snapToGrid/>
          <w:color w:val="auto"/>
          <w:spacing w:val="0"/>
          <w:w w:val="100"/>
          <w:kern w:val="0"/>
          <w:sz w:val="24"/>
          <w:szCs w:val="24"/>
          <w:highlight w:val="none"/>
          <w:vertAlign w:val="baseline"/>
          <w:lang w:val="en-US" w:eastAsia="zh-CN" w:bidi="ar-SA"/>
        </w:rPr>
        <w:t>4供热</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项目生产车间无需供暖。办公区域冬季采取自建锅炉进行供暖，建设燃气热水锅炉30kw1台，使用天然气作为燃料。</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3.1.7.5消防</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站内设置消防水罐1座，规格为Φ9.0×8m，容积220m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/座。</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站内设置事故池1座，有效容积不小于1300m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，消防废水经收集暂存在事故水池内，交由有资质单位处置。站内办公区域及预处理车间配置手提式磷酸铵盐干粉灭火器、灭火车。</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3.1.8劳动定员</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本项目3#服务站站内运维定员共30人，其中管理人员6人，技术人员10人，操作人员14人，生产岗位四班三运转，每班工作8小时连续生产，年操作天数为365天，年操作为8760小时。</w:t>
      </w:r>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25" w:name="_Toc24563"/>
      <w:r>
        <w:rPr>
          <w:rFonts w:hint="eastAsia" w:ascii="Times New Roman" w:hAnsi="Times New Roman" w:eastAsia="宋体" w:cs="Times New Roman"/>
          <w:snapToGrid/>
          <w:color w:val="auto"/>
          <w:sz w:val="32"/>
          <w:highlight w:val="none"/>
          <w:lang w:val="en-US" w:eastAsia="zh-CN" w:bidi="ar-SA"/>
        </w:rPr>
        <w:t>3.2施工方式</w:t>
      </w:r>
      <w:bookmarkEnd w:id="25"/>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3.2.1站址施工</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站址施工主要涉及场地清理、土方挖掘、结构施工和装修等。</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表3.2-1建筑施工期各阶段情况</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729"/>
        <w:gridCol w:w="678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2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作业阶段</w:t>
            </w:r>
          </w:p>
        </w:tc>
        <w:tc>
          <w:tcPr>
            <w:tcW w:w="67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主要内容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2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清理场地阶段</w:t>
            </w:r>
          </w:p>
        </w:tc>
        <w:tc>
          <w:tcPr>
            <w:tcW w:w="67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包括场地平整、清理地上物和垃圾等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2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土方开挖阶段</w:t>
            </w:r>
          </w:p>
        </w:tc>
        <w:tc>
          <w:tcPr>
            <w:tcW w:w="67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包括开挖土方、石方等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2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基础工程阶段</w:t>
            </w:r>
          </w:p>
        </w:tc>
        <w:tc>
          <w:tcPr>
            <w:tcW w:w="67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包括打桩、砌筑基础等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2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主体工程阶段</w:t>
            </w:r>
          </w:p>
        </w:tc>
        <w:tc>
          <w:tcPr>
            <w:tcW w:w="67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包括钢筋、混凝土工程、钢木工程、砌体工程和装修等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2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扫尾工程阶段</w:t>
            </w:r>
          </w:p>
        </w:tc>
        <w:tc>
          <w:tcPr>
            <w:tcW w:w="67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包括回填土方、修路、清理现场等</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施工期主要污染物有施工扬尘、机械及车辆废气、</w:t>
      </w:r>
      <w:r>
        <w:rPr>
          <w:rFonts w:hint="eastAsia" w:cs="Times New Roman"/>
          <w:caps w:val="0"/>
          <w:smallCaps w:val="0"/>
          <w:snapToGrid/>
          <w:color w:val="auto"/>
          <w:spacing w:val="0"/>
          <w:w w:val="100"/>
          <w:kern w:val="0"/>
          <w:sz w:val="24"/>
          <w:szCs w:val="24"/>
          <w:highlight w:val="none"/>
          <w:vertAlign w:val="baseline"/>
          <w:lang w:val="en-US" w:eastAsia="zh-CN" w:bidi="ar-SA"/>
        </w:rPr>
        <w:t>焊接烟气、</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噪声影响；施工废水影响和施工固体废弃物影响等。施工流程及各主要污染物产生情况见下图。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5269230" cy="2753360"/>
            <wp:effectExtent l="0" t="0" r="7620" b="8890"/>
            <wp:docPr id="20" name="图片 20" descr="施工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施工期"/>
                    <pic:cNvPicPr>
                      <a:picLocks noChangeAspect="1"/>
                    </pic:cNvPicPr>
                  </pic:nvPicPr>
                  <pic:blipFill>
                    <a:blip r:embed="rId19"/>
                    <a:stretch>
                      <a:fillRect/>
                    </a:stretch>
                  </pic:blipFill>
                  <pic:spPr>
                    <a:xfrm>
                      <a:off x="0" y="0"/>
                      <a:ext cx="5269230" cy="275336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vertAlign w:val="baseline"/>
          <w:lang w:val="en-US" w:eastAsia="zh-CN" w:bidi="ar-SA"/>
        </w:rPr>
        <w:t>注：G1：扬尘；G2：机械、车辆尾气、焊接烟气；N：施工噪声；S1：建筑垃圾；S2：生活垃圾；W：生活污水、施工废水。</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图3.2-1施工流程及产污环节</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3.2.2管道施工</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管道施工程序为：测量定线，施工作业带清理，清除障碍物，平整工作带，</w:t>
      </w:r>
      <w:r>
        <w:rPr>
          <w:rFonts w:hint="eastAsia" w:cs="Times New Roman"/>
          <w:caps w:val="0"/>
          <w:smallCaps w:val="0"/>
          <w:snapToGrid/>
          <w:color w:val="auto"/>
          <w:spacing w:val="0"/>
          <w:w w:val="100"/>
          <w:kern w:val="0"/>
          <w:sz w:val="24"/>
          <w:szCs w:val="24"/>
          <w:highlight w:val="none"/>
          <w:vertAlign w:val="baseline"/>
          <w:lang w:val="en-US" w:eastAsia="zh-CN" w:bidi="ar-SA"/>
        </w:rPr>
        <w:t>管材</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运输，布管，管沟开挖、下沟，整体试压，站间连接，通球扫线，工程验收。</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（1）施工作业带清理</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管道施工采用人工开挖和机械开挖相结合的方式施工，施工初期，首先要对施工作业带进行清理和平整，进行布管、开挖管沟等施工作业。</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在场地清理过程中，施工带范围内的土壤、植被和农作物都将受到扰动和破坏，不过其造成的影响仅局限在施工带宽度的范围内。管道施工平面布置图见下图。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5262245" cy="1189355"/>
            <wp:effectExtent l="0" t="0" r="14605" b="10795"/>
            <wp:docPr id="44" name="图片 44" descr="管道施工作业断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管道施工作业断面图"/>
                    <pic:cNvPicPr>
                      <a:picLocks noChangeAspect="1"/>
                    </pic:cNvPicPr>
                  </pic:nvPicPr>
                  <pic:blipFill>
                    <a:blip r:embed="rId20"/>
                    <a:stretch>
                      <a:fillRect/>
                    </a:stretch>
                  </pic:blipFill>
                  <pic:spPr>
                    <a:xfrm>
                      <a:off x="0" y="0"/>
                      <a:ext cx="5262245" cy="1189355"/>
                    </a:xfrm>
                    <a:prstGeom prst="rect">
                      <a:avLst/>
                    </a:prstGeom>
                  </pic:spPr>
                </pic:pic>
              </a:graphicData>
            </a:graphic>
          </wp:inline>
        </w:drawing>
      </w:r>
    </w:p>
    <w:p>
      <w:pPr>
        <w:pStyle w:val="11"/>
        <w:jc w:val="center"/>
        <w:rPr>
          <w:rFonts w:hint="default"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图3.2-2管道施工作业断面图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②管沟敷设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管道采用沟埋方式敷设。开挖后，将运到现场的管道进行</w:t>
      </w:r>
      <w:r>
        <w:rPr>
          <w:rFonts w:hint="eastAsia" w:cs="Times New Roman"/>
          <w:caps w:val="0"/>
          <w:smallCaps w:val="0"/>
          <w:snapToGrid/>
          <w:color w:val="auto"/>
          <w:spacing w:val="0"/>
          <w:w w:val="100"/>
          <w:kern w:val="0"/>
          <w:sz w:val="24"/>
          <w:szCs w:val="24"/>
          <w:highlight w:val="none"/>
          <w:vertAlign w:val="baseline"/>
          <w:lang w:val="en-US" w:eastAsia="zh-CN" w:bidi="ar-SA"/>
        </w:rPr>
        <w:t>连接</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r>
        <w:rPr>
          <w:rFonts w:hint="eastAsia" w:cs="Times New Roman"/>
          <w:caps w:val="0"/>
          <w:smallCaps w:val="0"/>
          <w:snapToGrid/>
          <w:color w:val="auto"/>
          <w:spacing w:val="0"/>
          <w:w w:val="100"/>
          <w:kern w:val="0"/>
          <w:sz w:val="24"/>
          <w:szCs w:val="24"/>
          <w:highlight w:val="none"/>
          <w:vertAlign w:val="baseline"/>
          <w:lang w:val="en-US" w:eastAsia="zh-CN" w:bidi="ar-SA"/>
        </w:rPr>
        <w:t>检查，</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然后下到管沟内。管沟开挖沟底与上口同宽，不进行放坡。</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③清管、试压</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干燥管道在下沟回填后应清管和试压。采用清管球（器）进行清管，清管次数不少于两次，以开口端不再排出杂物为合格。清管后</w:t>
      </w:r>
      <w:r>
        <w:rPr>
          <w:rFonts w:hint="eastAsia" w:cs="Times New Roman"/>
          <w:caps w:val="0"/>
          <w:smallCaps w:val="0"/>
          <w:snapToGrid/>
          <w:color w:val="auto"/>
          <w:spacing w:val="0"/>
          <w:w w:val="100"/>
          <w:kern w:val="0"/>
          <w:sz w:val="24"/>
          <w:szCs w:val="24"/>
          <w:highlight w:val="none"/>
          <w:vertAlign w:val="baseline"/>
          <w:lang w:val="en-US" w:eastAsia="zh-CN" w:bidi="ar-SA"/>
        </w:rPr>
        <w:t>采用压缩空气进行试压，</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严密性试验合格后使用。</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④防腐保护</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项目输液管道采用钢丝网骨架塑料（聚乙烯）复合管，其内衬层、外护层通常为高分子材料结构，因此具有天然的防腐蚀性能；增强层通常采用高强纤维或者连续玻纤带材料，因此钢丝网骨架塑料（聚乙烯）复合管除了耐腐蚀性能和柔韧性优越，还可以承受较高的荷载。管道防腐性能较好，无需进行额外的防腐工程。</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⑤管沟回填</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施工时，分层开挖，不同土层土壤分开堆放，回填时，需先回填下层土，后回填表层耕植土。管道出土端及弯头两侧分层回填夯实；管沟回填后立即恢复地貌。</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⑥定向钻施工方式</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本项目穿越</w:t>
      </w:r>
      <w:r>
        <w:rPr>
          <w:rFonts w:hint="eastAsia" w:cs="Times New Roman"/>
          <w:caps w:val="0"/>
          <w:smallCaps w:val="0"/>
          <w:snapToGrid/>
          <w:color w:val="auto"/>
          <w:spacing w:val="0"/>
          <w:w w:val="100"/>
          <w:kern w:val="0"/>
          <w:sz w:val="24"/>
          <w:szCs w:val="24"/>
          <w:highlight w:val="none"/>
          <w:vertAlign w:val="baseline"/>
          <w:lang w:val="en-US" w:eastAsia="zh-CN" w:bidi="ar-SA"/>
        </w:rPr>
        <w:t>坑塘水面、沟渠及林地</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地段采用定向钻穿越。</w:t>
      </w:r>
      <w:r>
        <w:rPr>
          <w:rFonts w:hint="eastAsia" w:cs="Times New Roman"/>
          <w:caps w:val="0"/>
          <w:smallCaps w:val="0"/>
          <w:snapToGrid/>
          <w:color w:val="auto"/>
          <w:spacing w:val="0"/>
          <w:w w:val="100"/>
          <w:kern w:val="0"/>
          <w:sz w:val="24"/>
          <w:szCs w:val="24"/>
          <w:highlight w:val="none"/>
          <w:vertAlign w:val="baseline"/>
          <w:lang w:val="en-US" w:eastAsia="zh-CN" w:bidi="ar-SA"/>
        </w:rPr>
        <w:t>本项目不进行涉水施工，不涉及林地砍伐，两侧泥浆坑占地类型为耕地。</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根据施工场地条件，一侧安装钻机，钻机中心线与确定的管道入土点和出土点的延伸线相吻合，围绕钻机安装泥浆泵、泥浆罐、微机控制室、钻杆、冲洗管、泥浆坑、扩孔器和切削刀等器材。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另一侧布置焊管托滚架，在钻孔完成后，应提前完成整根管道的组装工作，并在入土点和出土点的延伸线上布置发送托管架或发送沟，摆放好管道，同时要挖好泥浆坑</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具体定向钻施工过程为：首先用泥浆通过钻杆推动钻头旋转破土前进，按照设计的管道穿越曲线钻导向孔。当钻杆进尺达十余根时，开始下冲洗管，并使钻杆与冲洗管交替钻进。在钻进过程中，随时通过控向装置掌握钻头所处位置，通过调整弯管壳的方向，使导向孔符合设计曲线。导向孔完成和冲洗管出土后，钻杆全部抽回，在冲洗管出土端，连接上切削刀、扩孔器、旋转接头和已预制好的管道，然后开始连续回拖，即在扩孔器扩孔的同时，将钻台上的卡盘向上移动，拉动扩孔器和管道前进，管道就逐渐地被敷设在扩大的孔中，直至管端在入土点露出，完成管道的穿越。钻孔和扩孔的泥屑均随泥浆返回地面。</w:t>
      </w:r>
    </w:p>
    <w:p>
      <w:pPr>
        <w:pStyle w:val="11"/>
        <w:ind w:left="0" w:leftChars="0" w:firstLine="0" w:firstLineChars="0"/>
        <w:rPr>
          <w:rFonts w:hint="default"/>
          <w:color w:val="auto"/>
          <w:highlight w:val="none"/>
          <w:lang w:val="en-US" w:eastAsia="zh-CN"/>
        </w:rPr>
      </w:pPr>
      <w:r>
        <w:rPr>
          <w:rFonts w:hint="default"/>
          <w:color w:val="auto"/>
          <w:highlight w:val="none"/>
          <w:lang w:val="en-US" w:eastAsia="zh-CN"/>
        </w:rPr>
        <w:drawing>
          <wp:inline distT="0" distB="0" distL="114300" distR="114300">
            <wp:extent cx="5269865" cy="1762760"/>
            <wp:effectExtent l="0" t="0" r="6985" b="8890"/>
            <wp:docPr id="14" name="图片 14" descr="定向穿越施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定向穿越施工"/>
                    <pic:cNvPicPr>
                      <a:picLocks noChangeAspect="1"/>
                    </pic:cNvPicPr>
                  </pic:nvPicPr>
                  <pic:blipFill>
                    <a:blip r:embed="rId21"/>
                    <a:stretch>
                      <a:fillRect/>
                    </a:stretch>
                  </pic:blipFill>
                  <pic:spPr>
                    <a:xfrm>
                      <a:off x="0" y="0"/>
                      <a:ext cx="5269865" cy="176276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图3.2-3定向钻穿越施工钻导向孔过程断面示意图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4248150" cy="1504950"/>
            <wp:effectExtent l="0" t="0" r="0" b="0"/>
            <wp:docPr id="13" name="图片 13" descr="4管道开挖施工平面布置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4管道开挖施工平面布置示意图"/>
                    <pic:cNvPicPr>
                      <a:picLocks noChangeAspect="1"/>
                    </pic:cNvPicPr>
                  </pic:nvPicPr>
                  <pic:blipFill>
                    <a:blip r:embed="rId22"/>
                    <a:stretch>
                      <a:fillRect/>
                    </a:stretch>
                  </pic:blipFill>
                  <pic:spPr>
                    <a:xfrm>
                      <a:off x="0" y="0"/>
                      <a:ext cx="4248150" cy="15049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图3.2-</w:t>
      </w:r>
      <w:r>
        <w:rPr>
          <w:rFonts w:hint="eastAsia" w:cs="宋体"/>
          <w:b/>
          <w:bCs/>
          <w:smallCaps w:val="0"/>
          <w:color w:val="auto"/>
          <w:kern w:val="2"/>
          <w:sz w:val="21"/>
          <w:szCs w:val="21"/>
          <w:highlight w:val="none"/>
          <w:lang w:val="en-US" w:eastAsia="zh-CN" w:bidi="ar-SA"/>
        </w:rPr>
        <w:t>4</w:t>
      </w:r>
      <w:r>
        <w:rPr>
          <w:rFonts w:hint="eastAsia" w:ascii="Times New Roman" w:hAnsi="Times New Roman" w:eastAsia="宋体" w:cs="宋体"/>
          <w:b/>
          <w:bCs/>
          <w:smallCaps w:val="0"/>
          <w:color w:val="auto"/>
          <w:kern w:val="2"/>
          <w:sz w:val="21"/>
          <w:szCs w:val="21"/>
          <w:highlight w:val="none"/>
          <w:lang w:val="en-US" w:eastAsia="zh-CN" w:bidi="ar-SA"/>
        </w:rPr>
        <w:t>管道</w:t>
      </w:r>
      <w:r>
        <w:rPr>
          <w:rFonts w:hint="eastAsia" w:cs="宋体"/>
          <w:b/>
          <w:bCs/>
          <w:smallCaps w:val="0"/>
          <w:color w:val="auto"/>
          <w:kern w:val="2"/>
          <w:sz w:val="21"/>
          <w:szCs w:val="21"/>
          <w:highlight w:val="none"/>
          <w:lang w:val="en-US" w:eastAsia="zh-CN" w:bidi="ar-SA"/>
        </w:rPr>
        <w:t>置放</w:t>
      </w:r>
      <w:r>
        <w:rPr>
          <w:rFonts w:hint="eastAsia" w:ascii="Times New Roman" w:hAnsi="Times New Roman" w:eastAsia="宋体" w:cs="宋体"/>
          <w:b/>
          <w:bCs/>
          <w:smallCaps w:val="0"/>
          <w:color w:val="auto"/>
          <w:kern w:val="2"/>
          <w:sz w:val="21"/>
          <w:szCs w:val="21"/>
          <w:highlight w:val="none"/>
          <w:lang w:val="en-US" w:eastAsia="zh-CN" w:bidi="ar-SA"/>
        </w:rPr>
        <w:t>平面布置示意图</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5269865" cy="6308090"/>
            <wp:effectExtent l="0" t="0" r="6985" b="16510"/>
            <wp:docPr id="45" name="图片 45" descr="管道开挖施工平面布置示意图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管道开挖施工平面布置示意图2png"/>
                    <pic:cNvPicPr>
                      <a:picLocks noChangeAspect="1"/>
                    </pic:cNvPicPr>
                  </pic:nvPicPr>
                  <pic:blipFill>
                    <a:blip r:embed="rId23"/>
                    <a:stretch>
                      <a:fillRect/>
                    </a:stretch>
                  </pic:blipFill>
                  <pic:spPr>
                    <a:xfrm>
                      <a:off x="0" y="0"/>
                      <a:ext cx="5269865" cy="6308090"/>
                    </a:xfrm>
                    <a:prstGeom prst="rect">
                      <a:avLst/>
                    </a:prstGeom>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图3.2-</w:t>
      </w:r>
      <w:r>
        <w:rPr>
          <w:rFonts w:hint="eastAsia" w:ascii="Times New Roman" w:eastAsia="宋体" w:cs="宋体"/>
          <w:b/>
          <w:bCs/>
          <w:smallCaps w:val="0"/>
          <w:color w:val="auto"/>
          <w:kern w:val="2"/>
          <w:sz w:val="21"/>
          <w:szCs w:val="21"/>
          <w:highlight w:val="none"/>
          <w:lang w:val="en-US" w:eastAsia="zh-CN" w:bidi="ar-SA"/>
        </w:rPr>
        <w:t>5</w:t>
      </w:r>
      <w:r>
        <w:rPr>
          <w:rFonts w:hint="eastAsia" w:ascii="Times New Roman" w:hAnsi="Times New Roman" w:eastAsia="宋体" w:cs="宋体"/>
          <w:b/>
          <w:bCs/>
          <w:smallCaps w:val="0"/>
          <w:color w:val="auto"/>
          <w:kern w:val="2"/>
          <w:sz w:val="21"/>
          <w:szCs w:val="21"/>
          <w:highlight w:val="none"/>
          <w:lang w:val="en-US" w:eastAsia="zh-CN" w:bidi="ar-SA"/>
        </w:rPr>
        <w:t>管道开挖施工平面布置示意图</w:t>
      </w:r>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26" w:name="_Toc32203"/>
      <w:r>
        <w:rPr>
          <w:rFonts w:hint="default" w:ascii="Times New Roman" w:hAnsi="Times New Roman" w:eastAsia="宋体" w:cs="Times New Roman"/>
          <w:snapToGrid/>
          <w:color w:val="auto"/>
          <w:sz w:val="32"/>
          <w:highlight w:val="none"/>
          <w:lang w:val="en-US" w:eastAsia="zh-CN" w:bidi="ar-SA"/>
        </w:rPr>
        <w:t>3.</w:t>
      </w:r>
      <w:r>
        <w:rPr>
          <w:rFonts w:hint="eastAsia" w:ascii="Times New Roman" w:hAnsi="Times New Roman" w:eastAsia="宋体" w:cs="Times New Roman"/>
          <w:snapToGrid/>
          <w:color w:val="auto"/>
          <w:sz w:val="32"/>
          <w:highlight w:val="none"/>
          <w:lang w:val="en-US" w:eastAsia="zh-CN" w:bidi="ar-SA"/>
        </w:rPr>
        <w:t>3</w:t>
      </w:r>
      <w:r>
        <w:rPr>
          <w:rFonts w:hint="default" w:ascii="Times New Roman" w:hAnsi="Times New Roman" w:eastAsia="宋体" w:cs="Times New Roman"/>
          <w:snapToGrid/>
          <w:color w:val="auto"/>
          <w:sz w:val="32"/>
          <w:highlight w:val="none"/>
          <w:lang w:val="en-US" w:eastAsia="zh-CN" w:bidi="ar-SA"/>
        </w:rPr>
        <w:t>运</w:t>
      </w:r>
      <w:r>
        <w:rPr>
          <w:rFonts w:hint="eastAsia" w:ascii="Times New Roman" w:hAnsi="Times New Roman" w:eastAsia="宋体" w:cs="Times New Roman"/>
          <w:snapToGrid/>
          <w:color w:val="auto"/>
          <w:sz w:val="32"/>
          <w:highlight w:val="none"/>
          <w:lang w:val="en-US" w:eastAsia="zh-CN" w:bidi="ar-SA"/>
        </w:rPr>
        <w:t>行</w:t>
      </w:r>
      <w:r>
        <w:rPr>
          <w:rFonts w:hint="default" w:ascii="Times New Roman" w:hAnsi="Times New Roman" w:eastAsia="宋体" w:cs="Times New Roman"/>
          <w:snapToGrid/>
          <w:color w:val="auto"/>
          <w:sz w:val="32"/>
          <w:highlight w:val="none"/>
          <w:lang w:val="en-US" w:eastAsia="zh-CN" w:bidi="ar-SA"/>
        </w:rPr>
        <w:t>期工艺及产污环节分析</w:t>
      </w:r>
      <w:bookmarkEnd w:id="26"/>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项目</w:t>
      </w:r>
      <w:r>
        <w:rPr>
          <w:rFonts w:hint="eastAsia" w:cs="Times New Roman"/>
          <w:caps w:val="0"/>
          <w:smallCaps w:val="0"/>
          <w:snapToGrid/>
          <w:color w:val="auto"/>
          <w:spacing w:val="0"/>
          <w:w w:val="100"/>
          <w:kern w:val="0"/>
          <w:sz w:val="24"/>
          <w:szCs w:val="24"/>
          <w:highlight w:val="none"/>
          <w:vertAlign w:val="baseline"/>
          <w:lang w:val="en-US" w:eastAsia="zh-CN" w:bidi="ar-SA"/>
        </w:rPr>
        <w:t>废水</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处理工艺设计采用</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均质+隔油沉沙+混凝絮凝沉淀+气浮</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出水水质满足《大庆油田地面工程建设设计规定》（Q/SYDQ0639-2015）</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含油量≤20mg/L，悬浮固体含量≤20mg/L</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限值要求，回用于</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页岩油试验区</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压裂</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复配</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5267325" cy="2106295"/>
            <wp:effectExtent l="0" t="0" r="9525" b="8255"/>
            <wp:docPr id="7" name="图片 7" descr="工艺流程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工艺流程新"/>
                    <pic:cNvPicPr>
                      <a:picLocks noChangeAspect="1"/>
                    </pic:cNvPicPr>
                  </pic:nvPicPr>
                  <pic:blipFill>
                    <a:blip r:embed="rId24"/>
                    <a:stretch>
                      <a:fillRect/>
                    </a:stretch>
                  </pic:blipFill>
                  <pic:spPr>
                    <a:xfrm>
                      <a:off x="0" y="0"/>
                      <a:ext cx="5267325" cy="210629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图3.</w:t>
      </w:r>
      <w:r>
        <w:rPr>
          <w:rFonts w:hint="eastAsia" w:cs="宋体"/>
          <w:b/>
          <w:bCs/>
          <w:smallCaps w:val="0"/>
          <w:color w:val="auto"/>
          <w:kern w:val="2"/>
          <w:sz w:val="21"/>
          <w:szCs w:val="21"/>
          <w:highlight w:val="none"/>
          <w:lang w:val="en-US" w:eastAsia="zh-CN" w:bidi="ar-SA"/>
        </w:rPr>
        <w:t>3-1运行期工艺流程及产污节点图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3.3.1废水</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处理工艺简述</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本项目新建3#服务站设计处理能力为4500t</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/d，采取“均质+隔油沉沙+混凝絮凝沉淀+气浮”的工艺对运来的压裂返排液进行处理；处理达标中水满足《大庆油田地面工程建设设计规定》（Q/SYDQ 0639-2015）“含油量≤20mg/L、悬浮固体含量≤20mg/L”，暂存于站址内储液池中，根据需要，通过罐车拉运3#页岩油试验区，或者管输至杜蒙1#服务站，回用于其他页岩油试验区压裂复配。</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待处理的</w:t>
      </w:r>
      <w:r>
        <w:rPr>
          <w:rFonts w:hint="eastAsia" w:cs="Times New Roman"/>
          <w:caps w:val="0"/>
          <w:smallCaps w:val="0"/>
          <w:snapToGrid/>
          <w:color w:val="auto"/>
          <w:spacing w:val="0"/>
          <w:w w:val="100"/>
          <w:kern w:val="0"/>
          <w:sz w:val="24"/>
          <w:szCs w:val="24"/>
          <w:highlight w:val="none"/>
          <w:vertAlign w:val="baseline"/>
          <w:lang w:val="en-US" w:eastAsia="zh-CN" w:bidi="ar-SA"/>
        </w:rPr>
        <w:t>废水</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由罐车拉运至</w:t>
      </w:r>
      <w:r>
        <w:rPr>
          <w:rFonts w:hint="eastAsia" w:cs="Times New Roman"/>
          <w:caps w:val="0"/>
          <w:smallCaps w:val="0"/>
          <w:snapToGrid/>
          <w:color w:val="auto"/>
          <w:spacing w:val="0"/>
          <w:w w:val="100"/>
          <w:kern w:val="0"/>
          <w:sz w:val="24"/>
          <w:szCs w:val="24"/>
          <w:highlight w:val="none"/>
          <w:vertAlign w:val="baseline"/>
          <w:lang w:val="en-US" w:eastAsia="zh-CN" w:bidi="ar-SA"/>
        </w:rPr>
        <w:t>本次新建</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3#服务站。先经卸料槽，去除较大</w:t>
      </w:r>
      <w:r>
        <w:rPr>
          <w:rFonts w:hint="eastAsia" w:cs="Times New Roman"/>
          <w:caps w:val="0"/>
          <w:smallCaps w:val="0"/>
          <w:snapToGrid/>
          <w:color w:val="auto"/>
          <w:spacing w:val="0"/>
          <w:w w:val="100"/>
          <w:kern w:val="0"/>
          <w:sz w:val="24"/>
          <w:szCs w:val="24"/>
          <w:highlight w:val="none"/>
          <w:vertAlign w:val="baseline"/>
          <w:lang w:val="en-US" w:eastAsia="zh-CN" w:bidi="ar-SA"/>
        </w:rPr>
        <w:t>胶质物质</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，再通过管道，</w:t>
      </w:r>
      <w:r>
        <w:rPr>
          <w:rFonts w:hint="eastAsia" w:cs="Times New Roman"/>
          <w:caps w:val="0"/>
          <w:smallCaps w:val="0"/>
          <w:snapToGrid/>
          <w:color w:val="auto"/>
          <w:spacing w:val="0"/>
          <w:w w:val="100"/>
          <w:kern w:val="0"/>
          <w:sz w:val="24"/>
          <w:szCs w:val="24"/>
          <w:highlight w:val="none"/>
          <w:vertAlign w:val="baseline"/>
          <w:lang w:val="en-US" w:eastAsia="zh-CN" w:bidi="ar-SA"/>
        </w:rPr>
        <w:t>进入</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均质池进行均质调节。</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经均质调节之后的</w:t>
      </w:r>
      <w:r>
        <w:rPr>
          <w:rFonts w:hint="eastAsia" w:cs="Times New Roman"/>
          <w:caps w:val="0"/>
          <w:smallCaps w:val="0"/>
          <w:snapToGrid/>
          <w:color w:val="auto"/>
          <w:spacing w:val="0"/>
          <w:w w:val="100"/>
          <w:kern w:val="0"/>
          <w:sz w:val="24"/>
          <w:szCs w:val="24"/>
          <w:highlight w:val="none"/>
          <w:vertAlign w:val="baseline"/>
          <w:lang w:val="en-US" w:eastAsia="zh-CN" w:bidi="ar-SA"/>
        </w:rPr>
        <w:t>废水</w:t>
      </w:r>
      <w:r>
        <w:rPr>
          <w:rFonts w:hint="default" w:cs="Times New Roman"/>
          <w:caps w:val="0"/>
          <w:smallCaps w:val="0"/>
          <w:snapToGrid/>
          <w:color w:val="auto"/>
          <w:spacing w:val="0"/>
          <w:w w:val="100"/>
          <w:kern w:val="0"/>
          <w:sz w:val="24"/>
          <w:szCs w:val="24"/>
          <w:highlight w:val="none"/>
          <w:vertAlign w:val="baseline"/>
          <w:lang w:val="en-US" w:eastAsia="zh-CN" w:bidi="ar-SA"/>
        </w:rPr>
        <w:t>进入预处理车间</w:t>
      </w:r>
      <w:r>
        <w:rPr>
          <w:rFonts w:hint="eastAsia" w:cs="Times New Roman"/>
          <w:caps w:val="0"/>
          <w:smallCaps w:val="0"/>
          <w:snapToGrid/>
          <w:color w:val="auto"/>
          <w:spacing w:val="0"/>
          <w:w w:val="100"/>
          <w:kern w:val="0"/>
          <w:sz w:val="24"/>
          <w:szCs w:val="24"/>
          <w:highlight w:val="none"/>
          <w:vertAlign w:val="baseline"/>
          <w:lang w:val="en-US" w:eastAsia="zh-CN" w:bidi="ar-SA"/>
        </w:rPr>
        <w:t>，待处理的废水依次经进水池→隔油沉沙池→混凝池1#→絮凝池1#→沉淀池→混凝池2#→絮凝池2#→涡凹反应池→涡凹气浮刮渣池→外排水池，处理后水由油田单位定期对处理的水进行监测，处理达标的水通过管道进入站内设置的储液池区域，暂存，尽快回用。不达标回到预处理车间继续处理，达标回用。</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进入混凝池及絮凝池时，添加药剂除硬剂、PAC及PAM。涡凹气浮刮渣池产生的污泥，进入压泥机进行简单离心脱水处置，污泥暂存站内危废暂存间内，</w:t>
      </w:r>
      <w:r>
        <w:rPr>
          <w:rFonts w:hint="default" w:cs="Times New Roman"/>
          <w:caps w:val="0"/>
          <w:smallCaps w:val="0"/>
          <w:snapToGrid/>
          <w:color w:val="auto"/>
          <w:spacing w:val="0"/>
          <w:w w:val="100"/>
          <w:kern w:val="0"/>
          <w:sz w:val="24"/>
          <w:szCs w:val="24"/>
          <w:highlight w:val="none"/>
          <w:vertAlign w:val="baseline"/>
          <w:lang w:val="en-US" w:eastAsia="zh-CN" w:bidi="ar-SA"/>
        </w:rPr>
        <w:t>定期交由有资质单位拉运处置</w:t>
      </w:r>
      <w:r>
        <w:rPr>
          <w:rFonts w:hint="eastAsia" w:cs="Times New Roman"/>
          <w:caps w:val="0"/>
          <w:smallCaps w:val="0"/>
          <w:snapToGrid/>
          <w:color w:val="auto"/>
          <w:spacing w:val="0"/>
          <w:w w:val="100"/>
          <w:kern w:val="0"/>
          <w:sz w:val="24"/>
          <w:szCs w:val="24"/>
          <w:highlight w:val="none"/>
          <w:vertAlign w:val="baseline"/>
          <w:lang w:val="en-US" w:eastAsia="zh-CN" w:bidi="ar-SA"/>
        </w:rPr>
        <w:t>。废水处理过程产生的污油</w:t>
      </w:r>
      <w:r>
        <w:rPr>
          <w:rFonts w:hint="default" w:cs="Times New Roman"/>
          <w:caps w:val="0"/>
          <w:smallCaps w:val="0"/>
          <w:snapToGrid/>
          <w:color w:val="auto"/>
          <w:spacing w:val="0"/>
          <w:w w:val="100"/>
          <w:kern w:val="0"/>
          <w:sz w:val="24"/>
          <w:szCs w:val="24"/>
          <w:highlight w:val="none"/>
          <w:vertAlign w:val="baseline"/>
          <w:lang w:val="en-US" w:eastAsia="zh-CN" w:bidi="ar-SA"/>
        </w:rPr>
        <w:t>经</w:t>
      </w:r>
      <w:r>
        <w:rPr>
          <w:rFonts w:hint="eastAsia" w:cs="Times New Roman"/>
          <w:caps w:val="0"/>
          <w:smallCaps w:val="0"/>
          <w:snapToGrid/>
          <w:color w:val="auto"/>
          <w:spacing w:val="0"/>
          <w:w w:val="100"/>
          <w:kern w:val="0"/>
          <w:sz w:val="24"/>
          <w:szCs w:val="24"/>
          <w:highlight w:val="none"/>
          <w:vertAlign w:val="baseline"/>
          <w:lang w:val="en-US" w:eastAsia="zh-CN" w:bidi="ar-SA"/>
        </w:rPr>
        <w:t>管输、</w:t>
      </w:r>
      <w:r>
        <w:rPr>
          <w:rFonts w:hint="default" w:cs="Times New Roman"/>
          <w:caps w:val="0"/>
          <w:smallCaps w:val="0"/>
          <w:snapToGrid/>
          <w:color w:val="auto"/>
          <w:spacing w:val="0"/>
          <w:w w:val="100"/>
          <w:kern w:val="0"/>
          <w:sz w:val="24"/>
          <w:szCs w:val="24"/>
          <w:highlight w:val="none"/>
          <w:vertAlign w:val="baseline"/>
          <w:lang w:val="en-US" w:eastAsia="zh-CN" w:bidi="ar-SA"/>
        </w:rPr>
        <w:t>泵</w:t>
      </w:r>
      <w:r>
        <w:rPr>
          <w:rFonts w:hint="eastAsia" w:cs="Times New Roman"/>
          <w:caps w:val="0"/>
          <w:smallCaps w:val="0"/>
          <w:snapToGrid/>
          <w:color w:val="auto"/>
          <w:spacing w:val="0"/>
          <w:w w:val="100"/>
          <w:kern w:val="0"/>
          <w:sz w:val="24"/>
          <w:szCs w:val="24"/>
          <w:highlight w:val="none"/>
          <w:vertAlign w:val="baseline"/>
          <w:lang w:val="en-US" w:eastAsia="zh-CN" w:bidi="ar-SA"/>
        </w:rPr>
        <w:t>送</w:t>
      </w:r>
      <w:r>
        <w:rPr>
          <w:rFonts w:hint="default" w:cs="Times New Roman"/>
          <w:caps w:val="0"/>
          <w:smallCaps w:val="0"/>
          <w:snapToGrid/>
          <w:color w:val="auto"/>
          <w:spacing w:val="0"/>
          <w:w w:val="100"/>
          <w:kern w:val="0"/>
          <w:sz w:val="24"/>
          <w:szCs w:val="24"/>
          <w:highlight w:val="none"/>
          <w:vertAlign w:val="baseline"/>
          <w:lang w:val="en-US" w:eastAsia="zh-CN" w:bidi="ar-SA"/>
        </w:rPr>
        <w:t>进入站内污油储罐进行存储，</w:t>
      </w:r>
      <w:r>
        <w:rPr>
          <w:rFonts w:hint="eastAsia" w:cs="Times New Roman"/>
          <w:caps w:val="0"/>
          <w:smallCaps w:val="0"/>
          <w:snapToGrid/>
          <w:color w:val="auto"/>
          <w:spacing w:val="0"/>
          <w:w w:val="100"/>
          <w:kern w:val="0"/>
          <w:sz w:val="24"/>
          <w:szCs w:val="24"/>
          <w:highlight w:val="none"/>
          <w:vertAlign w:val="baseline"/>
          <w:lang w:val="en-US" w:eastAsia="zh-CN" w:bidi="ar-SA"/>
        </w:rPr>
        <w:t>定期</w:t>
      </w:r>
      <w:r>
        <w:rPr>
          <w:rFonts w:hint="default" w:cs="Times New Roman"/>
          <w:caps w:val="0"/>
          <w:smallCaps w:val="0"/>
          <w:snapToGrid/>
          <w:color w:val="auto"/>
          <w:spacing w:val="0"/>
          <w:w w:val="100"/>
          <w:kern w:val="0"/>
          <w:sz w:val="24"/>
          <w:szCs w:val="24"/>
          <w:highlight w:val="none"/>
          <w:vertAlign w:val="baseline"/>
          <w:lang w:val="en-US" w:eastAsia="zh-CN" w:bidi="ar-SA"/>
        </w:rPr>
        <w:t>由油田单位回收利用。</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产生的</w:t>
      </w:r>
      <w:r>
        <w:rPr>
          <w:rFonts w:hint="eastAsia" w:cs="Times New Roman"/>
          <w:caps w:val="0"/>
          <w:smallCaps w:val="0"/>
          <w:snapToGrid/>
          <w:color w:val="auto"/>
          <w:spacing w:val="0"/>
          <w:w w:val="100"/>
          <w:kern w:val="0"/>
          <w:sz w:val="24"/>
          <w:szCs w:val="24"/>
          <w:highlight w:val="none"/>
          <w:lang w:val="en-US" w:eastAsia="zh-CN" w:bidi="ar-SA"/>
        </w:rPr>
        <w:t>污泥</w:t>
      </w:r>
      <w:r>
        <w:rPr>
          <w:rFonts w:hint="default" w:cs="Times New Roman"/>
          <w:caps w:val="0"/>
          <w:smallCaps w:val="0"/>
          <w:snapToGrid/>
          <w:color w:val="auto"/>
          <w:spacing w:val="0"/>
          <w:w w:val="100"/>
          <w:kern w:val="0"/>
          <w:sz w:val="24"/>
          <w:szCs w:val="24"/>
          <w:highlight w:val="none"/>
          <w:vertAlign w:val="baseline"/>
          <w:lang w:val="en-US" w:eastAsia="zh-CN" w:bidi="ar-SA"/>
        </w:rPr>
        <w:t>进入</w:t>
      </w:r>
      <w:r>
        <w:rPr>
          <w:rFonts w:hint="eastAsia" w:cs="Times New Roman"/>
          <w:caps w:val="0"/>
          <w:smallCaps w:val="0"/>
          <w:snapToGrid/>
          <w:color w:val="auto"/>
          <w:spacing w:val="0"/>
          <w:w w:val="100"/>
          <w:kern w:val="0"/>
          <w:sz w:val="24"/>
          <w:szCs w:val="24"/>
          <w:highlight w:val="none"/>
          <w:vertAlign w:val="baseline"/>
          <w:lang w:val="en-US" w:eastAsia="zh-CN" w:bidi="ar-SA"/>
        </w:rPr>
        <w:t>预处理车间内的</w:t>
      </w:r>
      <w:r>
        <w:rPr>
          <w:rFonts w:hint="default" w:cs="Times New Roman"/>
          <w:caps w:val="0"/>
          <w:smallCaps w:val="0"/>
          <w:snapToGrid/>
          <w:color w:val="auto"/>
          <w:spacing w:val="0"/>
          <w:w w:val="100"/>
          <w:kern w:val="0"/>
          <w:sz w:val="24"/>
          <w:szCs w:val="24"/>
          <w:highlight w:val="none"/>
          <w:vertAlign w:val="baseline"/>
          <w:lang w:val="en-US" w:eastAsia="zh-CN" w:bidi="ar-SA"/>
        </w:rPr>
        <w:t>储泥池，经</w:t>
      </w:r>
      <w:r>
        <w:rPr>
          <w:rFonts w:hint="eastAsia" w:cs="Times New Roman"/>
          <w:caps w:val="0"/>
          <w:smallCaps w:val="0"/>
          <w:snapToGrid/>
          <w:color w:val="auto"/>
          <w:spacing w:val="0"/>
          <w:w w:val="100"/>
          <w:kern w:val="0"/>
          <w:sz w:val="24"/>
          <w:szCs w:val="24"/>
          <w:highlight w:val="none"/>
          <w:vertAlign w:val="baseline"/>
          <w:lang w:val="en-US" w:eastAsia="zh-CN" w:bidi="ar-SA"/>
        </w:rPr>
        <w:t>压泥机</w:t>
      </w:r>
      <w:r>
        <w:rPr>
          <w:rFonts w:hint="default" w:cs="Times New Roman"/>
          <w:caps w:val="0"/>
          <w:smallCaps w:val="0"/>
          <w:snapToGrid/>
          <w:color w:val="auto"/>
          <w:spacing w:val="0"/>
          <w:w w:val="100"/>
          <w:kern w:val="0"/>
          <w:sz w:val="24"/>
          <w:szCs w:val="24"/>
          <w:highlight w:val="none"/>
          <w:vertAlign w:val="baseline"/>
          <w:lang w:val="en-US" w:eastAsia="zh-CN" w:bidi="ar-SA"/>
        </w:rPr>
        <w:t>简单脱水后，</w:t>
      </w:r>
      <w:r>
        <w:rPr>
          <w:rFonts w:hint="eastAsia" w:cs="Times New Roman"/>
          <w:caps w:val="0"/>
          <w:smallCaps w:val="0"/>
          <w:snapToGrid/>
          <w:color w:val="auto"/>
          <w:spacing w:val="0"/>
          <w:w w:val="100"/>
          <w:kern w:val="0"/>
          <w:sz w:val="24"/>
          <w:szCs w:val="24"/>
          <w:highlight w:val="none"/>
          <w:vertAlign w:val="baseline"/>
          <w:lang w:val="en-US" w:eastAsia="zh-CN" w:bidi="ar-SA"/>
        </w:rPr>
        <w:t>产生的浓缩废水再次进入隔油沉沙池，跟随其他废水一起进行处置。脱水后的</w:t>
      </w:r>
      <w:r>
        <w:rPr>
          <w:rFonts w:hint="eastAsia" w:cs="Times New Roman"/>
          <w:caps w:val="0"/>
          <w:smallCaps w:val="0"/>
          <w:snapToGrid/>
          <w:color w:val="auto"/>
          <w:spacing w:val="0"/>
          <w:w w:val="100"/>
          <w:kern w:val="0"/>
          <w:sz w:val="24"/>
          <w:szCs w:val="24"/>
          <w:highlight w:val="none"/>
          <w:lang w:val="en-US" w:eastAsia="zh-CN" w:bidi="ar-SA"/>
        </w:rPr>
        <w:t>污泥</w:t>
      </w:r>
      <w:r>
        <w:rPr>
          <w:rFonts w:hint="default" w:cs="Times New Roman"/>
          <w:caps w:val="0"/>
          <w:smallCaps w:val="0"/>
          <w:snapToGrid/>
          <w:color w:val="auto"/>
          <w:spacing w:val="0"/>
          <w:w w:val="100"/>
          <w:kern w:val="0"/>
          <w:sz w:val="24"/>
          <w:szCs w:val="24"/>
          <w:highlight w:val="none"/>
          <w:vertAlign w:val="baseline"/>
          <w:lang w:val="en-US" w:eastAsia="zh-CN" w:bidi="ar-SA"/>
        </w:rPr>
        <w:t>密封存储在站内危废暂存间内，定期交由有资质单位拉运处置</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（1）均质</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池</w:t>
      </w:r>
      <w:r>
        <w:rPr>
          <w:rFonts w:hint="eastAsia" w:cs="Times New Roman"/>
          <w:caps w:val="0"/>
          <w:smallCaps w:val="0"/>
          <w:snapToGrid/>
          <w:color w:val="auto"/>
          <w:spacing w:val="0"/>
          <w:w w:val="100"/>
          <w:kern w:val="0"/>
          <w:sz w:val="24"/>
          <w:szCs w:val="24"/>
          <w:highlight w:val="none"/>
          <w:vertAlign w:val="baseline"/>
          <w:lang w:val="en-US" w:eastAsia="zh-CN" w:bidi="ar-SA"/>
        </w:rPr>
        <w:t>：克服来水的不均匀性，均衡调节废水的水质、水量、水温的变化，储存盈余、补充短缺，使进入后续处理设施进水量均匀，从而降低废水的不一致性对后续处理设施的冲击性影响。</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隔油沉沙：隔油池安装3台潜污泵，用来吸出池底沉积的泥沙；同时设置1台刮油航车和1个不锈钢油槽，航车沿隔油池做往复运动，将池面的浮油渣刮到不锈钢槽中，不锈钢槽中的油渣沿预留管线流入储油池中，配相应长度的轻轨；出口安装1个可调节堰门，根据油面厚度，来调节水位与不锈钢槽的高度差。储油池中污油通过泵类管输至站内污油储罐内。隔油除砂池与混凝池1#相连接，沉降后废水进入混凝池。</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3）混凝+絮凝：混凝池中添加除硬剂及PAC；除硬剂降低水质硬度，PAC与废水中胶体物质作用使其脱稳，使难以沉淀的胶体颗粒脱稳而互相聚合。经混凝处理后的废水进入絮凝池中，添加PAM，使废水中悬浮微粒集聚变大，或形成絮团，从而加快絮团的聚沉。进入沉淀池进行物理沉淀。</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混凝反应池安装1台中速浆式搅拌器，使PAC、除硬计药剂与池水充分混合；絮凝反应池安装3台低速框式搅拌器，使PAM药剂与池水充分混合；池顶配1台油渣齿轮泵，用来吸出反应池表面长期积累的浮渣。</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4）经混凝+絮凝反应后，废水进入沉淀池沉淀，沉淀池制作1台吸刮泥航车，通过航车的往复运动，将池底的污泥吸出，并将泥水引入到气浮刮渣池的不锈钢槽中，冲走槽中不易流动的浮渣；安装相应长度的轻轨；出口安装1个可调节锯齿堰板，调节出水形式，使出水水质更加稳定。</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经沉淀池沉淀后的废水再次经混凝+絮凝处理，混凝反应池安装1台中速浆式搅拌器，使PAC药剂与池水充分混合；絮凝反应池安装1台低速框式搅拌器，使PAM药剂与池水充分混合；池顶配1台油渣齿轮泵，用来吸出反应池表面长期积累的浮渣。</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（6）涡凹气浮+气浮除渣：</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涡凹气浮池安装两台涡凹曝气机，产生微气泡，微气泡附着在悬浮物表面，使悬浮物浮出水面，达到分离悬浮物的作用。</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气浮刮渣池制作1台刮渣机和1个不锈钢槽，将涡凹曝气机产生的浮渣推入不锈钢槽中，并混合沉淀池中进来的泥水，沿池外管线引入到后端的储泥池中；配相应长度的轻轨，出口安装可1个可调节堰门。</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废水首先进入曝气充气段，与“微气泡”充分混合，“微气泡”在上升的过程中，将固体悬浮物带到水面。刮渣机沿液面运动，将悬浮物刮到倾斜的金属板上，再将其推入排泥轻轨中，通过螺旋推进器及调节堰门，将所收集的污泥送至储泥池中，净化后的水体在进入外排水池前，会经由斜板下方的溢流槽，溢流槽用来控制气浮槽的水位，确保槽中的液体不会流入排泥轻轨中。</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（4）压泥机离心处置：</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采用“重力浓缩+压滤脱水”污泥处理工艺，该污泥处理工艺技术是指通过</w:t>
      </w:r>
      <w:r>
        <w:rPr>
          <w:rFonts w:hint="eastAsia" w:cs="Times New Roman"/>
          <w:caps w:val="0"/>
          <w:smallCaps w:val="0"/>
          <w:snapToGrid/>
          <w:color w:val="auto"/>
          <w:spacing w:val="0"/>
          <w:w w:val="100"/>
          <w:kern w:val="0"/>
          <w:sz w:val="24"/>
          <w:szCs w:val="24"/>
          <w:highlight w:val="none"/>
          <w:vertAlign w:val="baseline"/>
          <w:lang w:val="en-US" w:eastAsia="zh-CN" w:bidi="ar-SA"/>
        </w:rPr>
        <w:t>离心、</w:t>
      </w:r>
      <w:r>
        <w:rPr>
          <w:rFonts w:hint="default" w:cs="Times New Roman"/>
          <w:caps w:val="0"/>
          <w:smallCaps w:val="0"/>
          <w:snapToGrid/>
          <w:color w:val="auto"/>
          <w:spacing w:val="0"/>
          <w:w w:val="100"/>
          <w:kern w:val="0"/>
          <w:sz w:val="24"/>
          <w:szCs w:val="24"/>
          <w:highlight w:val="none"/>
          <w:vertAlign w:val="baseline"/>
          <w:lang w:val="en-US" w:eastAsia="zh-CN" w:bidi="ar-SA"/>
        </w:rPr>
        <w:t>重力压缩从而降低污泥的含水率，进一步减少污泥体积，为污泥的最终处置创造条件。</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cs="Times New Roman"/>
          <w:caps w:val="0"/>
          <w:smallCaps w:val="0"/>
          <w:snapToGrid/>
          <w:color w:val="auto"/>
          <w:spacing w:val="0"/>
          <w:w w:val="100"/>
          <w:kern w:val="0"/>
          <w:sz w:val="24"/>
          <w:szCs w:val="24"/>
          <w:highlight w:val="none"/>
          <w:vertAlign w:val="baseline"/>
          <w:lang w:val="en-US" w:eastAsia="zh-CN" w:bidi="ar-SA"/>
        </w:rPr>
        <w:t>离心前</w:t>
      </w:r>
      <w:r>
        <w:rPr>
          <w:rFonts w:hint="default" w:cs="Times New Roman"/>
          <w:caps w:val="0"/>
          <w:smallCaps w:val="0"/>
          <w:snapToGrid/>
          <w:color w:val="auto"/>
          <w:spacing w:val="0"/>
          <w:w w:val="100"/>
          <w:kern w:val="0"/>
          <w:sz w:val="24"/>
          <w:szCs w:val="24"/>
          <w:highlight w:val="none"/>
          <w:vertAlign w:val="baseline"/>
          <w:lang w:val="en-US" w:eastAsia="zh-CN" w:bidi="ar-SA"/>
        </w:rPr>
        <w:t>含水率约为</w:t>
      </w:r>
      <w:r>
        <w:rPr>
          <w:rFonts w:hint="eastAsia" w:cs="Times New Roman"/>
          <w:caps w:val="0"/>
          <w:smallCaps w:val="0"/>
          <w:snapToGrid/>
          <w:color w:val="auto"/>
          <w:spacing w:val="0"/>
          <w:w w:val="100"/>
          <w:kern w:val="0"/>
          <w:sz w:val="24"/>
          <w:szCs w:val="24"/>
          <w:highlight w:val="none"/>
          <w:vertAlign w:val="baseline"/>
          <w:lang w:val="en-US" w:eastAsia="zh-CN" w:bidi="ar-SA"/>
        </w:rPr>
        <w:t>85</w:t>
      </w:r>
      <w:r>
        <w:rPr>
          <w:rFonts w:hint="default" w:cs="Times New Roman"/>
          <w:caps w:val="0"/>
          <w:smallCaps w:val="0"/>
          <w:snapToGrid/>
          <w:color w:val="auto"/>
          <w:spacing w:val="0"/>
          <w:w w:val="100"/>
          <w:kern w:val="0"/>
          <w:sz w:val="24"/>
          <w:szCs w:val="24"/>
          <w:highlight w:val="none"/>
          <w:vertAlign w:val="baseline"/>
          <w:lang w:val="en-US" w:eastAsia="zh-CN" w:bidi="ar-SA"/>
        </w:rPr>
        <w:t>%，经</w:t>
      </w:r>
      <w:r>
        <w:rPr>
          <w:rFonts w:hint="eastAsia" w:cs="Times New Roman"/>
          <w:caps w:val="0"/>
          <w:smallCaps w:val="0"/>
          <w:snapToGrid/>
          <w:color w:val="auto"/>
          <w:spacing w:val="0"/>
          <w:w w:val="100"/>
          <w:kern w:val="0"/>
          <w:sz w:val="24"/>
          <w:szCs w:val="24"/>
          <w:highlight w:val="none"/>
          <w:vertAlign w:val="baseline"/>
          <w:lang w:val="en-US" w:eastAsia="zh-CN" w:bidi="ar-SA"/>
        </w:rPr>
        <w:t>压泥机</w:t>
      </w:r>
      <w:r>
        <w:rPr>
          <w:rFonts w:hint="default" w:cs="Times New Roman"/>
          <w:caps w:val="0"/>
          <w:smallCaps w:val="0"/>
          <w:snapToGrid/>
          <w:color w:val="auto"/>
          <w:spacing w:val="0"/>
          <w:w w:val="100"/>
          <w:kern w:val="0"/>
          <w:sz w:val="24"/>
          <w:szCs w:val="24"/>
          <w:highlight w:val="none"/>
          <w:vertAlign w:val="baseline"/>
          <w:lang w:val="en-US" w:eastAsia="zh-CN" w:bidi="ar-SA"/>
        </w:rPr>
        <w:t>压滤后含水率低于70%。</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5265420" cy="1986280"/>
            <wp:effectExtent l="0" t="0" r="11430" b="13970"/>
            <wp:docPr id="46" name="图片 46" descr="预处理车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预处理车间+"/>
                    <pic:cNvPicPr>
                      <a:picLocks noChangeAspect="1"/>
                    </pic:cNvPicPr>
                  </pic:nvPicPr>
                  <pic:blipFill>
                    <a:blip r:embed="rId25"/>
                    <a:stretch>
                      <a:fillRect/>
                    </a:stretch>
                  </pic:blipFill>
                  <pic:spPr>
                    <a:xfrm>
                      <a:off x="0" y="0"/>
                      <a:ext cx="5265420" cy="198628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center"/>
        <w:textAlignment w:val="auto"/>
        <w:rPr>
          <w:rFonts w:hint="default"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图</w:t>
      </w:r>
      <w:r>
        <w:rPr>
          <w:rFonts w:hint="eastAsia" w:cs="宋体"/>
          <w:b/>
          <w:bCs/>
          <w:smallCaps w:val="0"/>
          <w:color w:val="auto"/>
          <w:kern w:val="2"/>
          <w:sz w:val="21"/>
          <w:szCs w:val="21"/>
          <w:highlight w:val="none"/>
          <w:lang w:val="en-US" w:eastAsia="zh-CN" w:bidi="ar-SA"/>
        </w:rPr>
        <w:t>3.3-2预处理车间平面布置+废水处理走向示意图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3.3.2产污环节汇总</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主要产污环节汇总如表3.3-1所示。</w:t>
      </w:r>
    </w:p>
    <w:p>
      <w:pPr>
        <w:pStyle w:val="11"/>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default"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表</w:t>
      </w:r>
      <w:r>
        <w:rPr>
          <w:rFonts w:hint="eastAsia" w:ascii="Times New Roman" w:eastAsia="宋体" w:cs="宋体"/>
          <w:b/>
          <w:bCs/>
          <w:smallCaps w:val="0"/>
          <w:color w:val="auto"/>
          <w:kern w:val="2"/>
          <w:sz w:val="21"/>
          <w:szCs w:val="21"/>
          <w:highlight w:val="none"/>
          <w:lang w:val="en-US" w:eastAsia="zh-CN" w:bidi="ar-SA"/>
        </w:rPr>
        <w:t>3.3-1本项目产污环节汇总一览表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39"/>
        <w:gridCol w:w="995"/>
        <w:gridCol w:w="791"/>
        <w:gridCol w:w="2698"/>
        <w:gridCol w:w="2321"/>
        <w:gridCol w:w="107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阶段</w:t>
            </w: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污染类别</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编号</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污染源</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污染物种类</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排放规律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施工期</w:t>
            </w:r>
          </w:p>
        </w:tc>
        <w:tc>
          <w:tcPr>
            <w:tcW w:w="99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废气</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G1</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扬土石方挖掘、堆放、回填，起尘材料搬运、使用</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颗粒物</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G2</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工程机械及运输车辆</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CO、HC、NO</w:t>
            </w:r>
            <w:r>
              <w:rPr>
                <w:rFonts w:hint="eastAsia" w:cs="Times New Roman"/>
                <w:color w:val="auto"/>
                <w:highlight w:val="none"/>
                <w:vertAlign w:val="subscript"/>
                <w:lang w:val="en-US" w:eastAsia="zh-CN"/>
              </w:rPr>
              <w:t>X</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G3</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厂房建设产生的焊接烟尘</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Fe</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vertAlign w:val="baseline"/>
                <w:lang w:val="en-US" w:eastAsia="zh-CN"/>
              </w:rPr>
              <w:t>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baseline"/>
                <w:lang w:val="en-US" w:eastAsia="zh-CN"/>
              </w:rPr>
              <w:t>、SiO</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vertAlign w:val="baseline"/>
                <w:lang w:val="en-US" w:eastAsia="zh-CN"/>
              </w:rPr>
              <w:t>、MnO、HF等</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废水</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W1</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生活污水</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氨氮、COD</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W2</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搅拌砂浆、润湿建筑材料、清洗施工设备的少量生产废水</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SS</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噪声</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N</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施工噪声</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等效A声级</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固废</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S1</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建筑垃圾</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建筑垃圾</w:t>
            </w:r>
            <w:r>
              <w:rPr>
                <w:rFonts w:hint="eastAsia" w:cs="Times New Roman"/>
                <w:color w:val="auto"/>
                <w:highlight w:val="none"/>
                <w:vertAlign w:val="baseline"/>
                <w:lang w:val="en-US" w:eastAsia="zh-CN"/>
              </w:rPr>
              <w:t>、废弃管材</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S2</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生活垃圾</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生活垃圾</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S3</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输液管道清管废物</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少量的</w:t>
            </w:r>
            <w:r>
              <w:rPr>
                <w:rFonts w:hint="eastAsia" w:ascii="Times New Roman" w:hAnsi="Times New Roman" w:eastAsia="宋体" w:cs="Times New Roman"/>
                <w:color w:val="auto"/>
                <w:highlight w:val="none"/>
                <w:vertAlign w:val="baseline"/>
                <w:lang w:val="en-US" w:eastAsia="zh-CN"/>
              </w:rPr>
              <w:t>泥沙</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S4</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定向穿越产生泥浆</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泥浆</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运行期</w:t>
            </w:r>
          </w:p>
        </w:tc>
        <w:tc>
          <w:tcPr>
            <w:tcW w:w="99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废气</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G1</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废水及污泥处置产生的恶臭气体</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NH</w:t>
            </w:r>
            <w:r>
              <w:rPr>
                <w:rFonts w:hint="eastAsia" w:cs="Times New Roman"/>
                <w:color w:val="auto"/>
                <w:highlight w:val="none"/>
                <w:vertAlign w:val="subscript"/>
                <w:lang w:val="en-US" w:eastAsia="zh-CN"/>
              </w:rPr>
              <w:t>3</w:t>
            </w:r>
            <w:r>
              <w:rPr>
                <w:rFonts w:hint="eastAsia" w:cs="Times New Roman"/>
                <w:color w:val="auto"/>
                <w:highlight w:val="none"/>
                <w:vertAlign w:val="baseline"/>
                <w:lang w:val="en-US" w:eastAsia="zh-CN"/>
              </w:rPr>
              <w:t>、H</w:t>
            </w:r>
            <w:r>
              <w:rPr>
                <w:rFonts w:hint="eastAsia" w:cs="Times New Roman"/>
                <w:color w:val="auto"/>
                <w:highlight w:val="none"/>
                <w:vertAlign w:val="subscript"/>
                <w:lang w:val="en-US" w:eastAsia="zh-CN"/>
              </w:rPr>
              <w:t>2</w:t>
            </w:r>
            <w:r>
              <w:rPr>
                <w:rFonts w:hint="eastAsia" w:cs="Times New Roman"/>
                <w:color w:val="auto"/>
                <w:highlight w:val="none"/>
                <w:vertAlign w:val="baseline"/>
                <w:lang w:val="en-US" w:eastAsia="zh-CN"/>
              </w:rPr>
              <w:t>S、臭气浓度</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G2</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挥发性气体</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非甲烷总烃</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G3</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饮食业油烟</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饮食业油烟</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废水</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W1</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待处理</w:t>
            </w:r>
            <w:r>
              <w:rPr>
                <w:rFonts w:hint="eastAsia" w:cs="Times New Roman"/>
                <w:color w:val="auto"/>
                <w:highlight w:val="none"/>
                <w:vertAlign w:val="baseline"/>
                <w:lang w:val="en-US" w:eastAsia="zh-CN"/>
              </w:rPr>
              <w:t>废水</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石油类、SS</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W2</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污泥离心</w:t>
            </w:r>
            <w:r>
              <w:rPr>
                <w:rFonts w:hint="default" w:ascii="Times New Roman" w:hAnsi="Times New Roman" w:eastAsia="宋体" w:cs="Times New Roman"/>
                <w:color w:val="auto"/>
                <w:highlight w:val="none"/>
                <w:vertAlign w:val="baseline"/>
                <w:lang w:val="en-US" w:eastAsia="zh-CN"/>
              </w:rPr>
              <w:t>浓缩废水</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石油类、SS</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W3</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初期雨水</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石油类</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W4</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生活污水</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氨氮、COD</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W6</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处理达标的水</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石油类、SS</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噪声</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N</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运行设备、泵类、风机</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等效A声级</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固废</w:t>
            </w: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S1</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胶质物质</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石油类</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S2</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污油</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石油类</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S3</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lang w:val="en-US" w:eastAsia="zh-CN"/>
              </w:rPr>
              <w:t>m</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石油类</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S4</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药剂废弃包装袋</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废水处理药剂</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S5</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生活垃圾</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生活垃圾</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S6</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废弃的含油抹布和劳保用品</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废矿物油</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S7</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废机油</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废矿物油</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3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9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9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S8</w:t>
            </w:r>
          </w:p>
        </w:tc>
        <w:tc>
          <w:tcPr>
            <w:tcW w:w="26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罐底油泥</w:t>
            </w:r>
          </w:p>
        </w:tc>
        <w:tc>
          <w:tcPr>
            <w:tcW w:w="23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石油类</w:t>
            </w:r>
          </w:p>
        </w:tc>
        <w:tc>
          <w:tcPr>
            <w:tcW w:w="107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间断</w:t>
            </w:r>
          </w:p>
        </w:tc>
      </w:tr>
    </w:tbl>
    <w:p>
      <w:pPr>
        <w:keepNext w:val="0"/>
        <w:keepLines w:val="0"/>
        <w:pageBreakBefore w:val="0"/>
        <w:widowControl w:val="0"/>
        <w:kinsoku/>
        <w:wordWrap/>
        <w:overflowPunct/>
        <w:topLinePunct w:val="0"/>
        <w:autoSpaceDE/>
        <w:autoSpaceDN/>
        <w:bidi w:val="0"/>
        <w:adjustRightInd w:val="0"/>
        <w:snapToGrid w:val="0"/>
        <w:spacing w:line="500" w:lineRule="exact"/>
        <w:jc w:val="both"/>
        <w:textAlignment w:val="auto"/>
        <w:rPr>
          <w:rFonts w:hint="default" w:ascii="Times New Roman" w:hAnsi="Times New Roman" w:eastAsia="宋体" w:cs="Times New Roman"/>
          <w:b/>
          <w:bCs/>
          <w:caps w:val="0"/>
          <w:smallCaps w:val="0"/>
          <w:color w:val="auto"/>
          <w:spacing w:val="0"/>
          <w:w w:val="100"/>
          <w:kern w:val="44"/>
          <w:sz w:val="28"/>
          <w:szCs w:val="28"/>
          <w:highlight w:val="none"/>
          <w:lang w:val="en-US" w:eastAsia="zh-CN" w:bidi="ar-SA"/>
        </w:rPr>
      </w:pPr>
      <w:r>
        <w:rPr>
          <w:rFonts w:hint="default" w:ascii="Times New Roman" w:hAnsi="Times New Roman" w:eastAsia="宋体" w:cs="Times New Roman"/>
          <w:b/>
          <w:bCs/>
          <w:caps w:val="0"/>
          <w:smallCaps w:val="0"/>
          <w:color w:val="auto"/>
          <w:spacing w:val="0"/>
          <w:w w:val="100"/>
          <w:kern w:val="44"/>
          <w:sz w:val="28"/>
          <w:szCs w:val="28"/>
          <w:highlight w:val="none"/>
          <w:lang w:val="en-US" w:eastAsia="zh-CN" w:bidi="ar-SA"/>
        </w:rPr>
        <w:t>3.</w:t>
      </w:r>
      <w:r>
        <w:rPr>
          <w:rFonts w:hint="eastAsia" w:ascii="Times New Roman" w:hAnsi="Times New Roman" w:eastAsia="宋体" w:cs="Times New Roman"/>
          <w:b/>
          <w:bCs/>
          <w:caps w:val="0"/>
          <w:smallCaps w:val="0"/>
          <w:color w:val="auto"/>
          <w:spacing w:val="0"/>
          <w:w w:val="100"/>
          <w:kern w:val="44"/>
          <w:sz w:val="28"/>
          <w:szCs w:val="28"/>
          <w:highlight w:val="none"/>
          <w:lang w:val="en-US" w:eastAsia="zh-CN" w:bidi="ar-SA"/>
        </w:rPr>
        <w:t>4</w:t>
      </w:r>
      <w:r>
        <w:rPr>
          <w:rFonts w:hint="default" w:ascii="Times New Roman" w:hAnsi="Times New Roman" w:eastAsia="宋体" w:cs="Times New Roman"/>
          <w:b/>
          <w:bCs/>
          <w:caps w:val="0"/>
          <w:smallCaps w:val="0"/>
          <w:color w:val="auto"/>
          <w:spacing w:val="0"/>
          <w:w w:val="100"/>
          <w:kern w:val="44"/>
          <w:sz w:val="28"/>
          <w:szCs w:val="28"/>
          <w:highlight w:val="none"/>
          <w:lang w:val="en-US" w:eastAsia="zh-CN" w:bidi="ar-SA"/>
        </w:rPr>
        <w:t>污染源分析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施工期环境影响主要体现在施工扬尘</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cs="Times New Roman"/>
          <w:caps w:val="0"/>
          <w:smallCaps w:val="0"/>
          <w:snapToGrid/>
          <w:color w:val="auto"/>
          <w:spacing w:val="0"/>
          <w:w w:val="100"/>
          <w:kern w:val="0"/>
          <w:sz w:val="24"/>
          <w:szCs w:val="24"/>
          <w:highlight w:val="none"/>
          <w:vertAlign w:val="baseline"/>
          <w:lang w:val="en-US" w:eastAsia="zh-CN" w:bidi="ar-SA"/>
        </w:rPr>
        <w:t>施工机械及车辆废气、</w:t>
      </w:r>
      <w:r>
        <w:rPr>
          <w:rFonts w:hint="eastAsia" w:cs="Times New Roman"/>
          <w:caps w:val="0"/>
          <w:smallCaps w:val="0"/>
          <w:snapToGrid/>
          <w:color w:val="auto"/>
          <w:spacing w:val="0"/>
          <w:w w:val="100"/>
          <w:kern w:val="0"/>
          <w:sz w:val="24"/>
          <w:szCs w:val="24"/>
          <w:highlight w:val="none"/>
          <w:vertAlign w:val="baseline"/>
          <w:lang w:val="en-US" w:eastAsia="zh-CN" w:bidi="ar-SA"/>
        </w:rPr>
        <w:t>焊接烟尘，</w:t>
      </w:r>
      <w:r>
        <w:rPr>
          <w:rFonts w:hint="default" w:cs="Times New Roman"/>
          <w:caps w:val="0"/>
          <w:smallCaps w:val="0"/>
          <w:snapToGrid/>
          <w:color w:val="auto"/>
          <w:spacing w:val="0"/>
          <w:w w:val="100"/>
          <w:kern w:val="0"/>
          <w:sz w:val="24"/>
          <w:szCs w:val="24"/>
          <w:highlight w:val="none"/>
          <w:vertAlign w:val="baseline"/>
          <w:lang w:val="en-US" w:eastAsia="zh-CN" w:bidi="ar-SA"/>
        </w:rPr>
        <w:t>噪声影响；施工废水影响和施工固体废弃物</w:t>
      </w:r>
      <w:r>
        <w:rPr>
          <w:rFonts w:hint="eastAsia" w:cs="Times New Roman"/>
          <w:caps w:val="0"/>
          <w:smallCaps w:val="0"/>
          <w:snapToGrid/>
          <w:color w:val="auto"/>
          <w:spacing w:val="0"/>
          <w:w w:val="100"/>
          <w:kern w:val="0"/>
          <w:sz w:val="24"/>
          <w:szCs w:val="24"/>
          <w:highlight w:val="none"/>
          <w:vertAlign w:val="baseline"/>
          <w:lang w:val="en-US" w:eastAsia="zh-CN" w:bidi="ar-SA"/>
        </w:rPr>
        <w:t>的</w:t>
      </w:r>
      <w:r>
        <w:rPr>
          <w:rFonts w:hint="default" w:cs="Times New Roman"/>
          <w:caps w:val="0"/>
          <w:smallCaps w:val="0"/>
          <w:snapToGrid/>
          <w:color w:val="auto"/>
          <w:spacing w:val="0"/>
          <w:w w:val="100"/>
          <w:kern w:val="0"/>
          <w:sz w:val="24"/>
          <w:szCs w:val="24"/>
          <w:highlight w:val="none"/>
          <w:vertAlign w:val="baseline"/>
          <w:lang w:val="en-US" w:eastAsia="zh-CN" w:bidi="ar-SA"/>
        </w:rPr>
        <w:t>影响。</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3.4.1施工期</w:t>
      </w:r>
      <w:r>
        <w:rPr>
          <w:rFonts w:hint="default" w:cs="Times New Roman"/>
          <w:caps w:val="0"/>
          <w:smallCaps w:val="0"/>
          <w:snapToGrid/>
          <w:color w:val="auto"/>
          <w:spacing w:val="0"/>
          <w:w w:val="100"/>
          <w:kern w:val="0"/>
          <w:sz w:val="24"/>
          <w:szCs w:val="24"/>
          <w:highlight w:val="none"/>
          <w:vertAlign w:val="baseline"/>
          <w:lang w:val="en-US" w:eastAsia="zh-CN" w:bidi="ar-SA"/>
        </w:rPr>
        <w:t>污染源分析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4</w:t>
      </w:r>
      <w:r>
        <w:rPr>
          <w:rFonts w:hint="default" w:cs="Times New Roman"/>
          <w:caps w:val="0"/>
          <w:smallCaps w:val="0"/>
          <w:snapToGrid/>
          <w:color w:val="auto"/>
          <w:spacing w:val="0"/>
          <w:w w:val="100"/>
          <w:kern w:val="0"/>
          <w:sz w:val="24"/>
          <w:szCs w:val="24"/>
          <w:highlight w:val="none"/>
          <w:vertAlign w:val="baseline"/>
          <w:lang w:val="en-US" w:eastAsia="zh-CN" w:bidi="ar-SA"/>
        </w:rPr>
        <w:t>.1</w:t>
      </w:r>
      <w:r>
        <w:rPr>
          <w:rFonts w:hint="eastAsia" w:cs="Times New Roman"/>
          <w:caps w:val="0"/>
          <w:smallCaps w:val="0"/>
          <w:snapToGrid/>
          <w:color w:val="auto"/>
          <w:spacing w:val="0"/>
          <w:w w:val="100"/>
          <w:kern w:val="0"/>
          <w:sz w:val="24"/>
          <w:szCs w:val="24"/>
          <w:highlight w:val="none"/>
          <w:vertAlign w:val="baseline"/>
          <w:lang w:val="en-US" w:eastAsia="zh-CN" w:bidi="ar-SA"/>
        </w:rPr>
        <w:t>.1</w:t>
      </w:r>
      <w:r>
        <w:rPr>
          <w:rFonts w:hint="default" w:cs="Times New Roman"/>
          <w:caps w:val="0"/>
          <w:smallCaps w:val="0"/>
          <w:snapToGrid/>
          <w:color w:val="auto"/>
          <w:spacing w:val="0"/>
          <w:w w:val="100"/>
          <w:kern w:val="0"/>
          <w:sz w:val="24"/>
          <w:szCs w:val="24"/>
          <w:highlight w:val="none"/>
          <w:vertAlign w:val="baseline"/>
          <w:lang w:val="en-US" w:eastAsia="zh-CN" w:bidi="ar-SA"/>
        </w:rPr>
        <w:t>大气污染源分析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施工期环境空气污染源主要有施工扬尘</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cs="Times New Roman"/>
          <w:caps w:val="0"/>
          <w:smallCaps w:val="0"/>
          <w:snapToGrid/>
          <w:color w:val="auto"/>
          <w:spacing w:val="0"/>
          <w:w w:val="100"/>
          <w:kern w:val="0"/>
          <w:sz w:val="24"/>
          <w:szCs w:val="24"/>
          <w:highlight w:val="none"/>
          <w:vertAlign w:val="baseline"/>
          <w:lang w:val="en-US" w:eastAsia="zh-CN" w:bidi="ar-SA"/>
        </w:rPr>
        <w:t>施工机械及车辆废气</w:t>
      </w:r>
      <w:r>
        <w:rPr>
          <w:rFonts w:hint="eastAsia" w:cs="Times New Roman"/>
          <w:caps w:val="0"/>
          <w:smallCaps w:val="0"/>
          <w:snapToGrid/>
          <w:color w:val="auto"/>
          <w:spacing w:val="0"/>
          <w:w w:val="100"/>
          <w:kern w:val="0"/>
          <w:sz w:val="24"/>
          <w:szCs w:val="24"/>
          <w:highlight w:val="none"/>
          <w:vertAlign w:val="baseline"/>
          <w:lang w:val="en-US" w:eastAsia="zh-CN" w:bidi="ar-SA"/>
        </w:rPr>
        <w:t>，焊接烟尘</w:t>
      </w:r>
      <w:r>
        <w:rPr>
          <w:rFonts w:hint="default"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（1）施工扬尘</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施工扬尘主要为</w:t>
      </w:r>
      <w:r>
        <w:rPr>
          <w:rFonts w:hint="eastAsia" w:cs="Times New Roman"/>
          <w:caps w:val="0"/>
          <w:smallCaps w:val="0"/>
          <w:snapToGrid/>
          <w:color w:val="auto"/>
          <w:spacing w:val="0"/>
          <w:w w:val="100"/>
          <w:kern w:val="0"/>
          <w:sz w:val="24"/>
          <w:szCs w:val="24"/>
          <w:highlight w:val="none"/>
          <w:vertAlign w:val="baseline"/>
          <w:lang w:val="en-US" w:eastAsia="zh-CN" w:bidi="ar-SA"/>
        </w:rPr>
        <w:t>站址内</w:t>
      </w:r>
      <w:r>
        <w:rPr>
          <w:rFonts w:hint="default" w:cs="Times New Roman"/>
          <w:caps w:val="0"/>
          <w:smallCaps w:val="0"/>
          <w:snapToGrid/>
          <w:color w:val="auto"/>
          <w:spacing w:val="0"/>
          <w:w w:val="100"/>
          <w:kern w:val="0"/>
          <w:sz w:val="24"/>
          <w:szCs w:val="24"/>
          <w:highlight w:val="none"/>
          <w:vertAlign w:val="baseline"/>
          <w:lang w:val="en-US" w:eastAsia="zh-CN" w:bidi="ar-SA"/>
        </w:rPr>
        <w:t>土建施工中地基开挖、建筑材料运输产生的施工扬尘，使厂址附近环境空气中的颗粒物含量增加，主要污染物为颗粒物。</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根据类比调查资料，建筑施工扬尘污染比较大。在施工现场，接近地面的颗粒物浓度一般为1.5~30mg/m</w:t>
      </w:r>
      <w:r>
        <w:rPr>
          <w:rFonts w:hint="default" w:cs="Times New Roman"/>
          <w:caps w:val="0"/>
          <w:smallCaps w:val="0"/>
          <w:snapToGrid/>
          <w:color w:val="auto"/>
          <w:spacing w:val="0"/>
          <w:w w:val="100"/>
          <w:kern w:val="0"/>
          <w:sz w:val="24"/>
          <w:szCs w:val="24"/>
          <w:highlight w:val="none"/>
          <w:vertAlign w:val="superscript"/>
          <w:lang w:val="en-US" w:eastAsia="zh-CN" w:bidi="ar-SA"/>
        </w:rPr>
        <w:t>3</w:t>
      </w:r>
      <w:r>
        <w:rPr>
          <w:rFonts w:hint="default" w:cs="Times New Roman"/>
          <w:caps w:val="0"/>
          <w:smallCaps w:val="0"/>
          <w:snapToGrid/>
          <w:color w:val="auto"/>
          <w:spacing w:val="0"/>
          <w:w w:val="100"/>
          <w:kern w:val="0"/>
          <w:sz w:val="24"/>
          <w:szCs w:val="24"/>
          <w:highlight w:val="none"/>
          <w:vertAlign w:val="baseline"/>
          <w:lang w:val="en-US" w:eastAsia="zh-CN" w:bidi="ar-SA"/>
        </w:rPr>
        <w:t>，施工扬尘的影响范围下风向可达150m，水泥等储料场影响范围在距其150m处TSP浓度可降至1.00mg/m</w:t>
      </w:r>
      <w:r>
        <w:rPr>
          <w:rFonts w:hint="default" w:cs="Times New Roman"/>
          <w:caps w:val="0"/>
          <w:smallCaps w:val="0"/>
          <w:snapToGrid/>
          <w:color w:val="auto"/>
          <w:spacing w:val="0"/>
          <w:w w:val="100"/>
          <w:kern w:val="0"/>
          <w:sz w:val="24"/>
          <w:szCs w:val="24"/>
          <w:highlight w:val="none"/>
          <w:vertAlign w:val="superscript"/>
          <w:lang w:val="en-US" w:eastAsia="zh-CN" w:bidi="ar-SA"/>
        </w:rPr>
        <w:t>3</w:t>
      </w:r>
      <w:r>
        <w:rPr>
          <w:rFonts w:hint="default" w:cs="Times New Roman"/>
          <w:caps w:val="0"/>
          <w:smallCaps w:val="0"/>
          <w:snapToGrid/>
          <w:color w:val="auto"/>
          <w:spacing w:val="0"/>
          <w:w w:val="100"/>
          <w:kern w:val="0"/>
          <w:sz w:val="24"/>
          <w:szCs w:val="24"/>
          <w:highlight w:val="none"/>
          <w:vertAlign w:val="baseline"/>
          <w:lang w:val="en-US" w:eastAsia="zh-CN" w:bidi="ar-SA"/>
        </w:rPr>
        <w:t>以下；施工及运输车辆引起的扬尘对路边30m范围以内影响较大，路边的TSP浓度可达10mg/m</w:t>
      </w:r>
      <w:r>
        <w:rPr>
          <w:rFonts w:hint="default" w:cs="Times New Roman"/>
          <w:caps w:val="0"/>
          <w:smallCaps w:val="0"/>
          <w:snapToGrid/>
          <w:color w:val="auto"/>
          <w:spacing w:val="0"/>
          <w:w w:val="100"/>
          <w:kern w:val="0"/>
          <w:sz w:val="24"/>
          <w:szCs w:val="24"/>
          <w:highlight w:val="none"/>
          <w:vertAlign w:val="superscript"/>
          <w:lang w:val="en-US" w:eastAsia="zh-CN" w:bidi="ar-SA"/>
        </w:rPr>
        <w:t>3</w:t>
      </w:r>
      <w:r>
        <w:rPr>
          <w:rFonts w:hint="default" w:cs="Times New Roman"/>
          <w:caps w:val="0"/>
          <w:smallCaps w:val="0"/>
          <w:snapToGrid/>
          <w:color w:val="auto"/>
          <w:spacing w:val="0"/>
          <w:w w:val="100"/>
          <w:kern w:val="0"/>
          <w:sz w:val="24"/>
          <w:szCs w:val="24"/>
          <w:highlight w:val="none"/>
          <w:vertAlign w:val="baseline"/>
          <w:lang w:val="en-US" w:eastAsia="zh-CN" w:bidi="ar-SA"/>
        </w:rPr>
        <w:t>以上。</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（2）车辆尾气</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在工程施工期间，使用液体燃料的施工机械及运输车辆的发动机排放的尾气在含有NO</w:t>
      </w:r>
      <w:r>
        <w:rPr>
          <w:rFonts w:hint="default" w:cs="Times New Roman"/>
          <w:caps w:val="0"/>
          <w:smallCaps w:val="0"/>
          <w:snapToGrid/>
          <w:color w:val="auto"/>
          <w:spacing w:val="0"/>
          <w:w w:val="100"/>
          <w:kern w:val="0"/>
          <w:sz w:val="24"/>
          <w:szCs w:val="24"/>
          <w:highlight w:val="none"/>
          <w:vertAlign w:val="subscript"/>
          <w:lang w:val="en-US" w:eastAsia="zh-CN" w:bidi="ar-SA"/>
        </w:rPr>
        <w:t>X</w:t>
      </w:r>
      <w:r>
        <w:rPr>
          <w:rFonts w:hint="default" w:cs="Times New Roman"/>
          <w:caps w:val="0"/>
          <w:smallCaps w:val="0"/>
          <w:snapToGrid/>
          <w:color w:val="auto"/>
          <w:spacing w:val="0"/>
          <w:w w:val="100"/>
          <w:kern w:val="0"/>
          <w:sz w:val="24"/>
          <w:szCs w:val="24"/>
          <w:highlight w:val="none"/>
          <w:vertAlign w:val="baseline"/>
          <w:lang w:val="en-US" w:eastAsia="zh-CN" w:bidi="ar-SA"/>
        </w:rPr>
        <w:t>、CO、HC等污染物，一般情况下，各种污染物的排放量不大，对周围环境的影响较小。如果采用清洁燃料，在车辆及机械设备排气口加装废气过滤器，同时保</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持车辆及有关设备化油器、空气滤清器等部分设备的清洁，废气污染的影响基本上是可以接受的。</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（3）焊接烟尘</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3#服务站站址厂房建设期间，需要进行焊接作业，会有焊接烟尘产生。施工区域地处空旷，焊接作业时间较短，在距离村屯较近区域施工时，设置施工围挡，施工结束后，影响随即消失。</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4</w:t>
      </w:r>
      <w:r>
        <w:rPr>
          <w:rFonts w:hint="default" w:cs="Times New Roman"/>
          <w:caps w:val="0"/>
          <w:smallCaps w:val="0"/>
          <w:snapToGrid/>
          <w:color w:val="auto"/>
          <w:spacing w:val="0"/>
          <w:w w:val="100"/>
          <w:kern w:val="0"/>
          <w:sz w:val="24"/>
          <w:szCs w:val="24"/>
          <w:highlight w:val="none"/>
          <w:vertAlign w:val="baseline"/>
          <w:lang w:val="en-US" w:eastAsia="zh-CN" w:bidi="ar-SA"/>
        </w:rPr>
        <w:t>.1</w:t>
      </w:r>
      <w:r>
        <w:rPr>
          <w:rFonts w:hint="eastAsia" w:cs="Times New Roman"/>
          <w:caps w:val="0"/>
          <w:smallCaps w:val="0"/>
          <w:snapToGrid/>
          <w:color w:val="auto"/>
          <w:spacing w:val="0"/>
          <w:w w:val="100"/>
          <w:kern w:val="0"/>
          <w:sz w:val="24"/>
          <w:szCs w:val="24"/>
          <w:highlight w:val="none"/>
          <w:vertAlign w:val="baseline"/>
          <w:lang w:val="en-US" w:eastAsia="zh-CN" w:bidi="ar-SA"/>
        </w:rPr>
        <w:t>.2</w:t>
      </w:r>
      <w:r>
        <w:rPr>
          <w:rFonts w:hint="default" w:cs="Times New Roman"/>
          <w:caps w:val="0"/>
          <w:smallCaps w:val="0"/>
          <w:snapToGrid/>
          <w:color w:val="auto"/>
          <w:spacing w:val="0"/>
          <w:w w:val="100"/>
          <w:kern w:val="0"/>
          <w:sz w:val="24"/>
          <w:szCs w:val="24"/>
          <w:highlight w:val="none"/>
          <w:vertAlign w:val="baseline"/>
          <w:lang w:val="en-US" w:eastAsia="zh-CN" w:bidi="ar-SA"/>
        </w:rPr>
        <w:t>废水污染源分析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施工期废水主要为施工废水和生活污水。</w:t>
      </w:r>
      <w:r>
        <w:rPr>
          <w:rFonts w:hint="eastAsia" w:cs="Times New Roman"/>
          <w:caps w:val="0"/>
          <w:smallCaps w:val="0"/>
          <w:snapToGrid/>
          <w:color w:val="auto"/>
          <w:spacing w:val="0"/>
          <w:w w:val="100"/>
          <w:kern w:val="0"/>
          <w:sz w:val="24"/>
          <w:szCs w:val="24"/>
          <w:highlight w:val="none"/>
          <w:vertAlign w:val="baseline"/>
          <w:lang w:val="en-US" w:eastAsia="zh-CN" w:bidi="ar-SA"/>
        </w:rPr>
        <w:t>管道试压采取压缩空气试压，无试压废水产生。</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（1）施工期废水主要是搅拌砂浆、润湿建筑材料、清洗施工设备的少量生产废水</w:t>
      </w:r>
      <w:r>
        <w:rPr>
          <w:rFonts w:hint="eastAsia" w:cs="Times New Roman"/>
          <w:caps w:val="0"/>
          <w:smallCaps w:val="0"/>
          <w:snapToGrid/>
          <w:color w:val="auto"/>
          <w:spacing w:val="0"/>
          <w:w w:val="100"/>
          <w:kern w:val="0"/>
          <w:sz w:val="24"/>
          <w:szCs w:val="24"/>
          <w:highlight w:val="none"/>
          <w:vertAlign w:val="baseline"/>
          <w:lang w:val="en-US" w:eastAsia="zh-CN" w:bidi="ar-SA"/>
        </w:rPr>
        <w:t>，主要污染物为悬浮物，经施工场地内临时沉淀池沉淀后，用于厂区施工洒水抑尘。</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（2）生活污水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施工期施工人员生活污水产生量为288m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3#服务站站址施工区域生活污水排入站内化粪池，施工结束后，可随站内运维人员生活污水一起拉运处置；管道施工区域距附近村屯较近，不设置施工营地，租用附近的村民民房进行生活，生活污水排入租用民房防渗化粪池内，定期清掏。</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4</w:t>
      </w:r>
      <w:r>
        <w:rPr>
          <w:rFonts w:hint="default" w:cs="Times New Roman"/>
          <w:caps w:val="0"/>
          <w:smallCaps w:val="0"/>
          <w:snapToGrid/>
          <w:color w:val="auto"/>
          <w:spacing w:val="0"/>
          <w:w w:val="100"/>
          <w:kern w:val="0"/>
          <w:sz w:val="24"/>
          <w:szCs w:val="24"/>
          <w:highlight w:val="none"/>
          <w:vertAlign w:val="baseline"/>
          <w:lang w:val="en-US" w:eastAsia="zh-CN" w:bidi="ar-SA"/>
        </w:rPr>
        <w:t>.1</w:t>
      </w:r>
      <w:r>
        <w:rPr>
          <w:rFonts w:hint="eastAsia" w:cs="Times New Roman"/>
          <w:caps w:val="0"/>
          <w:smallCaps w:val="0"/>
          <w:snapToGrid/>
          <w:color w:val="auto"/>
          <w:spacing w:val="0"/>
          <w:w w:val="100"/>
          <w:kern w:val="0"/>
          <w:sz w:val="24"/>
          <w:szCs w:val="24"/>
          <w:highlight w:val="none"/>
          <w:vertAlign w:val="baseline"/>
          <w:lang w:val="en-US" w:eastAsia="zh-CN" w:bidi="ar-SA"/>
        </w:rPr>
        <w:t>.3噪声</w:t>
      </w:r>
      <w:r>
        <w:rPr>
          <w:rFonts w:hint="default" w:cs="Times New Roman"/>
          <w:caps w:val="0"/>
          <w:smallCaps w:val="0"/>
          <w:snapToGrid/>
          <w:color w:val="auto"/>
          <w:spacing w:val="0"/>
          <w:w w:val="100"/>
          <w:kern w:val="0"/>
          <w:sz w:val="24"/>
          <w:szCs w:val="24"/>
          <w:highlight w:val="none"/>
          <w:vertAlign w:val="baseline"/>
          <w:lang w:val="en-US" w:eastAsia="zh-CN" w:bidi="ar-SA"/>
        </w:rPr>
        <w:t>污染源分析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施工期噪声污染源主要为施工过程中的机械噪声与</w:t>
      </w:r>
      <w:r>
        <w:rPr>
          <w:rFonts w:hint="eastAsia" w:cs="Times New Roman"/>
          <w:caps w:val="0"/>
          <w:smallCaps w:val="0"/>
          <w:snapToGrid/>
          <w:color w:val="auto"/>
          <w:spacing w:val="0"/>
          <w:w w:val="100"/>
          <w:kern w:val="0"/>
          <w:sz w:val="24"/>
          <w:szCs w:val="24"/>
          <w:highlight w:val="none"/>
          <w:vertAlign w:val="baseline"/>
          <w:lang w:val="en-US" w:eastAsia="zh-CN" w:bidi="ar-SA"/>
        </w:rPr>
        <w:t>车辆</w:t>
      </w:r>
      <w:r>
        <w:rPr>
          <w:rFonts w:hint="default" w:cs="Times New Roman"/>
          <w:caps w:val="0"/>
          <w:smallCaps w:val="0"/>
          <w:snapToGrid/>
          <w:color w:val="auto"/>
          <w:spacing w:val="0"/>
          <w:w w:val="100"/>
          <w:kern w:val="0"/>
          <w:sz w:val="24"/>
          <w:szCs w:val="24"/>
          <w:highlight w:val="none"/>
          <w:vertAlign w:val="baseline"/>
          <w:lang w:val="en-US" w:eastAsia="zh-CN" w:bidi="ar-SA"/>
        </w:rPr>
        <w:t>交通运输噪声。如装载机、推土机、挖掘机等机械设备噪声及材料运输车辆运行噪声等。施工期主要噪声源及源强参照《环境噪声与振动控制工程技术导则》（HJ2034-2013）表A.2常见施工设备噪声源不同距离声压级。</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表3.4-1施工期噪声源统计表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48"/>
        <w:gridCol w:w="1296"/>
        <w:gridCol w:w="709"/>
        <w:gridCol w:w="854"/>
        <w:gridCol w:w="854"/>
        <w:gridCol w:w="1033"/>
        <w:gridCol w:w="1128"/>
        <w:gridCol w:w="947"/>
        <w:gridCol w:w="94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序号</w:t>
            </w:r>
          </w:p>
        </w:tc>
        <w:tc>
          <w:tcPr>
            <w:tcW w:w="129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声源名称</w:t>
            </w:r>
          </w:p>
        </w:tc>
        <w:tc>
          <w:tcPr>
            <w:tcW w:w="70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型号</w:t>
            </w:r>
          </w:p>
        </w:tc>
        <w:tc>
          <w:tcPr>
            <w:tcW w:w="2741"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空间相对位置</w:t>
            </w:r>
          </w:p>
        </w:tc>
        <w:tc>
          <w:tcPr>
            <w:tcW w:w="1128" w:type="dxa"/>
            <w:tcBorders>
              <w:tl2br w:val="nil"/>
              <w:tr2bl w:val="nil"/>
            </w:tcBorders>
            <w:vAlign w:val="center"/>
          </w:tcPr>
          <w:p>
            <w:pPr>
              <w:pStyle w:val="27"/>
              <w:pageBreakBefore w:val="0"/>
              <w:bidi w:val="0"/>
              <w:spacing w:line="360" w:lineRule="auto"/>
              <w:ind w:left="0" w:leftChars="0" w:firstLine="0" w:firstLineChars="0"/>
              <w:jc w:val="center"/>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b w:val="0"/>
                <w:bCs/>
                <w:caps w:val="0"/>
                <w:smallCaps w:val="0"/>
                <w:color w:val="auto"/>
                <w:spacing w:val="0"/>
                <w:w w:val="100"/>
                <w:sz w:val="21"/>
                <w:szCs w:val="21"/>
                <w:highlight w:val="none"/>
              </w:rPr>
              <w:t>声源源强</w:t>
            </w:r>
          </w:p>
        </w:tc>
        <w:tc>
          <w:tcPr>
            <w:tcW w:w="94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控制措施</w:t>
            </w:r>
          </w:p>
        </w:tc>
        <w:tc>
          <w:tcPr>
            <w:tcW w:w="94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运行时段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p>
        </w:tc>
        <w:tc>
          <w:tcPr>
            <w:tcW w:w="12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70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p>
        </w:tc>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X</w:t>
            </w:r>
          </w:p>
        </w:tc>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Y</w:t>
            </w:r>
          </w:p>
        </w:tc>
        <w:tc>
          <w:tcPr>
            <w:tcW w:w="10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Z</w:t>
            </w:r>
          </w:p>
        </w:tc>
        <w:tc>
          <w:tcPr>
            <w:tcW w:w="1128" w:type="dxa"/>
            <w:tcBorders>
              <w:tl2br w:val="nil"/>
              <w:tr2bl w:val="nil"/>
            </w:tcBorders>
            <w:vAlign w:val="center"/>
          </w:tcPr>
          <w:p>
            <w:pPr>
              <w:pStyle w:val="27"/>
              <w:pageBreakBefore w:val="0"/>
              <w:bidi w:val="0"/>
              <w:spacing w:line="360" w:lineRule="auto"/>
              <w:ind w:left="0" w:leftChars="0" w:firstLine="0" w:firstLineChars="0"/>
              <w:jc w:val="center"/>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b w:val="0"/>
                <w:bCs/>
                <w:caps w:val="0"/>
                <w:smallCaps w:val="0"/>
                <w:color w:val="auto"/>
                <w:spacing w:val="0"/>
                <w:w w:val="100"/>
                <w:sz w:val="21"/>
                <w:szCs w:val="21"/>
                <w:highlight w:val="none"/>
              </w:rPr>
              <w:t>声功率级/dB(A)</w:t>
            </w:r>
          </w:p>
        </w:tc>
        <w:tc>
          <w:tcPr>
            <w:tcW w:w="94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4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12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装载机</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w:t>
            </w:r>
          </w:p>
        </w:tc>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w:t>
            </w:r>
          </w:p>
        </w:tc>
        <w:tc>
          <w:tcPr>
            <w:tcW w:w="10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1.5</w:t>
            </w:r>
          </w:p>
        </w:tc>
        <w:tc>
          <w:tcPr>
            <w:tcW w:w="11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85-90</w:t>
            </w:r>
          </w:p>
        </w:tc>
        <w:tc>
          <w:tcPr>
            <w:tcW w:w="94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低躁设备，定期检修维护</w:t>
            </w:r>
          </w:p>
        </w:tc>
        <w:tc>
          <w:tcPr>
            <w:tcW w:w="94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昼间施工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w:t>
            </w:r>
          </w:p>
        </w:tc>
        <w:tc>
          <w:tcPr>
            <w:tcW w:w="12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推土机</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w:t>
            </w:r>
          </w:p>
        </w:tc>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w:t>
            </w:r>
          </w:p>
        </w:tc>
        <w:tc>
          <w:tcPr>
            <w:tcW w:w="10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1.5</w:t>
            </w:r>
          </w:p>
        </w:tc>
        <w:tc>
          <w:tcPr>
            <w:tcW w:w="11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85-90</w:t>
            </w:r>
          </w:p>
        </w:tc>
        <w:tc>
          <w:tcPr>
            <w:tcW w:w="94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4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3</w:t>
            </w:r>
          </w:p>
        </w:tc>
        <w:tc>
          <w:tcPr>
            <w:tcW w:w="12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挖掘机</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w:t>
            </w:r>
          </w:p>
        </w:tc>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w:t>
            </w:r>
          </w:p>
        </w:tc>
        <w:tc>
          <w:tcPr>
            <w:tcW w:w="10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1.5</w:t>
            </w:r>
          </w:p>
        </w:tc>
        <w:tc>
          <w:tcPr>
            <w:tcW w:w="11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85-90</w:t>
            </w:r>
          </w:p>
        </w:tc>
        <w:tc>
          <w:tcPr>
            <w:tcW w:w="94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4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4</w:t>
            </w:r>
          </w:p>
        </w:tc>
        <w:tc>
          <w:tcPr>
            <w:tcW w:w="12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运输车辆</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w:t>
            </w:r>
          </w:p>
        </w:tc>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w:t>
            </w:r>
          </w:p>
        </w:tc>
        <w:tc>
          <w:tcPr>
            <w:tcW w:w="10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1.5</w:t>
            </w:r>
          </w:p>
        </w:tc>
        <w:tc>
          <w:tcPr>
            <w:tcW w:w="11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70-80</w:t>
            </w:r>
          </w:p>
        </w:tc>
        <w:tc>
          <w:tcPr>
            <w:tcW w:w="94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4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5</w:t>
            </w:r>
          </w:p>
        </w:tc>
        <w:tc>
          <w:tcPr>
            <w:tcW w:w="12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电焊机</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p>
        </w:tc>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w:t>
            </w:r>
          </w:p>
        </w:tc>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w:t>
            </w:r>
          </w:p>
        </w:tc>
        <w:tc>
          <w:tcPr>
            <w:tcW w:w="10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1.5</w:t>
            </w:r>
          </w:p>
        </w:tc>
        <w:tc>
          <w:tcPr>
            <w:tcW w:w="11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70-80</w:t>
            </w:r>
          </w:p>
        </w:tc>
        <w:tc>
          <w:tcPr>
            <w:tcW w:w="94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4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6</w:t>
            </w:r>
          </w:p>
        </w:tc>
        <w:tc>
          <w:tcPr>
            <w:tcW w:w="12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搅拌机</w:t>
            </w:r>
          </w:p>
        </w:tc>
        <w:tc>
          <w:tcPr>
            <w:tcW w:w="70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p>
        </w:tc>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w:t>
            </w:r>
          </w:p>
        </w:tc>
        <w:tc>
          <w:tcPr>
            <w:tcW w:w="8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w:t>
            </w:r>
          </w:p>
        </w:tc>
        <w:tc>
          <w:tcPr>
            <w:tcW w:w="10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1.5</w:t>
            </w:r>
          </w:p>
        </w:tc>
        <w:tc>
          <w:tcPr>
            <w:tcW w:w="11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70-80</w:t>
            </w:r>
          </w:p>
        </w:tc>
        <w:tc>
          <w:tcPr>
            <w:tcW w:w="94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4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4</w:t>
      </w:r>
      <w:r>
        <w:rPr>
          <w:rFonts w:hint="default" w:cs="Times New Roman"/>
          <w:caps w:val="0"/>
          <w:smallCaps w:val="0"/>
          <w:snapToGrid/>
          <w:color w:val="auto"/>
          <w:spacing w:val="0"/>
          <w:w w:val="100"/>
          <w:kern w:val="0"/>
          <w:sz w:val="24"/>
          <w:szCs w:val="24"/>
          <w:highlight w:val="none"/>
          <w:vertAlign w:val="baseline"/>
          <w:lang w:val="en-US" w:eastAsia="zh-CN" w:bidi="ar-SA"/>
        </w:rPr>
        <w:t>.1</w:t>
      </w:r>
      <w:r>
        <w:rPr>
          <w:rFonts w:hint="eastAsia" w:cs="Times New Roman"/>
          <w:caps w:val="0"/>
          <w:smallCaps w:val="0"/>
          <w:snapToGrid/>
          <w:color w:val="auto"/>
          <w:spacing w:val="0"/>
          <w:w w:val="100"/>
          <w:kern w:val="0"/>
          <w:sz w:val="24"/>
          <w:szCs w:val="24"/>
          <w:highlight w:val="none"/>
          <w:vertAlign w:val="baseline"/>
          <w:lang w:val="en-US" w:eastAsia="zh-CN" w:bidi="ar-SA"/>
        </w:rPr>
        <w:t>.4</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固体废物污染源分析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施工过程中产生的固体废物主要是建筑垃圾、</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废弃</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泥浆</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、清管废物及</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施工人员产生的生活垃圾</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（1）</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建筑垃圾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建筑垃圾主要包括砂石、石块、碎砖瓦、废金属、废钢筋及废弃管材等。产生的废金属和废钢筋，可分类进行回收利用。对于不能回收的建筑垃圾经集中收集后运送至大庆市红岗区建筑垃圾场。类比同类工程，本项目建设垃圾产生量约为0.3t。</w:t>
      </w:r>
    </w:p>
    <w:p>
      <w:pPr>
        <w:pStyle w:val="11"/>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（2）废弃</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泥浆</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olor w:val="auto"/>
          <w:highlight w:val="none"/>
          <w:lang w:val="en-US" w:eastAsia="zh-CN"/>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项目在穿越沟渠、坑塘及林地时，需要进行定向钻穿越施工方式，施工作业会产生废弃泥浆，集中收集，拉运至自然资源局指定地点处置。</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根据建设单位提供资料，产生的废弃泥浆约</w:t>
      </w:r>
      <w:r>
        <w:rPr>
          <w:rFonts w:hint="eastAsia" w:cs="Times New Roman"/>
          <w:caps w:val="0"/>
          <w:smallCaps w:val="0"/>
          <w:snapToGrid/>
          <w:color w:val="auto"/>
          <w:spacing w:val="0"/>
          <w:w w:val="100"/>
          <w:kern w:val="0"/>
          <w:sz w:val="24"/>
          <w:szCs w:val="24"/>
          <w:highlight w:val="none"/>
          <w:vertAlign w:val="baseline"/>
          <w:lang w:val="en-US" w:eastAsia="zh-CN" w:bidi="ar-SA"/>
        </w:rPr>
        <w:t>168</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清管废物</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管道进行铺设前，</w:t>
      </w:r>
      <w:r>
        <w:rPr>
          <w:rFonts w:hint="eastAsia" w:cs="Times New Roman"/>
          <w:caps w:val="0"/>
          <w:smallCaps w:val="0"/>
          <w:snapToGrid/>
          <w:color w:val="auto"/>
          <w:spacing w:val="0"/>
          <w:w w:val="100"/>
          <w:kern w:val="0"/>
          <w:sz w:val="24"/>
          <w:szCs w:val="24"/>
          <w:highlight w:val="none"/>
          <w:vertAlign w:val="baseline"/>
          <w:lang w:val="en-US" w:eastAsia="zh-CN" w:bidi="ar-SA"/>
        </w:rPr>
        <w:t>会进行清管，有少量清管</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废物产生。</w:t>
      </w:r>
      <w:r>
        <w:rPr>
          <w:rFonts w:hint="default" w:cs="Times New Roman"/>
          <w:caps w:val="0"/>
          <w:smallCaps w:val="0"/>
          <w:snapToGrid/>
          <w:color w:val="auto"/>
          <w:spacing w:val="0"/>
          <w:w w:val="100"/>
          <w:kern w:val="0"/>
          <w:sz w:val="24"/>
          <w:szCs w:val="24"/>
          <w:highlight w:val="none"/>
          <w:vertAlign w:val="baseline"/>
          <w:lang w:val="en-US" w:eastAsia="zh-CN" w:bidi="ar-SA"/>
        </w:rPr>
        <w:t>清管废物主要成分为少量的泥沙等，集中收集后，随建筑垃圾一起拉运处置。</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r>
        <w:rPr>
          <w:rFonts w:hint="eastAsia" w:cs="Times New Roman"/>
          <w:caps w:val="0"/>
          <w:smallCaps w:val="0"/>
          <w:snapToGrid/>
          <w:color w:val="auto"/>
          <w:spacing w:val="0"/>
          <w:w w:val="100"/>
          <w:kern w:val="0"/>
          <w:sz w:val="24"/>
          <w:szCs w:val="24"/>
          <w:highlight w:val="none"/>
          <w:vertAlign w:val="baseline"/>
          <w:lang w:val="en-US" w:eastAsia="zh-CN" w:bidi="ar-SA"/>
        </w:rPr>
        <w:t>4</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）生活垃圾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施工期每人每天产生生活垃圾0.5kg，</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项目施工期共5个月，最多施工人数为30人；产生生活垃圾共2.25t，由环卫部门清运至肇源县生活垃圾处理场处理。</w:t>
      </w:r>
    </w:p>
    <w:p>
      <w:pP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br w:type="page"/>
      </w:r>
    </w:p>
    <w:p>
      <w:pPr>
        <w:rPr>
          <w:rFonts w:hint="eastAsia" w:ascii="Times New Roman" w:hAnsi="Times New Roman" w:eastAsia="宋体" w:cs="宋体"/>
          <w:b/>
          <w:bCs/>
          <w:smallCaps w:val="0"/>
          <w:color w:val="auto"/>
          <w:kern w:val="2"/>
          <w:sz w:val="21"/>
          <w:szCs w:val="21"/>
          <w:highlight w:val="none"/>
          <w:lang w:val="en-US" w:eastAsia="zh-CN" w:bidi="ar-SA"/>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表3.4-2</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废水污染源源强核算结果及相关参数一览表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90"/>
        <w:gridCol w:w="940"/>
        <w:gridCol w:w="860"/>
        <w:gridCol w:w="887"/>
        <w:gridCol w:w="777"/>
        <w:gridCol w:w="845"/>
        <w:gridCol w:w="832"/>
        <w:gridCol w:w="723"/>
        <w:gridCol w:w="2659"/>
        <w:gridCol w:w="914"/>
        <w:gridCol w:w="954"/>
        <w:gridCol w:w="1024"/>
        <w:gridCol w:w="856"/>
        <w:gridCol w:w="101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9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工序</w:t>
            </w:r>
          </w:p>
        </w:tc>
        <w:tc>
          <w:tcPr>
            <w:tcW w:w="94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装置</w:t>
            </w:r>
          </w:p>
        </w:tc>
        <w:tc>
          <w:tcPr>
            <w:tcW w:w="86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污染源</w:t>
            </w:r>
          </w:p>
        </w:tc>
        <w:tc>
          <w:tcPr>
            <w:tcW w:w="88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污染物</w:t>
            </w:r>
          </w:p>
        </w:tc>
        <w:tc>
          <w:tcPr>
            <w:tcW w:w="3177"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污染物产生</w:t>
            </w:r>
          </w:p>
        </w:tc>
        <w:tc>
          <w:tcPr>
            <w:tcW w:w="265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治理措施</w:t>
            </w:r>
          </w:p>
        </w:tc>
        <w:tc>
          <w:tcPr>
            <w:tcW w:w="3748"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污染物排放</w:t>
            </w:r>
          </w:p>
        </w:tc>
        <w:tc>
          <w:tcPr>
            <w:tcW w:w="101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排放时间（</w:t>
            </w:r>
            <w:r>
              <w:rPr>
                <w:rFonts w:hint="eastAsia" w:ascii="Times New Roman" w:hAnsi="Times New Roman" w:cs="Times New Roman"/>
                <w:color w:val="auto"/>
                <w:sz w:val="21"/>
                <w:szCs w:val="21"/>
                <w:highlight w:val="none"/>
                <w:vertAlign w:val="baseline"/>
                <w:lang w:val="en-US" w:eastAsia="zh-CN"/>
              </w:rPr>
              <w:t>h/a</w:t>
            </w:r>
            <w:r>
              <w:rPr>
                <w:rFonts w:hint="default"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9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94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6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8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77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核算方法</w:t>
            </w:r>
          </w:p>
        </w:tc>
        <w:tc>
          <w:tcPr>
            <w:tcW w:w="84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产生废水量</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/a</w:t>
            </w:r>
            <w:r>
              <w:rPr>
                <w:rFonts w:hint="default" w:ascii="Times New Roman" w:hAnsi="Times New Roman" w:cs="Times New Roman"/>
                <w:color w:val="auto"/>
                <w:sz w:val="21"/>
                <w:szCs w:val="21"/>
                <w:highlight w:val="none"/>
                <w:vertAlign w:val="baseline"/>
                <w:lang w:val="en-US" w:eastAsia="zh-CN"/>
              </w:rPr>
              <w:t>）</w:t>
            </w:r>
          </w:p>
        </w:tc>
        <w:tc>
          <w:tcPr>
            <w:tcW w:w="8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浓度</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72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产生量（</w:t>
            </w: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/a</w:t>
            </w:r>
            <w:r>
              <w:rPr>
                <w:rFonts w:hint="default" w:ascii="Times New Roman" w:hAnsi="Times New Roman" w:cs="Times New Roman"/>
                <w:color w:val="auto"/>
                <w:sz w:val="21"/>
                <w:szCs w:val="21"/>
                <w:highlight w:val="none"/>
                <w:vertAlign w:val="baseline"/>
                <w:lang w:val="en-US" w:eastAsia="zh-CN"/>
              </w:rPr>
              <w:t>）</w:t>
            </w:r>
          </w:p>
        </w:tc>
        <w:tc>
          <w:tcPr>
            <w:tcW w:w="265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9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核算方法</w:t>
            </w:r>
          </w:p>
        </w:tc>
        <w:tc>
          <w:tcPr>
            <w:tcW w:w="95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排放废水量</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/a</w:t>
            </w:r>
            <w:r>
              <w:rPr>
                <w:rFonts w:hint="default" w:ascii="Times New Roman" w:hAnsi="Times New Roman" w:cs="Times New Roman"/>
                <w:color w:val="auto"/>
                <w:sz w:val="21"/>
                <w:szCs w:val="21"/>
                <w:highlight w:val="none"/>
                <w:vertAlign w:val="baseline"/>
                <w:lang w:val="en-US" w:eastAsia="zh-CN"/>
              </w:rPr>
              <w:t>）</w:t>
            </w:r>
          </w:p>
        </w:tc>
        <w:tc>
          <w:tcPr>
            <w:tcW w:w="102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排放浓度</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85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排放量（</w:t>
            </w: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/a</w:t>
            </w:r>
            <w:r>
              <w:rPr>
                <w:rFonts w:hint="default" w:ascii="Times New Roman" w:hAnsi="Times New Roman" w:cs="Times New Roman"/>
                <w:color w:val="auto"/>
                <w:sz w:val="21"/>
                <w:szCs w:val="21"/>
                <w:highlight w:val="none"/>
                <w:vertAlign w:val="baseline"/>
                <w:lang w:val="en-US" w:eastAsia="zh-CN"/>
              </w:rPr>
              <w:t>）</w:t>
            </w:r>
          </w:p>
        </w:tc>
        <w:tc>
          <w:tcPr>
            <w:tcW w:w="101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9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施工</w:t>
            </w:r>
          </w:p>
        </w:tc>
        <w:tc>
          <w:tcPr>
            <w:tcW w:w="9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aps w:val="0"/>
                <w:smallCaps w:val="0"/>
                <w:color w:val="auto"/>
                <w:spacing w:val="0"/>
                <w:w w:val="100"/>
                <w:sz w:val="21"/>
                <w:szCs w:val="21"/>
                <w:highlight w:val="none"/>
                <w:lang w:val="en-US" w:eastAsia="zh-CN"/>
              </w:rPr>
              <w:t>/</w:t>
            </w:r>
          </w:p>
        </w:tc>
        <w:tc>
          <w:tcPr>
            <w:tcW w:w="860" w:type="dxa"/>
            <w:tcBorders>
              <w:tl2br w:val="nil"/>
              <w:tr2bl w:val="nil"/>
            </w:tcBorders>
            <w:vAlign w:val="center"/>
          </w:tcPr>
          <w:p>
            <w:pPr>
              <w:pageBreakBefore w:val="0"/>
              <w:widowControl/>
              <w:bidi w:val="0"/>
              <w:spacing w:line="360" w:lineRule="auto"/>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生活污水</w:t>
            </w:r>
          </w:p>
        </w:tc>
        <w:tc>
          <w:tcPr>
            <w:tcW w:w="887" w:type="dxa"/>
            <w:tcBorders>
              <w:tl2br w:val="nil"/>
              <w:tr2bl w:val="nil"/>
            </w:tcBorders>
            <w:vAlign w:val="center"/>
          </w:tcPr>
          <w:p>
            <w:pPr>
              <w:pageBreakBefore w:val="0"/>
              <w:widowControl/>
              <w:bidi w:val="0"/>
              <w:spacing w:line="36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COD、氨氮</w:t>
            </w:r>
          </w:p>
        </w:tc>
        <w:tc>
          <w:tcPr>
            <w:tcW w:w="77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系数法</w:t>
            </w:r>
          </w:p>
        </w:tc>
        <w:tc>
          <w:tcPr>
            <w:tcW w:w="84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288</w:t>
            </w:r>
          </w:p>
        </w:tc>
        <w:tc>
          <w:tcPr>
            <w:tcW w:w="8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72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6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服务站站址施工区域生活污水排入站内化粪池，施工结束后，可随站内运维人员生活污水一起拉运处置；管道施工区域距附近村屯较近，不设置施工营地，租用附近的村民民房进行生活，生活污水排入租用民房防渗化粪池内，定期清掏</w:t>
            </w:r>
          </w:p>
        </w:tc>
        <w:tc>
          <w:tcPr>
            <w:tcW w:w="9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系数法</w:t>
            </w:r>
          </w:p>
        </w:tc>
        <w:tc>
          <w:tcPr>
            <w:tcW w:w="95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288</w:t>
            </w:r>
          </w:p>
        </w:tc>
        <w:tc>
          <w:tcPr>
            <w:tcW w:w="102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5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0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9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站址施工</w:t>
            </w:r>
          </w:p>
        </w:tc>
        <w:tc>
          <w:tcPr>
            <w:tcW w:w="9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搅拌砂浆、润湿建筑材料、清洗施工设备</w:t>
            </w:r>
          </w:p>
        </w:tc>
        <w:tc>
          <w:tcPr>
            <w:tcW w:w="86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施工废水</w:t>
            </w:r>
          </w:p>
        </w:tc>
        <w:tc>
          <w:tcPr>
            <w:tcW w:w="8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aps w:val="0"/>
                <w:smallCaps w:val="0"/>
                <w:color w:val="auto"/>
                <w:spacing w:val="0"/>
                <w:w w:val="100"/>
                <w:sz w:val="21"/>
                <w:szCs w:val="21"/>
                <w:highlight w:val="none"/>
                <w:lang w:val="en-US" w:eastAsia="zh-CN"/>
              </w:rPr>
              <w:t>SS</w:t>
            </w:r>
          </w:p>
        </w:tc>
        <w:tc>
          <w:tcPr>
            <w:tcW w:w="77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84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少量</w:t>
            </w:r>
          </w:p>
        </w:tc>
        <w:tc>
          <w:tcPr>
            <w:tcW w:w="8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72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6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经施工场地内临时沉淀池沉淀后，用于厂区施工洒水抑尘</w:t>
            </w:r>
          </w:p>
        </w:tc>
        <w:tc>
          <w:tcPr>
            <w:tcW w:w="9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95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少量</w:t>
            </w:r>
          </w:p>
        </w:tc>
        <w:tc>
          <w:tcPr>
            <w:tcW w:w="102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5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0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间断</w:t>
            </w:r>
          </w:p>
        </w:tc>
      </w:tr>
    </w:tbl>
    <w:p>
      <w:pP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br w:type="page"/>
      </w:r>
    </w:p>
    <w:p>
      <w:pPr>
        <w:jc w:val="cente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表3.4-3</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噪声污染源源强核算结果及相关参数一览表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40"/>
        <w:gridCol w:w="899"/>
        <w:gridCol w:w="1473"/>
        <w:gridCol w:w="1446"/>
        <w:gridCol w:w="1159"/>
        <w:gridCol w:w="1350"/>
        <w:gridCol w:w="2140"/>
        <w:gridCol w:w="791"/>
        <w:gridCol w:w="1378"/>
        <w:gridCol w:w="1322"/>
        <w:gridCol w:w="117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4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工序</w:t>
            </w:r>
          </w:p>
        </w:tc>
        <w:tc>
          <w:tcPr>
            <w:tcW w:w="2372" w:type="dxa"/>
            <w:gridSpan w:val="2"/>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噪声源</w:t>
            </w:r>
          </w:p>
        </w:tc>
        <w:tc>
          <w:tcPr>
            <w:tcW w:w="144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声源类型</w:t>
            </w:r>
          </w:p>
        </w:tc>
        <w:tc>
          <w:tcPr>
            <w:tcW w:w="2509"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噪声源强</w:t>
            </w:r>
          </w:p>
        </w:tc>
        <w:tc>
          <w:tcPr>
            <w:tcW w:w="2931"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降噪措施</w:t>
            </w:r>
          </w:p>
        </w:tc>
        <w:tc>
          <w:tcPr>
            <w:tcW w:w="2700"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噪声排放值</w:t>
            </w:r>
          </w:p>
        </w:tc>
        <w:tc>
          <w:tcPr>
            <w:tcW w:w="117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持续时间（d）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4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2372"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4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1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核算方法</w:t>
            </w:r>
          </w:p>
        </w:tc>
        <w:tc>
          <w:tcPr>
            <w:tcW w:w="13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噪声值</w:t>
            </w:r>
          </w:p>
        </w:tc>
        <w:tc>
          <w:tcPr>
            <w:tcW w:w="21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工艺</w:t>
            </w:r>
          </w:p>
        </w:tc>
        <w:tc>
          <w:tcPr>
            <w:tcW w:w="7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降噪效果</w:t>
            </w: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核算方法</w:t>
            </w:r>
          </w:p>
        </w:tc>
        <w:tc>
          <w:tcPr>
            <w:tcW w:w="132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噪声值</w:t>
            </w:r>
          </w:p>
        </w:tc>
        <w:tc>
          <w:tcPr>
            <w:tcW w:w="117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4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施工</w:t>
            </w:r>
          </w:p>
        </w:tc>
        <w:tc>
          <w:tcPr>
            <w:tcW w:w="89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施工场地</w:t>
            </w:r>
          </w:p>
        </w:tc>
        <w:tc>
          <w:tcPr>
            <w:tcW w:w="14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装载机</w:t>
            </w:r>
          </w:p>
        </w:tc>
        <w:tc>
          <w:tcPr>
            <w:tcW w:w="14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频发噪声</w:t>
            </w:r>
          </w:p>
        </w:tc>
        <w:tc>
          <w:tcPr>
            <w:tcW w:w="11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3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85-90</w:t>
            </w:r>
          </w:p>
        </w:tc>
        <w:tc>
          <w:tcPr>
            <w:tcW w:w="214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低</w:t>
            </w:r>
            <w:r>
              <w:rPr>
                <w:rFonts w:hint="eastAsia" w:cs="Times New Roman"/>
                <w:color w:val="auto"/>
                <w:sz w:val="21"/>
                <w:szCs w:val="21"/>
                <w:highlight w:val="none"/>
                <w:vertAlign w:val="baseline"/>
                <w:lang w:val="en-US" w:eastAsia="zh-CN"/>
              </w:rPr>
              <w:t>噪</w:t>
            </w:r>
            <w:r>
              <w:rPr>
                <w:rFonts w:hint="default" w:ascii="Times New Roman" w:hAnsi="Times New Roman" w:cs="Times New Roman"/>
                <w:color w:val="auto"/>
                <w:sz w:val="21"/>
                <w:szCs w:val="21"/>
                <w:highlight w:val="none"/>
                <w:vertAlign w:val="baseline"/>
                <w:lang w:val="en-US" w:eastAsia="zh-CN"/>
              </w:rPr>
              <w:t>设备，定期检修维护</w:t>
            </w:r>
            <w:r>
              <w:rPr>
                <w:rFonts w:hint="eastAsia" w:ascii="Times New Roman" w:hAnsi="Times New Roman" w:cs="Times New Roman"/>
                <w:color w:val="auto"/>
                <w:sz w:val="21"/>
                <w:szCs w:val="21"/>
                <w:highlight w:val="none"/>
                <w:vertAlign w:val="baseline"/>
                <w:lang w:val="en-US" w:eastAsia="zh-CN"/>
              </w:rPr>
              <w:t>，合理操作，保证施工机械保持在最佳状态，合理布局施工场地等措施</w:t>
            </w:r>
          </w:p>
        </w:tc>
        <w:tc>
          <w:tcPr>
            <w:tcW w:w="791"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3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85-90</w:t>
            </w:r>
          </w:p>
        </w:tc>
        <w:tc>
          <w:tcPr>
            <w:tcW w:w="11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4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推土机</w:t>
            </w:r>
          </w:p>
        </w:tc>
        <w:tc>
          <w:tcPr>
            <w:tcW w:w="14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频发噪声</w:t>
            </w:r>
          </w:p>
        </w:tc>
        <w:tc>
          <w:tcPr>
            <w:tcW w:w="11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3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85-90</w:t>
            </w:r>
          </w:p>
        </w:tc>
        <w:tc>
          <w:tcPr>
            <w:tcW w:w="214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9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3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85-90</w:t>
            </w:r>
          </w:p>
        </w:tc>
        <w:tc>
          <w:tcPr>
            <w:tcW w:w="11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4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挖掘机</w:t>
            </w:r>
          </w:p>
        </w:tc>
        <w:tc>
          <w:tcPr>
            <w:tcW w:w="14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频发噪声</w:t>
            </w:r>
          </w:p>
        </w:tc>
        <w:tc>
          <w:tcPr>
            <w:tcW w:w="11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3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85-90</w:t>
            </w:r>
          </w:p>
        </w:tc>
        <w:tc>
          <w:tcPr>
            <w:tcW w:w="214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9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3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85-90</w:t>
            </w:r>
          </w:p>
        </w:tc>
        <w:tc>
          <w:tcPr>
            <w:tcW w:w="11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4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运输车辆</w:t>
            </w:r>
          </w:p>
        </w:tc>
        <w:tc>
          <w:tcPr>
            <w:tcW w:w="14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偶发噪声</w:t>
            </w:r>
          </w:p>
        </w:tc>
        <w:tc>
          <w:tcPr>
            <w:tcW w:w="11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3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70-80</w:t>
            </w:r>
          </w:p>
        </w:tc>
        <w:tc>
          <w:tcPr>
            <w:tcW w:w="214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9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3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70-80</w:t>
            </w:r>
          </w:p>
        </w:tc>
        <w:tc>
          <w:tcPr>
            <w:tcW w:w="11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4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电焊机</w:t>
            </w:r>
          </w:p>
        </w:tc>
        <w:tc>
          <w:tcPr>
            <w:tcW w:w="14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频发噪声</w:t>
            </w:r>
          </w:p>
        </w:tc>
        <w:tc>
          <w:tcPr>
            <w:tcW w:w="11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3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70-80</w:t>
            </w:r>
          </w:p>
        </w:tc>
        <w:tc>
          <w:tcPr>
            <w:tcW w:w="214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9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3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70-80</w:t>
            </w:r>
          </w:p>
        </w:tc>
        <w:tc>
          <w:tcPr>
            <w:tcW w:w="11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连续</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4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搅拌机</w:t>
            </w:r>
          </w:p>
        </w:tc>
        <w:tc>
          <w:tcPr>
            <w:tcW w:w="14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频发噪声</w:t>
            </w:r>
          </w:p>
        </w:tc>
        <w:tc>
          <w:tcPr>
            <w:tcW w:w="11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3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70-80</w:t>
            </w:r>
          </w:p>
        </w:tc>
        <w:tc>
          <w:tcPr>
            <w:tcW w:w="214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9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3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70-80</w:t>
            </w:r>
          </w:p>
        </w:tc>
        <w:tc>
          <w:tcPr>
            <w:tcW w:w="11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连续</w:t>
            </w:r>
          </w:p>
        </w:tc>
      </w:tr>
    </w:tbl>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表3.4-4施工期固体废物污染源源强核算结果及相关参数一览表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86"/>
        <w:gridCol w:w="804"/>
        <w:gridCol w:w="2087"/>
        <w:gridCol w:w="1404"/>
        <w:gridCol w:w="1555"/>
        <w:gridCol w:w="1432"/>
        <w:gridCol w:w="1131"/>
        <w:gridCol w:w="1378"/>
        <w:gridCol w:w="339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8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工序</w:t>
            </w:r>
          </w:p>
        </w:tc>
        <w:tc>
          <w:tcPr>
            <w:tcW w:w="804"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装置</w:t>
            </w:r>
          </w:p>
        </w:tc>
        <w:tc>
          <w:tcPr>
            <w:tcW w:w="208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固体废物名称</w:t>
            </w:r>
          </w:p>
        </w:tc>
        <w:tc>
          <w:tcPr>
            <w:tcW w:w="1404"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固废属性</w:t>
            </w:r>
          </w:p>
        </w:tc>
        <w:tc>
          <w:tcPr>
            <w:tcW w:w="298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产生情况</w:t>
            </w:r>
          </w:p>
        </w:tc>
        <w:tc>
          <w:tcPr>
            <w:tcW w:w="2509"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处置措施</w:t>
            </w:r>
          </w:p>
        </w:tc>
        <w:tc>
          <w:tcPr>
            <w:tcW w:w="339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最终去向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8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0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208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0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5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核算方法</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产生量</w:t>
            </w:r>
          </w:p>
        </w:tc>
        <w:tc>
          <w:tcPr>
            <w:tcW w:w="11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工艺</w:t>
            </w: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处置量</w:t>
            </w:r>
          </w:p>
        </w:tc>
        <w:tc>
          <w:tcPr>
            <w:tcW w:w="339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站址</w:t>
            </w:r>
            <w:r>
              <w:rPr>
                <w:rFonts w:hint="eastAsia" w:cs="Times New Roman"/>
                <w:color w:val="auto"/>
                <w:sz w:val="21"/>
                <w:szCs w:val="21"/>
                <w:highlight w:val="none"/>
                <w:vertAlign w:val="baseline"/>
                <w:lang w:val="en-US" w:eastAsia="zh-CN"/>
              </w:rPr>
              <w:t>及管道</w:t>
            </w:r>
            <w:r>
              <w:rPr>
                <w:rFonts w:hint="eastAsia" w:ascii="Times New Roman" w:hAnsi="Times New Roman" w:cs="Times New Roman"/>
                <w:color w:val="auto"/>
                <w:sz w:val="21"/>
                <w:szCs w:val="21"/>
                <w:highlight w:val="none"/>
                <w:vertAlign w:val="baseline"/>
                <w:lang w:val="en-US" w:eastAsia="zh-CN"/>
              </w:rPr>
              <w:t>施工</w:t>
            </w:r>
          </w:p>
        </w:tc>
        <w:tc>
          <w:tcPr>
            <w:tcW w:w="8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0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建筑垃圾</w:t>
            </w:r>
          </w:p>
        </w:tc>
        <w:tc>
          <w:tcPr>
            <w:tcW w:w="14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一般工业固废</w:t>
            </w:r>
          </w:p>
        </w:tc>
        <w:tc>
          <w:tcPr>
            <w:tcW w:w="15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0.3t</w:t>
            </w:r>
          </w:p>
        </w:tc>
        <w:tc>
          <w:tcPr>
            <w:tcW w:w="11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委托处理</w:t>
            </w: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0.3t</w:t>
            </w:r>
          </w:p>
        </w:tc>
        <w:tc>
          <w:tcPr>
            <w:tcW w:w="339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可分类进行回收利用。对于不能回收的建筑垃圾，如砂石、石块、碎砖瓦等，经集中收集后运送至大庆市红岗区建筑垃圾场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8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管道施工</w:t>
            </w:r>
          </w:p>
        </w:tc>
        <w:tc>
          <w:tcPr>
            <w:tcW w:w="8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定向穿越</w:t>
            </w:r>
          </w:p>
        </w:tc>
        <w:tc>
          <w:tcPr>
            <w:tcW w:w="20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废弃泥浆</w:t>
            </w:r>
          </w:p>
        </w:tc>
        <w:tc>
          <w:tcPr>
            <w:tcW w:w="14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一般工业固废</w:t>
            </w:r>
          </w:p>
        </w:tc>
        <w:tc>
          <w:tcPr>
            <w:tcW w:w="15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168</w:t>
            </w: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11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委托处理</w:t>
            </w: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168</w:t>
            </w: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p>
        </w:tc>
        <w:tc>
          <w:tcPr>
            <w:tcW w:w="339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集中收集，拉运至自然资源局指定地点处置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8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清管</w:t>
            </w:r>
          </w:p>
        </w:tc>
        <w:tc>
          <w:tcPr>
            <w:tcW w:w="20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清管废物</w:t>
            </w:r>
          </w:p>
        </w:tc>
        <w:tc>
          <w:tcPr>
            <w:tcW w:w="14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一般工业固废</w:t>
            </w:r>
          </w:p>
        </w:tc>
        <w:tc>
          <w:tcPr>
            <w:tcW w:w="15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少量</w:t>
            </w:r>
          </w:p>
        </w:tc>
        <w:tc>
          <w:tcPr>
            <w:tcW w:w="11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委托处理</w:t>
            </w: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少量</w:t>
            </w:r>
          </w:p>
        </w:tc>
        <w:tc>
          <w:tcPr>
            <w:tcW w:w="339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集中收集，随建筑垃圾一起拉运处置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施工期</w:t>
            </w:r>
          </w:p>
        </w:tc>
        <w:tc>
          <w:tcPr>
            <w:tcW w:w="8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0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生活垃圾</w:t>
            </w:r>
          </w:p>
        </w:tc>
        <w:tc>
          <w:tcPr>
            <w:tcW w:w="14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生活垃圾</w:t>
            </w:r>
          </w:p>
        </w:tc>
        <w:tc>
          <w:tcPr>
            <w:tcW w:w="15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系数法</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2.25t</w:t>
            </w:r>
          </w:p>
        </w:tc>
        <w:tc>
          <w:tcPr>
            <w:tcW w:w="11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委托处理</w:t>
            </w: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2.25t</w:t>
            </w:r>
          </w:p>
        </w:tc>
        <w:tc>
          <w:tcPr>
            <w:tcW w:w="339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由环卫部门清运至肇源县生活垃圾处理场处理</w:t>
            </w:r>
          </w:p>
        </w:tc>
      </w:tr>
    </w:tbl>
    <w:p>
      <w:pPr>
        <w:jc w:val="both"/>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3.4.2运行期</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污染源分析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3.4.2.1</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大气污染源分析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运行期产生的废气主要为废水</w:t>
      </w:r>
      <w:r>
        <w:rPr>
          <w:rFonts w:hint="eastAsia" w:cs="Times New Roman"/>
          <w:caps w:val="0"/>
          <w:smallCaps w:val="0"/>
          <w:snapToGrid/>
          <w:color w:val="auto"/>
          <w:spacing w:val="0"/>
          <w:w w:val="100"/>
          <w:kern w:val="0"/>
          <w:sz w:val="24"/>
          <w:szCs w:val="24"/>
          <w:highlight w:val="none"/>
          <w:vertAlign w:val="baseline"/>
          <w:lang w:val="en-US" w:eastAsia="zh-CN" w:bidi="ar-SA"/>
        </w:rPr>
        <w:t>及</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cs="Times New Roman"/>
          <w:caps w:val="0"/>
          <w:smallCaps w:val="0"/>
          <w:snapToGrid/>
          <w:color w:val="auto"/>
          <w:spacing w:val="0"/>
          <w:w w:val="100"/>
          <w:kern w:val="0"/>
          <w:sz w:val="24"/>
          <w:szCs w:val="24"/>
          <w:highlight w:val="none"/>
          <w:vertAlign w:val="baseline"/>
          <w:lang w:val="en-US" w:eastAsia="zh-CN" w:bidi="ar-SA"/>
        </w:rPr>
        <w:t>处置过程中</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产生的恶臭气体</w:t>
      </w:r>
      <w:r>
        <w:rPr>
          <w:rFonts w:hint="eastAsia" w:cs="Times New Roman"/>
          <w:caps w:val="0"/>
          <w:smallCaps w:val="0"/>
          <w:snapToGrid/>
          <w:color w:val="auto"/>
          <w:spacing w:val="0"/>
          <w:w w:val="100"/>
          <w:kern w:val="0"/>
          <w:sz w:val="24"/>
          <w:szCs w:val="24"/>
          <w:highlight w:val="none"/>
          <w:vertAlign w:val="baseline"/>
          <w:lang w:val="en-US" w:eastAsia="zh-CN" w:bidi="ar-SA"/>
        </w:rPr>
        <w:t>，站内产生的</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挥发性气体及食堂产生的饮食业油烟。</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（1）恶臭气体</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项目</w:t>
      </w:r>
      <w:r>
        <w:rPr>
          <w:rFonts w:hint="eastAsia" w:cs="Times New Roman"/>
          <w:caps w:val="0"/>
          <w:smallCaps w:val="0"/>
          <w:snapToGrid/>
          <w:color w:val="auto"/>
          <w:spacing w:val="0"/>
          <w:w w:val="100"/>
          <w:kern w:val="0"/>
          <w:sz w:val="24"/>
          <w:szCs w:val="24"/>
          <w:highlight w:val="none"/>
          <w:vertAlign w:val="baseline"/>
          <w:lang w:val="en-US" w:eastAsia="zh-CN" w:bidi="ar-SA"/>
        </w:rPr>
        <w:t>运行期产生的恶臭气体主要为</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废水在处理过程</w:t>
      </w:r>
      <w:r>
        <w:rPr>
          <w:rFonts w:hint="eastAsia" w:ascii="Times New Roman" w:hAnsi="Times New Roman" w:cs="Times New Roman"/>
          <w:caps w:val="0"/>
          <w:smallCaps w:val="0"/>
          <w:snapToGrid/>
          <w:color w:val="auto"/>
          <w:spacing w:val="0"/>
          <w:w w:val="100"/>
          <w:kern w:val="0"/>
          <w:sz w:val="24"/>
          <w:szCs w:val="24"/>
          <w:highlight w:val="none"/>
          <w:vertAlign w:val="baseline"/>
          <w:lang w:val="en-US" w:eastAsia="zh-CN" w:bidi="ar-SA"/>
        </w:rPr>
        <w:t>中产生；且本项目废水处理工艺主要采取物化处理工艺，且处理后废水多呈中性及微酸性环境，硫化氢、氨气产生量较小。根据《污水处理厂恶臭防治对策及环境影响评价的研究》(薛松，和慧，邓丽蕊，孙晶晶）和《城市污水处理厂恶臭气体及控制技术的研究》(张少梅，沈晋明)中的数据，并参照《恶臭污染测试与控制技术》(化学工业出版社)中“污水处理厂恶臭环境影响评价”中相关内容，确定3#服务站站内各处理单元氨气和硫化氢排放系数如下：</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center"/>
        <w:textAlignment w:val="auto"/>
        <w:rPr>
          <w:rFonts w:hint="eastAsia" w:ascii="Times New Roman" w:hAnsi="Times New Roman"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表3.4-5</w:t>
      </w:r>
      <w:r>
        <w:rPr>
          <w:rFonts w:hint="eastAsia" w:ascii="Times New Roman" w:hAnsi="Times New Roman" w:cs="Times New Roman"/>
          <w:b/>
          <w:bCs/>
          <w:caps w:val="0"/>
          <w:smallCaps w:val="0"/>
          <w:snapToGrid/>
          <w:color w:val="auto"/>
          <w:spacing w:val="0"/>
          <w:w w:val="100"/>
          <w:kern w:val="0"/>
          <w:sz w:val="21"/>
          <w:szCs w:val="21"/>
          <w:highlight w:val="none"/>
          <w:lang w:val="en-US" w:eastAsia="zh-CN" w:bidi="ar-SA"/>
        </w:rPr>
        <w:t>恶臭气体产污系数</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701"/>
        <w:gridCol w:w="3976"/>
        <w:gridCol w:w="28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01"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工序</w:t>
            </w:r>
          </w:p>
        </w:tc>
        <w:tc>
          <w:tcPr>
            <w:tcW w:w="6815"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源强（mg/s·m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0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39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氨</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硫化氢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70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预处理工段</w:t>
            </w:r>
          </w:p>
        </w:tc>
        <w:tc>
          <w:tcPr>
            <w:tcW w:w="39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0.092</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9.3×10</w:t>
            </w:r>
            <w:r>
              <w:rPr>
                <w:rFonts w:hint="eastAsia" w:cs="Times New Roman"/>
                <w:color w:val="auto"/>
                <w:sz w:val="21"/>
                <w:szCs w:val="21"/>
                <w:highlight w:val="none"/>
                <w:vertAlign w:val="superscript"/>
                <w:lang w:val="en-US" w:eastAsia="zh-CN"/>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0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污泥处理工段</w:t>
            </w:r>
          </w:p>
        </w:tc>
        <w:tc>
          <w:tcPr>
            <w:tcW w:w="39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0.085</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2.38×10</w:t>
            </w:r>
            <w:r>
              <w:rPr>
                <w:rFonts w:hint="eastAsia" w:cs="Times New Roman"/>
                <w:color w:val="auto"/>
                <w:sz w:val="21"/>
                <w:szCs w:val="21"/>
                <w:highlight w:val="none"/>
                <w:vertAlign w:val="superscript"/>
                <w:lang w:val="en-US" w:eastAsia="zh-CN"/>
              </w:rPr>
              <w:t>-3</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本项目新建预处理车间进水池</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隔油沉沙池</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混凝池1#</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絮凝池1#</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沉淀池</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混凝池2#</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絮凝池2#</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涡凹反应池</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涡凹气浮刮渣池</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外排水池</w:t>
      </w:r>
      <w:r>
        <w:rPr>
          <w:rFonts w:hint="eastAsia" w:cs="Times New Roman"/>
          <w:caps w:val="0"/>
          <w:smallCaps w:val="0"/>
          <w:snapToGrid/>
          <w:color w:val="auto"/>
          <w:spacing w:val="0"/>
          <w:w w:val="100"/>
          <w:kern w:val="0"/>
          <w:sz w:val="24"/>
          <w:szCs w:val="24"/>
          <w:highlight w:val="none"/>
          <w:vertAlign w:val="baseline"/>
          <w:lang w:val="en-US" w:eastAsia="zh-CN" w:bidi="ar-SA"/>
        </w:rPr>
        <w:t>，池体总表面积为497.14</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，储泥池面积为55.6m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，储液池面积为15.7m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cs="Times New Roman"/>
          <w:caps w:val="0"/>
          <w:smallCaps w:val="0"/>
          <w:snapToGrid/>
          <w:color w:val="auto"/>
          <w:spacing w:val="0"/>
          <w:w w:val="100"/>
          <w:kern w:val="0"/>
          <w:sz w:val="24"/>
          <w:szCs w:val="24"/>
          <w:highlight w:val="none"/>
          <w:vertAlign w:val="baseline"/>
          <w:lang w:val="en-US" w:eastAsia="zh-CN" w:bidi="ar-SA"/>
        </w:rPr>
        <w:t>卸</w:t>
      </w:r>
      <w:r>
        <w:rPr>
          <w:rFonts w:hint="eastAsia" w:cs="Times New Roman"/>
          <w:caps w:val="0"/>
          <w:smallCaps w:val="0"/>
          <w:snapToGrid/>
          <w:color w:val="auto"/>
          <w:spacing w:val="0"/>
          <w:w w:val="100"/>
          <w:kern w:val="0"/>
          <w:sz w:val="24"/>
          <w:szCs w:val="24"/>
          <w:highlight w:val="none"/>
          <w:vertAlign w:val="baseline"/>
          <w:lang w:val="en-US" w:eastAsia="zh-CN" w:bidi="ar-SA"/>
        </w:rPr>
        <w:t>车</w:t>
      </w:r>
      <w:r>
        <w:rPr>
          <w:rFonts w:hint="eastAsia" w:ascii="Times New Roman" w:hAnsi="Times New Roman" w:cs="Times New Roman"/>
          <w:caps w:val="0"/>
          <w:smallCaps w:val="0"/>
          <w:snapToGrid/>
          <w:color w:val="auto"/>
          <w:spacing w:val="0"/>
          <w:w w:val="100"/>
          <w:kern w:val="0"/>
          <w:sz w:val="24"/>
          <w:szCs w:val="24"/>
          <w:highlight w:val="none"/>
          <w:vertAlign w:val="baseline"/>
          <w:lang w:val="en-US" w:eastAsia="zh-CN" w:bidi="ar-SA"/>
        </w:rPr>
        <w:t>平台设置的</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均质池为地下构建物</w:t>
      </w:r>
      <w:r>
        <w:rPr>
          <w:rFonts w:hint="eastAsia" w:ascii="Times New Roman" w:hAnsi="Times New Roman" w:cs="Times New Roman"/>
          <w:caps w:val="0"/>
          <w:smallCaps w:val="0"/>
          <w:snapToGrid/>
          <w:color w:val="auto"/>
          <w:spacing w:val="0"/>
          <w:w w:val="100"/>
          <w:kern w:val="0"/>
          <w:sz w:val="24"/>
          <w:szCs w:val="24"/>
          <w:highlight w:val="none"/>
          <w:vertAlign w:val="baseline"/>
          <w:lang w:val="en-US" w:eastAsia="zh-CN" w:bidi="ar-SA"/>
        </w:rPr>
        <w:t>，</w:t>
      </w:r>
      <w:r>
        <w:rPr>
          <w:rFonts w:hint="eastAsia" w:cs="Times New Roman"/>
          <w:caps w:val="0"/>
          <w:smallCaps w:val="0"/>
          <w:snapToGrid/>
          <w:color w:val="auto"/>
          <w:spacing w:val="0"/>
          <w:w w:val="100"/>
          <w:kern w:val="0"/>
          <w:sz w:val="24"/>
          <w:szCs w:val="24"/>
          <w:highlight w:val="none"/>
          <w:vertAlign w:val="baseline"/>
          <w:lang w:val="en-US" w:eastAsia="zh-CN" w:bidi="ar-SA"/>
        </w:rPr>
        <w:t>顶部</w:t>
      </w:r>
      <w:r>
        <w:rPr>
          <w:rFonts w:hint="eastAsia" w:ascii="Times New Roman" w:hAnsi="Times New Roman" w:cs="Times New Roman"/>
          <w:caps w:val="0"/>
          <w:smallCaps w:val="0"/>
          <w:snapToGrid/>
          <w:color w:val="auto"/>
          <w:spacing w:val="0"/>
          <w:w w:val="100"/>
          <w:kern w:val="0"/>
          <w:sz w:val="24"/>
          <w:szCs w:val="24"/>
          <w:highlight w:val="none"/>
          <w:vertAlign w:val="baseline"/>
          <w:lang w:val="en-US" w:eastAsia="zh-CN" w:bidi="ar-SA"/>
        </w:rPr>
        <w:t>加盖密封，有效较少恶臭气体逸散。</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为了减少臭气对周边环境的影响，预处理车间为封闭构建物，车间内无组织逸散的恶臭气体采用负压封闭收集，经离子除臭设施处理后，通过15m高排气筒排放。设计收集效率为90%，除臭效率≧90%，风机排气流量5000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/h，每天运行24h，年运行365d。其余未收集部分呈无组织面源排放。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因本项目储液池仅作为处理合格待回用的水临时存储设施，存储时间较短，储液池区采取“曝气+密闭收集工艺”，增加池内水体中氧含量，减少恶臭气体的产生。同时为减少站内</w:t>
      </w:r>
      <w:r>
        <w:rPr>
          <w:rFonts w:hint="eastAsia" w:cs="Times New Roman"/>
          <w:caps w:val="0"/>
          <w:smallCaps w:val="0"/>
          <w:snapToGrid/>
          <w:color w:val="auto"/>
          <w:spacing w:val="0"/>
          <w:w w:val="100"/>
          <w:kern w:val="0"/>
          <w:sz w:val="24"/>
          <w:szCs w:val="24"/>
          <w:highlight w:val="none"/>
          <w:vertAlign w:val="baseline"/>
          <w:lang w:val="en-US" w:eastAsia="zh-CN" w:bidi="ar-SA"/>
        </w:rPr>
        <w:t>达标</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水存放时间，处理达标后的水应立即回用，不可过长时间贮存。</w:t>
      </w:r>
      <w:r>
        <w:rPr>
          <w:rFonts w:hint="eastAsia" w:ascii="Times New Roman" w:hAnsi="Times New Roman" w:cs="Times New Roman"/>
          <w:caps w:val="0"/>
          <w:smallCaps w:val="0"/>
          <w:snapToGrid/>
          <w:color w:val="auto"/>
          <w:spacing w:val="0"/>
          <w:w w:val="100"/>
          <w:kern w:val="0"/>
          <w:sz w:val="24"/>
          <w:szCs w:val="24"/>
          <w:highlight w:val="none"/>
          <w:vertAlign w:val="baseline"/>
          <w:lang w:val="en-US" w:eastAsia="zh-CN" w:bidi="ar-SA"/>
        </w:rPr>
        <w:t>本项目恶臭气体产生及排放情况见表3.4-6。</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表3.4-6</w:t>
      </w:r>
      <w:r>
        <w:rPr>
          <w:rFonts w:hint="eastAsia" w:ascii="Times New Roman" w:hAnsi="Times New Roman" w:eastAsia="宋体" w:cs="宋体"/>
          <w:b/>
          <w:bCs/>
          <w:smallCaps w:val="0"/>
          <w:color w:val="auto"/>
          <w:kern w:val="2"/>
          <w:sz w:val="21"/>
          <w:szCs w:val="21"/>
          <w:highlight w:val="none"/>
          <w:lang w:val="en-US" w:eastAsia="zh-CN" w:bidi="ar-SA"/>
        </w:rPr>
        <w:t>运行期间恶臭气体产排情况</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787"/>
        <w:gridCol w:w="3890"/>
        <w:gridCol w:w="28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7" w:type="dxa"/>
            <w:gridSpan w:val="2"/>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污染源</w:t>
            </w:r>
          </w:p>
        </w:tc>
        <w:tc>
          <w:tcPr>
            <w:tcW w:w="2839"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面积（m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87"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预处理车间</w:t>
            </w:r>
          </w:p>
        </w:tc>
        <w:tc>
          <w:tcPr>
            <w:tcW w:w="3890"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反应池体面积</w:t>
            </w:r>
          </w:p>
        </w:tc>
        <w:tc>
          <w:tcPr>
            <w:tcW w:w="2839"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497.14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87"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污泥处理</w:t>
            </w:r>
          </w:p>
        </w:tc>
        <w:tc>
          <w:tcPr>
            <w:tcW w:w="3890"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污泥储池+压泥机</w:t>
            </w:r>
          </w:p>
        </w:tc>
        <w:tc>
          <w:tcPr>
            <w:tcW w:w="2839"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8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NH</w:t>
            </w:r>
            <w:r>
              <w:rPr>
                <w:rFonts w:hint="eastAsia" w:cs="Times New Roman"/>
                <w:color w:val="auto"/>
                <w:sz w:val="21"/>
                <w:szCs w:val="21"/>
                <w:highlight w:val="none"/>
                <w:vertAlign w:val="subscript"/>
                <w:lang w:val="en-US" w:eastAsia="zh-CN"/>
              </w:rPr>
              <w:t>3</w:t>
            </w:r>
          </w:p>
        </w:tc>
        <w:tc>
          <w:tcPr>
            <w:tcW w:w="389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产生速率（kg/h）</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0.169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8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9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产生量（t/a）</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1.484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8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H</w:t>
            </w:r>
            <w:r>
              <w:rPr>
                <w:rFonts w:hint="eastAsia" w:cs="Times New Roman"/>
                <w:color w:val="auto"/>
                <w:sz w:val="21"/>
                <w:szCs w:val="21"/>
                <w:highlight w:val="none"/>
                <w:vertAlign w:val="subscript"/>
                <w:lang w:val="en-US" w:eastAsia="zh-CN"/>
              </w:rPr>
              <w:t>2</w:t>
            </w:r>
            <w:r>
              <w:rPr>
                <w:rFonts w:hint="eastAsia" w:cs="Times New Roman"/>
                <w:color w:val="auto"/>
                <w:sz w:val="21"/>
                <w:szCs w:val="21"/>
                <w:highlight w:val="none"/>
                <w:vertAlign w:val="baseline"/>
                <w:lang w:val="en-US" w:eastAsia="zh-CN"/>
              </w:rPr>
              <w:t>S</w:t>
            </w:r>
          </w:p>
        </w:tc>
        <w:tc>
          <w:tcPr>
            <w:tcW w:w="389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产生速率（kg/h）</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8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9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产生量（t/a）</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0.016</w:t>
            </w:r>
          </w:p>
        </w:tc>
      </w:tr>
    </w:tbl>
    <w:p>
      <w:pPr>
        <w:rPr>
          <w:rFonts w:hint="eastAsia" w:ascii="Times New Roman" w:hAnsi="Times New Roman" w:eastAsia="宋体" w:cs="宋体"/>
          <w:b/>
          <w:bCs/>
          <w:smallCaps w:val="0"/>
          <w:color w:val="auto"/>
          <w:kern w:val="2"/>
          <w:sz w:val="21"/>
          <w:szCs w:val="21"/>
          <w:highlight w:val="none"/>
          <w:lang w:val="en-US" w:eastAsia="zh-CN" w:bidi="ar-SA"/>
        </w:rPr>
      </w:pPr>
    </w:p>
    <w:p>
      <w:pPr>
        <w:rPr>
          <w:rFonts w:hint="eastAsia" w:ascii="Times New Roman" w:hAnsi="Times New Roman" w:eastAsia="宋体" w:cs="宋体"/>
          <w:b/>
          <w:bCs/>
          <w:smallCaps w:val="0"/>
          <w:color w:val="auto"/>
          <w:kern w:val="2"/>
          <w:sz w:val="21"/>
          <w:szCs w:val="21"/>
          <w:highlight w:val="none"/>
          <w:lang w:val="en-US" w:eastAsia="zh-CN" w:bidi="ar-SA"/>
        </w:rPr>
      </w:pPr>
    </w:p>
    <w:p>
      <w:pPr>
        <w:rPr>
          <w:rFonts w:hint="eastAsia" w:ascii="Times New Roman" w:hAnsi="Times New Roman" w:eastAsia="宋体" w:cs="宋体"/>
          <w:b/>
          <w:bCs/>
          <w:smallCaps w:val="0"/>
          <w:color w:val="auto"/>
          <w:kern w:val="2"/>
          <w:sz w:val="21"/>
          <w:szCs w:val="21"/>
          <w:highlight w:val="none"/>
          <w:lang w:val="en-US" w:eastAsia="zh-CN" w:bidi="ar-SA"/>
        </w:rPr>
      </w:pPr>
    </w:p>
    <w:p>
      <w:pPr>
        <w:rPr>
          <w:rFonts w:hint="eastAsia" w:ascii="Times New Roman" w:hAnsi="Times New Roman" w:eastAsia="宋体" w:cs="宋体"/>
          <w:b/>
          <w:bCs/>
          <w:smallCaps w:val="0"/>
          <w:color w:val="auto"/>
          <w:kern w:val="2"/>
          <w:sz w:val="21"/>
          <w:szCs w:val="21"/>
          <w:highlight w:val="none"/>
          <w:lang w:val="en-US" w:eastAsia="zh-CN" w:bidi="ar-SA"/>
        </w:rPr>
      </w:pPr>
    </w:p>
    <w:p>
      <w:pPr>
        <w:rPr>
          <w:rFonts w:hint="eastAsia" w:ascii="Times New Roman" w:hAnsi="Times New Roman" w:eastAsia="宋体" w:cs="宋体"/>
          <w:b/>
          <w:bCs/>
          <w:smallCaps w:val="0"/>
          <w:color w:val="auto"/>
          <w:kern w:val="2"/>
          <w:sz w:val="21"/>
          <w:szCs w:val="21"/>
          <w:highlight w:val="none"/>
          <w:lang w:val="en-US" w:eastAsia="zh-CN" w:bidi="ar-SA"/>
        </w:rPr>
      </w:pPr>
    </w:p>
    <w:p>
      <w:pPr>
        <w:rPr>
          <w:rFonts w:hint="eastAsia" w:ascii="Times New Roman" w:hAnsi="Times New Roman" w:eastAsia="宋体" w:cs="宋体"/>
          <w:b/>
          <w:bCs/>
          <w:smallCaps w:val="0"/>
          <w:color w:val="auto"/>
          <w:kern w:val="2"/>
          <w:sz w:val="21"/>
          <w:szCs w:val="21"/>
          <w:highlight w:val="none"/>
          <w:lang w:val="en-US" w:eastAsia="zh-CN" w:bidi="ar-SA"/>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r>
        <w:rPr>
          <w:rFonts w:hint="eastAsia" w:ascii="Times New Roman" w:hAnsi="Times New Roman" w:eastAsia="宋体" w:cs="宋体"/>
          <w:b/>
          <w:bCs/>
          <w:smallCaps w:val="0"/>
          <w:color w:val="auto"/>
          <w:kern w:val="2"/>
          <w:sz w:val="21"/>
          <w:szCs w:val="21"/>
          <w:highlight w:val="none"/>
          <w:lang w:val="en-US" w:eastAsia="zh-CN" w:bidi="ar-SA"/>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（2）挥发性气体</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通过对采取的工艺和设备进行分析，本项目产生无组织排放的单元主要有卸车平台</w:t>
      </w:r>
      <w:r>
        <w:rPr>
          <w:rFonts w:hint="eastAsia" w:cs="Times New Roman"/>
          <w:caps w:val="0"/>
          <w:smallCaps w:val="0"/>
          <w:snapToGrid/>
          <w:color w:val="auto"/>
          <w:spacing w:val="0"/>
          <w:w w:val="100"/>
          <w:kern w:val="0"/>
          <w:sz w:val="24"/>
          <w:szCs w:val="24"/>
          <w:highlight w:val="none"/>
          <w:vertAlign w:val="baseline"/>
          <w:lang w:val="en-US" w:eastAsia="zh-CN" w:bidi="ar-SA"/>
        </w:rPr>
        <w:t>、预处理车间、储液池区域及污油储罐区。评价因子为非甲烷总烃。本次评价根据废水处理量、</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cs="Times New Roman"/>
          <w:caps w:val="0"/>
          <w:smallCaps w:val="0"/>
          <w:snapToGrid/>
          <w:color w:val="auto"/>
          <w:spacing w:val="0"/>
          <w:w w:val="100"/>
          <w:kern w:val="0"/>
          <w:sz w:val="24"/>
          <w:szCs w:val="24"/>
          <w:highlight w:val="none"/>
          <w:vertAlign w:val="baseline"/>
          <w:lang w:val="en-US" w:eastAsia="zh-CN" w:bidi="ar-SA"/>
        </w:rPr>
        <w:t>周转量及污油暂存量，分别估算无组织排放源强。</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①</w:t>
      </w:r>
      <w:r>
        <w:rPr>
          <w:rFonts w:hint="eastAsia" w:cs="Times New Roman"/>
          <w:caps w:val="0"/>
          <w:smallCaps w:val="0"/>
          <w:snapToGrid/>
          <w:color w:val="auto"/>
          <w:spacing w:val="0"/>
          <w:w w:val="100"/>
          <w:kern w:val="0"/>
          <w:sz w:val="24"/>
          <w:szCs w:val="24"/>
          <w:highlight w:val="none"/>
          <w:vertAlign w:val="baseline"/>
          <w:lang w:val="en-US" w:eastAsia="zh-CN" w:bidi="ar-SA"/>
        </w:rPr>
        <w:t>废水处理无组织逸散废气</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废水中</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油污染物主要以四种形态存在，悬浮油、分散油、乳化油、溶解油，在卸车接收及处理装置区中无组织逸散量计算较复杂。参照《石油化工行业VOCs污染源排查工作指南》附录中废水集输、储存、处置过程逸散核算方法，</w:t>
      </w:r>
      <w:r>
        <w:rPr>
          <w:rFonts w:hint="eastAsia" w:cs="Times New Roman"/>
          <w:caps w:val="0"/>
          <w:smallCaps w:val="0"/>
          <w:snapToGrid/>
          <w:color w:val="auto"/>
          <w:spacing w:val="0"/>
          <w:w w:val="100"/>
          <w:kern w:val="0"/>
          <w:sz w:val="24"/>
          <w:szCs w:val="24"/>
          <w:highlight w:val="none"/>
          <w:vertAlign w:val="baseline"/>
          <w:lang w:val="en-US" w:eastAsia="zh-CN" w:bidi="ar-SA"/>
        </w:rPr>
        <w:t>无</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组织</w:t>
      </w:r>
      <w:r>
        <w:rPr>
          <w:rFonts w:hint="eastAsia" w:cs="Times New Roman"/>
          <w:caps w:val="0"/>
          <w:smallCaps w:val="0"/>
          <w:snapToGrid/>
          <w:color w:val="auto"/>
          <w:spacing w:val="0"/>
          <w:w w:val="100"/>
          <w:kern w:val="0"/>
          <w:sz w:val="24"/>
          <w:szCs w:val="24"/>
          <w:highlight w:val="none"/>
          <w:vertAlign w:val="baseline"/>
          <w:lang w:val="en-US" w:eastAsia="zh-CN" w:bidi="ar-SA"/>
        </w:rPr>
        <w:t>非甲烷总烃</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排放速率核算方法评价采用排放系数法估算，公式如下：</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1266825" cy="466725"/>
            <wp:effectExtent l="0" t="0" r="9525" b="9525"/>
            <wp:docPr id="8" name="图片 8" descr="非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非1"/>
                    <pic:cNvPicPr>
                      <a:picLocks noChangeAspect="1"/>
                    </pic:cNvPicPr>
                  </pic:nvPicPr>
                  <pic:blipFill>
                    <a:blip r:embed="rId26"/>
                    <a:stretch>
                      <a:fillRect/>
                    </a:stretch>
                  </pic:blipFill>
                  <pic:spPr>
                    <a:xfrm>
                      <a:off x="0" y="0"/>
                      <a:ext cx="1266825" cy="46672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式中：</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E—废水处理系统非甲烷总烃排放量（t/a）；</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V—进入站场的废水量（m</w:t>
      </w:r>
      <w:r>
        <w:rPr>
          <w:rFonts w:hint="default" w:cs="Times New Roman"/>
          <w:caps w:val="0"/>
          <w:smallCaps w:val="0"/>
          <w:snapToGrid/>
          <w:color w:val="auto"/>
          <w:spacing w:val="0"/>
          <w:w w:val="100"/>
          <w:kern w:val="0"/>
          <w:sz w:val="24"/>
          <w:szCs w:val="24"/>
          <w:highlight w:val="none"/>
          <w:vertAlign w:val="superscript"/>
          <w:lang w:val="en-US" w:eastAsia="zh-CN" w:bidi="ar-SA"/>
        </w:rPr>
        <w:t>3</w:t>
      </w:r>
      <w:r>
        <w:rPr>
          <w:rFonts w:hint="default" w:cs="Times New Roman"/>
          <w:caps w:val="0"/>
          <w:smallCaps w:val="0"/>
          <w:snapToGrid/>
          <w:color w:val="auto"/>
          <w:spacing w:val="0"/>
          <w:w w:val="100"/>
          <w:kern w:val="0"/>
          <w:sz w:val="24"/>
          <w:szCs w:val="24"/>
          <w:highlight w:val="none"/>
          <w:vertAlign w:val="baseline"/>
          <w:lang w:val="en-US" w:eastAsia="zh-CN" w:bidi="ar-SA"/>
        </w:rPr>
        <w:t>/a）；</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EFi—排放系数，根据美国AP-42和台湾地区废水VOCs估算资料，石化废水处理设施VOCs逸散量排放系数为0.005kg/m</w:t>
      </w:r>
      <w:r>
        <w:rPr>
          <w:rFonts w:hint="default" w:cs="Times New Roman"/>
          <w:caps w:val="0"/>
          <w:smallCaps w:val="0"/>
          <w:snapToGrid/>
          <w:color w:val="auto"/>
          <w:spacing w:val="0"/>
          <w:w w:val="100"/>
          <w:kern w:val="0"/>
          <w:sz w:val="24"/>
          <w:szCs w:val="24"/>
          <w:highlight w:val="none"/>
          <w:vertAlign w:val="superscript"/>
          <w:lang w:val="en-US" w:eastAsia="zh-CN" w:bidi="ar-SA"/>
        </w:rPr>
        <w:t>3</w:t>
      </w:r>
      <w:r>
        <w:rPr>
          <w:rFonts w:hint="default" w:cs="Times New Roman"/>
          <w:caps w:val="0"/>
          <w:smallCaps w:val="0"/>
          <w:snapToGrid/>
          <w:color w:val="auto"/>
          <w:spacing w:val="0"/>
          <w:w w:val="100"/>
          <w:kern w:val="0"/>
          <w:sz w:val="24"/>
          <w:szCs w:val="24"/>
          <w:highlight w:val="none"/>
          <w:vertAlign w:val="baseline"/>
          <w:lang w:val="en-US" w:eastAsia="zh-CN" w:bidi="ar-SA"/>
        </w:rPr>
        <w:t>废水。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本项目站内</w:t>
      </w:r>
      <w:r>
        <w:rPr>
          <w:rFonts w:hint="eastAsia" w:cs="Times New Roman"/>
          <w:caps w:val="0"/>
          <w:smallCaps w:val="0"/>
          <w:snapToGrid/>
          <w:color w:val="auto"/>
          <w:spacing w:val="0"/>
          <w:w w:val="100"/>
          <w:kern w:val="0"/>
          <w:sz w:val="24"/>
          <w:szCs w:val="24"/>
          <w:highlight w:val="none"/>
          <w:vertAlign w:val="baseline"/>
          <w:lang w:val="en-US" w:eastAsia="zh-CN" w:bidi="ar-SA"/>
        </w:rPr>
        <w:t>卸车平台中均质池为地下设施，顶部</w:t>
      </w:r>
      <w:r>
        <w:rPr>
          <w:rFonts w:hint="eastAsia" w:ascii="Times New Roman" w:hAnsi="Times New Roman" w:cs="Times New Roman"/>
          <w:caps w:val="0"/>
          <w:smallCaps w:val="0"/>
          <w:snapToGrid/>
          <w:color w:val="auto"/>
          <w:spacing w:val="0"/>
          <w:w w:val="100"/>
          <w:kern w:val="0"/>
          <w:sz w:val="24"/>
          <w:szCs w:val="24"/>
          <w:highlight w:val="none"/>
          <w:vertAlign w:val="baseline"/>
          <w:lang w:val="en-US" w:eastAsia="zh-CN" w:bidi="ar-SA"/>
        </w:rPr>
        <w:t>加盖密封，</w:t>
      </w:r>
      <w:r>
        <w:rPr>
          <w:rFonts w:hint="default" w:cs="Times New Roman"/>
          <w:caps w:val="0"/>
          <w:smallCaps w:val="0"/>
          <w:snapToGrid/>
          <w:color w:val="auto"/>
          <w:spacing w:val="0"/>
          <w:w w:val="100"/>
          <w:kern w:val="0"/>
          <w:sz w:val="24"/>
          <w:szCs w:val="24"/>
          <w:highlight w:val="none"/>
          <w:vertAlign w:val="baseline"/>
          <w:lang w:val="en-US" w:eastAsia="zh-CN" w:bidi="ar-SA"/>
        </w:rPr>
        <w:t>废水处理装置区主要为</w:t>
      </w:r>
      <w:r>
        <w:rPr>
          <w:rFonts w:hint="eastAsia" w:cs="Times New Roman"/>
          <w:caps w:val="0"/>
          <w:smallCaps w:val="0"/>
          <w:snapToGrid/>
          <w:color w:val="auto"/>
          <w:spacing w:val="0"/>
          <w:w w:val="100"/>
          <w:kern w:val="0"/>
          <w:sz w:val="24"/>
          <w:szCs w:val="24"/>
          <w:highlight w:val="none"/>
          <w:vertAlign w:val="baseline"/>
          <w:lang w:val="en-US" w:eastAsia="zh-CN" w:bidi="ar-SA"/>
        </w:rPr>
        <w:t>预处理车间，为密封式构建物。</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本项目</w:t>
      </w:r>
      <w:r>
        <w:rPr>
          <w:rFonts w:hint="eastAsia" w:cs="Times New Roman"/>
          <w:caps w:val="0"/>
          <w:smallCaps w:val="0"/>
          <w:snapToGrid/>
          <w:color w:val="auto"/>
          <w:spacing w:val="0"/>
          <w:w w:val="100"/>
          <w:kern w:val="0"/>
          <w:sz w:val="24"/>
          <w:szCs w:val="24"/>
          <w:highlight w:val="none"/>
          <w:vertAlign w:val="baseline"/>
          <w:lang w:val="en-US" w:eastAsia="zh-CN" w:bidi="ar-SA"/>
        </w:rPr>
        <w:t>3#服务站站内</w:t>
      </w:r>
      <w:r>
        <w:rPr>
          <w:rFonts w:hint="default" w:cs="Times New Roman"/>
          <w:caps w:val="0"/>
          <w:smallCaps w:val="0"/>
          <w:snapToGrid/>
          <w:color w:val="auto"/>
          <w:spacing w:val="0"/>
          <w:w w:val="100"/>
          <w:kern w:val="0"/>
          <w:sz w:val="24"/>
          <w:szCs w:val="24"/>
          <w:highlight w:val="none"/>
          <w:vertAlign w:val="baseline"/>
          <w:lang w:val="en-US" w:eastAsia="zh-CN" w:bidi="ar-SA"/>
        </w:rPr>
        <w:t>废水处理规模</w:t>
      </w:r>
      <w:r>
        <w:rPr>
          <w:rFonts w:hint="eastAsia" w:cs="Times New Roman"/>
          <w:caps w:val="0"/>
          <w:smallCaps w:val="0"/>
          <w:snapToGrid/>
          <w:color w:val="auto"/>
          <w:spacing w:val="0"/>
          <w:w w:val="100"/>
          <w:kern w:val="0"/>
          <w:sz w:val="24"/>
          <w:szCs w:val="24"/>
          <w:highlight w:val="none"/>
          <w:vertAlign w:val="baseline"/>
          <w:lang w:val="en-US" w:eastAsia="zh-CN" w:bidi="ar-SA"/>
        </w:rPr>
        <w:t>4500</w:t>
      </w:r>
      <w:r>
        <w:rPr>
          <w:rFonts w:hint="default" w:cs="Times New Roman"/>
          <w:caps w:val="0"/>
          <w:smallCaps w:val="0"/>
          <w:snapToGrid/>
          <w:color w:val="auto"/>
          <w:spacing w:val="0"/>
          <w:w w:val="100"/>
          <w:kern w:val="0"/>
          <w:sz w:val="24"/>
          <w:szCs w:val="24"/>
          <w:highlight w:val="none"/>
          <w:vertAlign w:val="baseline"/>
          <w:lang w:val="en-US" w:eastAsia="zh-CN" w:bidi="ar-SA"/>
        </w:rPr>
        <w:t>m</w:t>
      </w:r>
      <w:r>
        <w:rPr>
          <w:rFonts w:hint="default" w:cs="Times New Roman"/>
          <w:caps w:val="0"/>
          <w:smallCaps w:val="0"/>
          <w:snapToGrid/>
          <w:color w:val="auto"/>
          <w:spacing w:val="0"/>
          <w:w w:val="100"/>
          <w:kern w:val="0"/>
          <w:sz w:val="24"/>
          <w:szCs w:val="24"/>
          <w:highlight w:val="none"/>
          <w:vertAlign w:val="superscript"/>
          <w:lang w:val="en-US" w:eastAsia="zh-CN" w:bidi="ar-SA"/>
        </w:rPr>
        <w:t>3</w:t>
      </w:r>
      <w:r>
        <w:rPr>
          <w:rFonts w:hint="default" w:cs="Times New Roman"/>
          <w:caps w:val="0"/>
          <w:smallCaps w:val="0"/>
          <w:snapToGrid/>
          <w:color w:val="auto"/>
          <w:spacing w:val="0"/>
          <w:w w:val="100"/>
          <w:kern w:val="0"/>
          <w:sz w:val="24"/>
          <w:szCs w:val="24"/>
          <w:highlight w:val="none"/>
          <w:vertAlign w:val="baseline"/>
          <w:lang w:val="en-US" w:eastAsia="zh-CN" w:bidi="ar-SA"/>
        </w:rPr>
        <w:t>/d</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cs="Times New Roman"/>
          <w:caps w:val="0"/>
          <w:smallCaps w:val="0"/>
          <w:snapToGrid/>
          <w:color w:val="auto"/>
          <w:spacing w:val="0"/>
          <w:w w:val="100"/>
          <w:kern w:val="0"/>
          <w:sz w:val="24"/>
          <w:szCs w:val="24"/>
          <w:highlight w:val="none"/>
          <w:vertAlign w:val="baseline"/>
          <w:lang w:val="en-US" w:eastAsia="zh-CN" w:bidi="ar-SA"/>
        </w:rPr>
        <w:t>年运行3</w:t>
      </w:r>
      <w:r>
        <w:rPr>
          <w:rFonts w:hint="eastAsia" w:cs="Times New Roman"/>
          <w:caps w:val="0"/>
          <w:smallCaps w:val="0"/>
          <w:snapToGrid/>
          <w:color w:val="auto"/>
          <w:spacing w:val="0"/>
          <w:w w:val="100"/>
          <w:kern w:val="0"/>
          <w:sz w:val="24"/>
          <w:szCs w:val="24"/>
          <w:highlight w:val="none"/>
          <w:vertAlign w:val="baseline"/>
          <w:lang w:val="en-US" w:eastAsia="zh-CN" w:bidi="ar-SA"/>
        </w:rPr>
        <w:t>65</w:t>
      </w:r>
      <w:r>
        <w:rPr>
          <w:rFonts w:hint="default" w:cs="Times New Roman"/>
          <w:caps w:val="0"/>
          <w:smallCaps w:val="0"/>
          <w:snapToGrid/>
          <w:color w:val="auto"/>
          <w:spacing w:val="0"/>
          <w:w w:val="100"/>
          <w:kern w:val="0"/>
          <w:sz w:val="24"/>
          <w:szCs w:val="24"/>
          <w:highlight w:val="none"/>
          <w:vertAlign w:val="baseline"/>
          <w:lang w:val="en-US" w:eastAsia="zh-CN" w:bidi="ar-SA"/>
        </w:rPr>
        <w:t>d</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cs="Times New Roman"/>
          <w:caps w:val="0"/>
          <w:smallCaps w:val="0"/>
          <w:snapToGrid/>
          <w:color w:val="auto"/>
          <w:spacing w:val="0"/>
          <w:w w:val="100"/>
          <w:kern w:val="0"/>
          <w:sz w:val="24"/>
          <w:szCs w:val="24"/>
          <w:highlight w:val="none"/>
          <w:vertAlign w:val="baseline"/>
          <w:lang w:val="en-US" w:eastAsia="zh-CN" w:bidi="ar-SA"/>
        </w:rPr>
        <w:t>在不考虑废水处理过程中无组织排放控制措施的情况下，废水处理系统非甲烷总烃最大逸散量为：E</w:t>
      </w:r>
      <w:r>
        <w:rPr>
          <w:rFonts w:hint="eastAsia" w:cs="Times New Roman"/>
          <w:caps w:val="0"/>
          <w:smallCaps w:val="0"/>
          <w:snapToGrid/>
          <w:color w:val="auto"/>
          <w:spacing w:val="0"/>
          <w:w w:val="100"/>
          <w:kern w:val="0"/>
          <w:sz w:val="24"/>
          <w:szCs w:val="24"/>
          <w:highlight w:val="none"/>
          <w:vertAlign w:val="baseline"/>
          <w:lang w:val="en-US" w:eastAsia="zh-CN" w:bidi="ar-SA"/>
        </w:rPr>
        <w:t>=0.0082t/a。</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②</w:t>
      </w:r>
      <w:r>
        <w:rPr>
          <w:rFonts w:hint="eastAsia" w:cs="Times New Roman"/>
          <w:caps w:val="0"/>
          <w:smallCaps w:val="0"/>
          <w:snapToGrid/>
          <w:color w:val="auto"/>
          <w:spacing w:val="0"/>
          <w:w w:val="100"/>
          <w:kern w:val="0"/>
          <w:sz w:val="24"/>
          <w:szCs w:val="24"/>
          <w:highlight w:val="none"/>
          <w:lang w:val="en-US" w:eastAsia="zh-CN" w:bidi="ar-SA"/>
        </w:rPr>
        <w:t>污泥</w:t>
      </w:r>
      <w:r>
        <w:rPr>
          <w:rFonts w:hint="default" w:cs="Times New Roman"/>
          <w:caps w:val="0"/>
          <w:smallCaps w:val="0"/>
          <w:snapToGrid/>
          <w:color w:val="auto"/>
          <w:spacing w:val="0"/>
          <w:w w:val="100"/>
          <w:kern w:val="0"/>
          <w:sz w:val="24"/>
          <w:szCs w:val="24"/>
          <w:highlight w:val="none"/>
          <w:vertAlign w:val="baseline"/>
          <w:lang w:val="en-US" w:eastAsia="zh-CN" w:bidi="ar-SA"/>
        </w:rPr>
        <w:t>无组织逸散废气</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污泥</w:t>
      </w:r>
      <w:r>
        <w:rPr>
          <w:rFonts w:hint="default" w:cs="Times New Roman"/>
          <w:caps w:val="0"/>
          <w:smallCaps w:val="0"/>
          <w:snapToGrid/>
          <w:color w:val="auto"/>
          <w:spacing w:val="0"/>
          <w:w w:val="100"/>
          <w:kern w:val="0"/>
          <w:sz w:val="24"/>
          <w:szCs w:val="24"/>
          <w:highlight w:val="none"/>
          <w:vertAlign w:val="baseline"/>
          <w:lang w:val="en-US" w:eastAsia="zh-CN" w:bidi="ar-SA"/>
        </w:rPr>
        <w:t>在储存过程中的非甲烷总烃排放体现以下特征：</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1）</w:t>
      </w:r>
      <w:r>
        <w:rPr>
          <w:rFonts w:hint="default" w:cs="Times New Roman"/>
          <w:caps w:val="0"/>
          <w:smallCaps w:val="0"/>
          <w:snapToGrid/>
          <w:color w:val="auto"/>
          <w:spacing w:val="0"/>
          <w:w w:val="100"/>
          <w:kern w:val="0"/>
          <w:sz w:val="24"/>
          <w:szCs w:val="24"/>
          <w:highlight w:val="none"/>
          <w:vertAlign w:val="baseline"/>
          <w:lang w:val="en-US" w:eastAsia="zh-CN" w:bidi="ar-SA"/>
        </w:rPr>
        <w:t>脱水前后</w:t>
      </w:r>
      <w:r>
        <w:rPr>
          <w:rFonts w:hint="eastAsia" w:cs="Times New Roman"/>
          <w:caps w:val="0"/>
          <w:smallCaps w:val="0"/>
          <w:snapToGrid/>
          <w:color w:val="auto"/>
          <w:spacing w:val="0"/>
          <w:w w:val="100"/>
          <w:kern w:val="0"/>
          <w:sz w:val="24"/>
          <w:szCs w:val="24"/>
          <w:highlight w:val="none"/>
          <w:lang w:val="en-US" w:eastAsia="zh-CN" w:bidi="ar-SA"/>
        </w:rPr>
        <w:t>污泥</w:t>
      </w:r>
      <w:r>
        <w:rPr>
          <w:rFonts w:hint="default" w:cs="Times New Roman"/>
          <w:caps w:val="0"/>
          <w:smallCaps w:val="0"/>
          <w:snapToGrid/>
          <w:color w:val="auto"/>
          <w:spacing w:val="0"/>
          <w:w w:val="100"/>
          <w:kern w:val="0"/>
          <w:sz w:val="24"/>
          <w:szCs w:val="24"/>
          <w:highlight w:val="none"/>
          <w:vertAlign w:val="baseline"/>
          <w:lang w:val="en-US" w:eastAsia="zh-CN" w:bidi="ar-SA"/>
        </w:rPr>
        <w:t>均储存于项目站场内，运行期间均会产生非甲烷总烃的无组织排放。</w:t>
      </w:r>
    </w:p>
    <w:p>
      <w:pPr>
        <w:keepNext w:val="0"/>
        <w:keepLines w:val="0"/>
        <w:pageBreakBefore w:val="0"/>
        <w:widowControl w:val="0"/>
        <w:numPr>
          <w:ilvl w:val="0"/>
          <w:numId w:val="0"/>
        </w:numPr>
        <w:tabs>
          <w:tab w:val="left" w:pos="6930"/>
        </w:tabs>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污泥</w:t>
      </w:r>
      <w:r>
        <w:rPr>
          <w:rFonts w:hint="default" w:cs="Times New Roman"/>
          <w:caps w:val="0"/>
          <w:smallCaps w:val="0"/>
          <w:snapToGrid/>
          <w:color w:val="auto"/>
          <w:spacing w:val="0"/>
          <w:w w:val="100"/>
          <w:kern w:val="0"/>
          <w:sz w:val="24"/>
          <w:szCs w:val="24"/>
          <w:highlight w:val="none"/>
          <w:vertAlign w:val="baseline"/>
          <w:lang w:val="en-US" w:eastAsia="zh-CN" w:bidi="ar-SA"/>
        </w:rPr>
        <w:t>中主要为原油中的重组分，轻组分相对较少，考虑到</w:t>
      </w:r>
      <w:r>
        <w:rPr>
          <w:rFonts w:hint="eastAsia" w:cs="Times New Roman"/>
          <w:caps w:val="0"/>
          <w:smallCaps w:val="0"/>
          <w:snapToGrid/>
          <w:color w:val="auto"/>
          <w:spacing w:val="0"/>
          <w:w w:val="100"/>
          <w:kern w:val="0"/>
          <w:sz w:val="24"/>
          <w:szCs w:val="24"/>
          <w:highlight w:val="none"/>
          <w:lang w:val="en-US" w:eastAsia="zh-CN" w:bidi="ar-SA"/>
        </w:rPr>
        <w:t>污泥</w:t>
      </w:r>
      <w:r>
        <w:rPr>
          <w:rFonts w:hint="default" w:cs="Times New Roman"/>
          <w:caps w:val="0"/>
          <w:smallCaps w:val="0"/>
          <w:snapToGrid/>
          <w:color w:val="auto"/>
          <w:spacing w:val="0"/>
          <w:w w:val="100"/>
          <w:kern w:val="0"/>
          <w:sz w:val="24"/>
          <w:szCs w:val="24"/>
          <w:highlight w:val="none"/>
          <w:vertAlign w:val="baseline"/>
          <w:lang w:val="en-US" w:eastAsia="zh-CN" w:bidi="ar-SA"/>
        </w:rPr>
        <w:t>是由油包水</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cs="Times New Roman"/>
          <w:caps w:val="0"/>
          <w:smallCaps w:val="0"/>
          <w:snapToGrid/>
          <w:color w:val="auto"/>
          <w:spacing w:val="0"/>
          <w:w w:val="100"/>
          <w:kern w:val="0"/>
          <w:sz w:val="24"/>
          <w:szCs w:val="24"/>
          <w:highlight w:val="none"/>
          <w:vertAlign w:val="baseline"/>
          <w:lang w:val="en-US" w:eastAsia="zh-CN" w:bidi="ar-SA"/>
        </w:rPr>
        <w:t>W/O</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cs="Times New Roman"/>
          <w:caps w:val="0"/>
          <w:smallCaps w:val="0"/>
          <w:snapToGrid/>
          <w:color w:val="auto"/>
          <w:spacing w:val="0"/>
          <w:w w:val="100"/>
          <w:kern w:val="0"/>
          <w:sz w:val="24"/>
          <w:szCs w:val="24"/>
          <w:highlight w:val="none"/>
          <w:vertAlign w:val="baseline"/>
          <w:lang w:val="en-US" w:eastAsia="zh-CN" w:bidi="ar-SA"/>
        </w:rPr>
        <w:t>、水包油</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cs="Times New Roman"/>
          <w:caps w:val="0"/>
          <w:smallCaps w:val="0"/>
          <w:snapToGrid/>
          <w:color w:val="auto"/>
          <w:spacing w:val="0"/>
          <w:w w:val="100"/>
          <w:kern w:val="0"/>
          <w:sz w:val="24"/>
          <w:szCs w:val="24"/>
          <w:highlight w:val="none"/>
          <w:vertAlign w:val="baseline"/>
          <w:lang w:val="en-US" w:eastAsia="zh-CN" w:bidi="ar-SA"/>
        </w:rPr>
        <w:t>O/W</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cs="Times New Roman"/>
          <w:caps w:val="0"/>
          <w:smallCaps w:val="0"/>
          <w:snapToGrid/>
          <w:color w:val="auto"/>
          <w:spacing w:val="0"/>
          <w:w w:val="100"/>
          <w:kern w:val="0"/>
          <w:sz w:val="24"/>
          <w:szCs w:val="24"/>
          <w:highlight w:val="none"/>
          <w:vertAlign w:val="baseline"/>
          <w:lang w:val="en-US" w:eastAsia="zh-CN" w:bidi="ar-SA"/>
        </w:rPr>
        <w:t>乳化液及悬浮固体等成分组成的稳定悬浮乳状胶体，其组成较为稳定，油气挥发相对较难。同时由于</w:t>
      </w:r>
      <w:r>
        <w:rPr>
          <w:rFonts w:hint="eastAsia" w:cs="Times New Roman"/>
          <w:caps w:val="0"/>
          <w:smallCaps w:val="0"/>
          <w:snapToGrid/>
          <w:color w:val="auto"/>
          <w:spacing w:val="0"/>
          <w:w w:val="100"/>
          <w:kern w:val="0"/>
          <w:sz w:val="24"/>
          <w:szCs w:val="24"/>
          <w:highlight w:val="none"/>
          <w:lang w:val="en-US" w:eastAsia="zh-CN" w:bidi="ar-SA"/>
        </w:rPr>
        <w:t>污泥</w:t>
      </w:r>
      <w:r>
        <w:rPr>
          <w:rFonts w:hint="default" w:cs="Times New Roman"/>
          <w:caps w:val="0"/>
          <w:smallCaps w:val="0"/>
          <w:snapToGrid/>
          <w:color w:val="auto"/>
          <w:spacing w:val="0"/>
          <w:w w:val="100"/>
          <w:kern w:val="0"/>
          <w:sz w:val="24"/>
          <w:szCs w:val="24"/>
          <w:highlight w:val="none"/>
          <w:vertAlign w:val="baseline"/>
          <w:lang w:val="en-US" w:eastAsia="zh-CN" w:bidi="ar-SA"/>
        </w:rPr>
        <w:t>流动性差，非甲烷总烃挥</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发主要来自表层</w:t>
      </w:r>
      <w:r>
        <w:rPr>
          <w:rFonts w:hint="eastAsia" w:cs="Times New Roman"/>
          <w:caps w:val="0"/>
          <w:smallCaps w:val="0"/>
          <w:snapToGrid/>
          <w:color w:val="auto"/>
          <w:spacing w:val="0"/>
          <w:w w:val="100"/>
          <w:kern w:val="0"/>
          <w:sz w:val="24"/>
          <w:szCs w:val="24"/>
          <w:highlight w:val="none"/>
          <w:vertAlign w:val="baseline"/>
          <w:lang w:val="en-US" w:eastAsia="zh-CN" w:bidi="ar-SA"/>
        </w:rPr>
        <w:t>污泥</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由于目前尚无准确计算</w:t>
      </w:r>
      <w:r>
        <w:rPr>
          <w:rFonts w:hint="eastAsia" w:cs="Times New Roman"/>
          <w:caps w:val="0"/>
          <w:smallCaps w:val="0"/>
          <w:snapToGrid/>
          <w:color w:val="auto"/>
          <w:spacing w:val="0"/>
          <w:w w:val="100"/>
          <w:kern w:val="0"/>
          <w:sz w:val="24"/>
          <w:szCs w:val="24"/>
          <w:highlight w:val="none"/>
          <w:vertAlign w:val="baseline"/>
          <w:lang w:val="en-US" w:eastAsia="zh-CN" w:bidi="ar-SA"/>
        </w:rPr>
        <w:t>污泥</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储存期间的非甲烷总烃排放的数学模型。考虑到</w:t>
      </w:r>
      <w:r>
        <w:rPr>
          <w:rFonts w:hint="eastAsia" w:cs="Times New Roman"/>
          <w:caps w:val="0"/>
          <w:smallCaps w:val="0"/>
          <w:snapToGrid/>
          <w:color w:val="auto"/>
          <w:spacing w:val="0"/>
          <w:w w:val="100"/>
          <w:kern w:val="0"/>
          <w:sz w:val="24"/>
          <w:szCs w:val="24"/>
          <w:highlight w:val="none"/>
          <w:vertAlign w:val="baseline"/>
          <w:lang w:val="en-US" w:eastAsia="zh-CN" w:bidi="ar-SA"/>
        </w:rPr>
        <w:t>污泥</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中轻组分较少，因此本次评价对站内</w:t>
      </w:r>
      <w:r>
        <w:rPr>
          <w:rFonts w:hint="eastAsia" w:cs="Times New Roman"/>
          <w:caps w:val="0"/>
          <w:smallCaps w:val="0"/>
          <w:snapToGrid/>
          <w:color w:val="auto"/>
          <w:spacing w:val="0"/>
          <w:w w:val="100"/>
          <w:kern w:val="0"/>
          <w:sz w:val="24"/>
          <w:szCs w:val="24"/>
          <w:highlight w:val="none"/>
          <w:vertAlign w:val="baseline"/>
          <w:lang w:val="en-US" w:eastAsia="zh-CN" w:bidi="ar-SA"/>
        </w:rPr>
        <w:t>污泥处置及存储</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的非甲烷总烃无组织排放进行整体估算。</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参照《散装液态石油产品损耗》（GB11085-89）中的汽油最高输转损耗0.12%进行估算（项目所在其余属于C类），本项目污泥中油类物质损耗率远远低于汽油产品，</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中石油类约在10%-30%（本项目按20%计算），根据建设单位运行经验，本项目运行期</w:t>
      </w:r>
      <w:r>
        <w:rPr>
          <w:rFonts w:hint="eastAsia" w:cs="Times New Roman"/>
          <w:caps w:val="0"/>
          <w:smallCaps w:val="0"/>
          <w:snapToGrid/>
          <w:color w:val="auto"/>
          <w:spacing w:val="0"/>
          <w:w w:val="100"/>
          <w:kern w:val="0"/>
          <w:sz w:val="24"/>
          <w:szCs w:val="24"/>
          <w:highlight w:val="none"/>
          <w:vertAlign w:val="baseline"/>
          <w:lang w:val="en-US" w:eastAsia="zh-CN" w:bidi="ar-SA"/>
        </w:rPr>
        <w:t>未经离心前污泥</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产生量为423t/a</w:t>
      </w:r>
      <w:r>
        <w:rPr>
          <w:rFonts w:hint="eastAsia" w:ascii="Times New Roman" w:hAnsi="Times New Roman"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由此估算无组织挥发出的非甲烷总烃=423t/a×20%×0.12%=0.102</w:t>
      </w:r>
      <w:r>
        <w:rPr>
          <w:rFonts w:hint="eastAsia" w:ascii="Times New Roman" w:hAnsi="Times New Roman" w:eastAsia="宋体" w:cs="Times New Roman"/>
          <w:color w:val="auto"/>
          <w:sz w:val="24"/>
          <w:szCs w:val="24"/>
          <w:highlight w:val="none"/>
          <w:lang w:val="en-US" w:eastAsia="zh-CN"/>
        </w:rPr>
        <w:t>t/a。</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③污油储罐区无组织挥发的非甲烷总烃</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站内废水处理过程中产生的污油暂存于污油储罐内，</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影响呼吸损耗的参数特性与原油较为接近，因此评价中采用固定顶罐大小呼吸计算公式保守估算</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储罐内污油存储及装卸</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过程中的呼吸排放。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1）</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储罐小呼吸损耗</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呼吸排放是由于温度和大气压力的变化引起蒸气的膨胀和收缩而产生的蒸气排出，它出现在罐内液面无任何变化的情况，是非人为干扰的自然排放方式。固定顶罐的呼吸排放可用下式估算其污染物的排放量：</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4438650" cy="371475"/>
            <wp:effectExtent l="0" t="0" r="0" b="9525"/>
            <wp:docPr id="11" name="图片 11" descr="小呼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小呼吸"/>
                    <pic:cNvPicPr>
                      <a:picLocks noChangeAspect="1"/>
                    </pic:cNvPicPr>
                  </pic:nvPicPr>
                  <pic:blipFill>
                    <a:blip r:embed="rId27"/>
                    <a:stretch>
                      <a:fillRect/>
                    </a:stretch>
                  </pic:blipFill>
                  <pic:spPr>
                    <a:xfrm>
                      <a:off x="0" y="0"/>
                      <a:ext cx="4438650" cy="37147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式中：L</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B</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—储罐的年挥发量（kg/a）；</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M—储罐内蒸汽的分子量，取92.14；</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P—大量液体状态下，真实的蒸汽压</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（Pa）</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，本项目取2.91kPa；</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D—储罐直径，m；</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H—平均蒸汽空间高度，m；</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T—每日大气温度变化的年平均值，年平均昼夜温差为10℃；</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F</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P</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—涂层系数（1~1.5，铅漆1.39，白漆1.02），</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取1.</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02</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C—用于小直径罐的调节因子（直径在0~9m之间，C=1-0.0123×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D-9</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，罐径大于9m，C为1），C=1-0.0123×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（8.8</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-9</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1</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960" w:firstLineChars="4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K</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C</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—产品因子（石油油品0.65，其他1.0）</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，本项目取0.65；</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表3.4-</w:t>
      </w:r>
      <w:r>
        <w:rPr>
          <w:rFonts w:hint="eastAsia" w:cs="宋体"/>
          <w:b/>
          <w:bCs/>
          <w:smallCaps w:val="0"/>
          <w:color w:val="auto"/>
          <w:kern w:val="2"/>
          <w:sz w:val="21"/>
          <w:szCs w:val="21"/>
          <w:highlight w:val="none"/>
          <w:lang w:val="en-US" w:eastAsia="zh-CN" w:bidi="ar-SA"/>
        </w:rPr>
        <w:t>6</w:t>
      </w:r>
      <w:r>
        <w:rPr>
          <w:rFonts w:hint="eastAsia" w:ascii="Times New Roman" w:hAnsi="Times New Roman" w:eastAsia="宋体" w:cs="宋体"/>
          <w:b/>
          <w:bCs/>
          <w:smallCaps w:val="0"/>
          <w:color w:val="auto"/>
          <w:kern w:val="2"/>
          <w:sz w:val="21"/>
          <w:szCs w:val="21"/>
          <w:highlight w:val="none"/>
          <w:lang w:val="en-US" w:eastAsia="zh-CN" w:bidi="ar-SA"/>
        </w:rPr>
        <w:t>储罐小呼吸损耗量</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32"/>
        <w:gridCol w:w="1377"/>
        <w:gridCol w:w="988"/>
        <w:gridCol w:w="988"/>
        <w:gridCol w:w="988"/>
        <w:gridCol w:w="990"/>
        <w:gridCol w:w="245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3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编号</w:t>
            </w:r>
          </w:p>
        </w:tc>
        <w:tc>
          <w:tcPr>
            <w:tcW w:w="137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产污环节</w:t>
            </w:r>
          </w:p>
        </w:tc>
        <w:tc>
          <w:tcPr>
            <w:tcW w:w="3954"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参数</w:t>
            </w:r>
          </w:p>
        </w:tc>
        <w:tc>
          <w:tcPr>
            <w:tcW w:w="245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储罐小呼吸挥发量（kg/a）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3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137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D</w:t>
            </w:r>
          </w:p>
        </w:tc>
        <w:tc>
          <w:tcPr>
            <w:tcW w:w="9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H</w:t>
            </w:r>
          </w:p>
        </w:tc>
        <w:tc>
          <w:tcPr>
            <w:tcW w:w="9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C</w:t>
            </w:r>
          </w:p>
        </w:tc>
        <w:tc>
          <w:tcPr>
            <w:tcW w:w="9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K</w:t>
            </w:r>
            <w:r>
              <w:rPr>
                <w:rFonts w:hint="eastAsia" w:ascii="Times New Roman" w:hAnsi="Times New Roman" w:eastAsia="宋体" w:cs="Times New Roman"/>
                <w:color w:val="auto"/>
                <w:highlight w:val="none"/>
                <w:vertAlign w:val="subscript"/>
                <w:lang w:val="en-US" w:eastAsia="zh-CN"/>
              </w:rPr>
              <w:t>C</w:t>
            </w:r>
          </w:p>
        </w:tc>
        <w:tc>
          <w:tcPr>
            <w:tcW w:w="245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1</w:t>
            </w:r>
          </w:p>
        </w:tc>
        <w:tc>
          <w:tcPr>
            <w:tcW w:w="13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污油储罐区</w:t>
            </w:r>
          </w:p>
        </w:tc>
        <w:tc>
          <w:tcPr>
            <w:tcW w:w="9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8.8</w:t>
            </w:r>
          </w:p>
        </w:tc>
        <w:tc>
          <w:tcPr>
            <w:tcW w:w="9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9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9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0.65</w:t>
            </w:r>
          </w:p>
        </w:tc>
        <w:tc>
          <w:tcPr>
            <w:tcW w:w="24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109.57</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储罐大呼吸损耗</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工作排放是由于人为的装料与卸料而产生的损失。卸料损失发生于液面排出，</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蒸汽</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被抽入罐体内，空气变成有机蒸气饱和的气体而膨胀，因而超过蒸气空间容纳的能力。装卸工作损耗（大呼吸）可按下式计算</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2057400" cy="428625"/>
            <wp:effectExtent l="0" t="0" r="0" b="9525"/>
            <wp:docPr id="10" name="图片 10" descr="大呼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大呼吸"/>
                    <pic:cNvPicPr>
                      <a:picLocks noChangeAspect="1"/>
                    </pic:cNvPicPr>
                  </pic:nvPicPr>
                  <pic:blipFill>
                    <a:blip r:embed="rId28"/>
                    <a:stretch>
                      <a:fillRect/>
                    </a:stretch>
                  </pic:blipFill>
                  <pic:spPr>
                    <a:xfrm>
                      <a:off x="0" y="0"/>
                      <a:ext cx="2057400" cy="42862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式中：L</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W</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—大呼吸蒸发损失（kg/m</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M—储罐内蒸气的分子量，本项目取92.14；</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P—大量液体状态下，真实的蒸汽压</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（Pa）</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，本项目取2.91kPa；</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K</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N</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—周转因子，若周转次数K小于36，取1；若K小于220，则KN=11.46×K-0.7026，若K大于220，KN≈0.26，本项目</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计划每个月周转2次，年周转次数为24次，K取1；</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1200" w:firstLineChars="5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K</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C</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—油品因子（石油油品取0.65，其他取1.0）；</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表3.4-</w:t>
      </w:r>
      <w:r>
        <w:rPr>
          <w:rFonts w:hint="eastAsia" w:cs="宋体"/>
          <w:b/>
          <w:bCs/>
          <w:smallCaps w:val="0"/>
          <w:color w:val="auto"/>
          <w:kern w:val="2"/>
          <w:sz w:val="21"/>
          <w:szCs w:val="21"/>
          <w:highlight w:val="none"/>
          <w:lang w:val="en-US" w:eastAsia="zh-CN" w:bidi="ar-SA"/>
        </w:rPr>
        <w:t>7</w:t>
      </w:r>
      <w:r>
        <w:rPr>
          <w:rFonts w:hint="eastAsia" w:ascii="Times New Roman" w:hAnsi="Times New Roman" w:eastAsia="宋体" w:cs="宋体"/>
          <w:b/>
          <w:bCs/>
          <w:smallCaps w:val="0"/>
          <w:color w:val="auto"/>
          <w:kern w:val="2"/>
          <w:sz w:val="21"/>
          <w:szCs w:val="21"/>
          <w:highlight w:val="none"/>
          <w:lang w:val="en-US" w:eastAsia="zh-CN" w:bidi="ar-SA"/>
        </w:rPr>
        <w:t>储罐大呼吸损耗量</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32"/>
        <w:gridCol w:w="1377"/>
        <w:gridCol w:w="988"/>
        <w:gridCol w:w="988"/>
        <w:gridCol w:w="988"/>
        <w:gridCol w:w="990"/>
        <w:gridCol w:w="245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73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编号</w:t>
            </w:r>
          </w:p>
        </w:tc>
        <w:tc>
          <w:tcPr>
            <w:tcW w:w="137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产污环节</w:t>
            </w:r>
          </w:p>
        </w:tc>
        <w:tc>
          <w:tcPr>
            <w:tcW w:w="3954"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参数</w:t>
            </w:r>
          </w:p>
        </w:tc>
        <w:tc>
          <w:tcPr>
            <w:tcW w:w="245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储罐小呼吸挥发量（kg/a）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3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137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c>
          <w:tcPr>
            <w:tcW w:w="9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M</w:t>
            </w:r>
          </w:p>
        </w:tc>
        <w:tc>
          <w:tcPr>
            <w:tcW w:w="9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P</w:t>
            </w:r>
          </w:p>
        </w:tc>
        <w:tc>
          <w:tcPr>
            <w:tcW w:w="9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K</w:t>
            </w:r>
            <w:r>
              <w:rPr>
                <w:rFonts w:hint="default" w:ascii="Times New Roman" w:hAnsi="Times New Roman" w:eastAsia="宋体" w:cs="Times New Roman"/>
                <w:color w:val="auto"/>
                <w:highlight w:val="none"/>
                <w:vertAlign w:val="subscript"/>
                <w:lang w:val="en-US" w:eastAsia="zh-CN"/>
              </w:rPr>
              <w:t>N</w:t>
            </w:r>
          </w:p>
        </w:tc>
        <w:tc>
          <w:tcPr>
            <w:tcW w:w="9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K</w:t>
            </w:r>
            <w:r>
              <w:rPr>
                <w:rFonts w:hint="eastAsia" w:ascii="Times New Roman" w:hAnsi="Times New Roman" w:eastAsia="宋体" w:cs="Times New Roman"/>
                <w:color w:val="auto"/>
                <w:highlight w:val="none"/>
                <w:vertAlign w:val="subscript"/>
                <w:lang w:val="en-US" w:eastAsia="zh-CN"/>
              </w:rPr>
              <w:t>C</w:t>
            </w:r>
          </w:p>
        </w:tc>
        <w:tc>
          <w:tcPr>
            <w:tcW w:w="245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1</w:t>
            </w:r>
          </w:p>
        </w:tc>
        <w:tc>
          <w:tcPr>
            <w:tcW w:w="13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污油储罐区</w:t>
            </w:r>
          </w:p>
        </w:tc>
        <w:tc>
          <w:tcPr>
            <w:tcW w:w="9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92.14</w:t>
            </w:r>
          </w:p>
        </w:tc>
        <w:tc>
          <w:tcPr>
            <w:tcW w:w="9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2.91</w:t>
            </w:r>
          </w:p>
        </w:tc>
        <w:tc>
          <w:tcPr>
            <w:tcW w:w="98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w:t>
            </w:r>
          </w:p>
        </w:tc>
        <w:tc>
          <w:tcPr>
            <w:tcW w:w="9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0.65</w:t>
            </w:r>
          </w:p>
        </w:tc>
        <w:tc>
          <w:tcPr>
            <w:tcW w:w="24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0.073</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④</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储液区无组织挥发非甲烷总烃</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本项目储液池区域存储处理达标的水，水含油量最高为20</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mg/L</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，站内</w:t>
      </w:r>
      <w:r>
        <w:rPr>
          <w:rFonts w:hint="default" w:cs="Times New Roman"/>
          <w:caps w:val="0"/>
          <w:smallCaps w:val="0"/>
          <w:snapToGrid/>
          <w:color w:val="auto"/>
          <w:spacing w:val="0"/>
          <w:w w:val="100"/>
          <w:kern w:val="0"/>
          <w:sz w:val="24"/>
          <w:szCs w:val="24"/>
          <w:highlight w:val="none"/>
          <w:vertAlign w:val="baseline"/>
          <w:lang w:val="en-US" w:eastAsia="zh-CN" w:bidi="ar-SA"/>
        </w:rPr>
        <w:t>废水处理规模</w:t>
      </w:r>
      <w:r>
        <w:rPr>
          <w:rFonts w:hint="eastAsia" w:cs="Times New Roman"/>
          <w:caps w:val="0"/>
          <w:smallCaps w:val="0"/>
          <w:snapToGrid/>
          <w:color w:val="auto"/>
          <w:spacing w:val="0"/>
          <w:w w:val="100"/>
          <w:kern w:val="0"/>
          <w:sz w:val="24"/>
          <w:szCs w:val="24"/>
          <w:highlight w:val="none"/>
          <w:vertAlign w:val="baseline"/>
          <w:lang w:val="en-US" w:eastAsia="zh-CN" w:bidi="ar-SA"/>
        </w:rPr>
        <w:t>4500t</w:t>
      </w:r>
      <w:r>
        <w:rPr>
          <w:rFonts w:hint="default" w:cs="Times New Roman"/>
          <w:caps w:val="0"/>
          <w:smallCaps w:val="0"/>
          <w:snapToGrid/>
          <w:color w:val="auto"/>
          <w:spacing w:val="0"/>
          <w:w w:val="100"/>
          <w:kern w:val="0"/>
          <w:sz w:val="24"/>
          <w:szCs w:val="24"/>
          <w:highlight w:val="none"/>
          <w:vertAlign w:val="baseline"/>
          <w:lang w:val="en-US" w:eastAsia="zh-CN" w:bidi="ar-SA"/>
        </w:rPr>
        <w:t>/d</w:t>
      </w:r>
      <w:r>
        <w:rPr>
          <w:rFonts w:hint="eastAsia" w:cs="Times New Roman"/>
          <w:caps w:val="0"/>
          <w:smallCaps w:val="0"/>
          <w:snapToGrid/>
          <w:color w:val="auto"/>
          <w:spacing w:val="0"/>
          <w:w w:val="100"/>
          <w:kern w:val="0"/>
          <w:sz w:val="24"/>
          <w:szCs w:val="24"/>
          <w:highlight w:val="none"/>
          <w:vertAlign w:val="baseline"/>
          <w:lang w:val="en-US" w:eastAsia="zh-CN" w:bidi="ar-SA"/>
        </w:rPr>
        <w:t>，含油量最大为32.85t，</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结合《大气挥发性有机物源排放清单编制技术指南》附录B中</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工艺过程源—油品储存</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NMHC排放系数（0.123g/kg-原油），则非甲烷总烃产生量约为</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0.00</w:t>
      </w:r>
      <w:r>
        <w:rPr>
          <w:rFonts w:hint="eastAsia" w:cs="Times New Roman"/>
          <w:caps w:val="0"/>
          <w:smallCaps w:val="0"/>
          <w:snapToGrid/>
          <w:color w:val="auto"/>
          <w:spacing w:val="0"/>
          <w:w w:val="100"/>
          <w:kern w:val="0"/>
          <w:sz w:val="24"/>
          <w:szCs w:val="24"/>
          <w:highlight w:val="none"/>
          <w:vertAlign w:val="baseline"/>
          <w:lang w:val="en-US" w:eastAsia="zh-CN" w:bidi="ar-SA"/>
        </w:rPr>
        <w:t>4</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/a。</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（3）食堂油烟</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本项目食堂新建</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灶头</w:t>
      </w:r>
      <w:r>
        <w:rPr>
          <w:rFonts w:hint="eastAsia" w:cs="Times New Roman"/>
          <w:caps w:val="0"/>
          <w:smallCaps w:val="0"/>
          <w:snapToGrid/>
          <w:color w:val="auto"/>
          <w:spacing w:val="0"/>
          <w:w w:val="100"/>
          <w:kern w:val="0"/>
          <w:sz w:val="24"/>
          <w:szCs w:val="24"/>
          <w:highlight w:val="none"/>
          <w:vertAlign w:val="baseline"/>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个，为</w:t>
      </w:r>
      <w:r>
        <w:rPr>
          <w:rFonts w:hint="eastAsia" w:cs="Times New Roman"/>
          <w:caps w:val="0"/>
          <w:smallCaps w:val="0"/>
          <w:snapToGrid/>
          <w:color w:val="auto"/>
          <w:spacing w:val="0"/>
          <w:w w:val="100"/>
          <w:kern w:val="0"/>
          <w:sz w:val="24"/>
          <w:szCs w:val="24"/>
          <w:highlight w:val="none"/>
          <w:vertAlign w:val="baseline"/>
          <w:lang w:val="en-US" w:eastAsia="zh-CN" w:bidi="ar-SA"/>
        </w:rPr>
        <w:t>小</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型</w:t>
      </w:r>
      <w:r>
        <w:rPr>
          <w:rFonts w:hint="eastAsia" w:cs="Times New Roman"/>
          <w:caps w:val="0"/>
          <w:smallCaps w:val="0"/>
          <w:snapToGrid/>
          <w:color w:val="auto"/>
          <w:spacing w:val="0"/>
          <w:w w:val="100"/>
          <w:kern w:val="0"/>
          <w:sz w:val="24"/>
          <w:szCs w:val="24"/>
          <w:highlight w:val="none"/>
          <w:vertAlign w:val="baseline"/>
          <w:lang w:val="en-US" w:eastAsia="zh-CN" w:bidi="ar-SA"/>
        </w:rPr>
        <w:t>食堂</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规模</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食用油用量平均按0.003kg/人•d计，日耗油量为0.</w:t>
      </w:r>
      <w:r>
        <w:rPr>
          <w:rFonts w:hint="eastAsia" w:cs="Times New Roman"/>
          <w:caps w:val="0"/>
          <w:smallCaps w:val="0"/>
          <w:snapToGrid/>
          <w:color w:val="auto"/>
          <w:spacing w:val="0"/>
          <w:w w:val="100"/>
          <w:kern w:val="0"/>
          <w:sz w:val="24"/>
          <w:szCs w:val="24"/>
          <w:highlight w:val="none"/>
          <w:vertAlign w:val="baseline"/>
          <w:lang w:val="en-US" w:eastAsia="zh-CN" w:bidi="ar-SA"/>
        </w:rPr>
        <w:t>09</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kg/d（按日均就餐</w:t>
      </w:r>
      <w:r>
        <w:rPr>
          <w:rFonts w:hint="eastAsia" w:cs="Times New Roman"/>
          <w:caps w:val="0"/>
          <w:smallCaps w:val="0"/>
          <w:snapToGrid/>
          <w:color w:val="auto"/>
          <w:spacing w:val="0"/>
          <w:w w:val="100"/>
          <w:kern w:val="0"/>
          <w:sz w:val="24"/>
          <w:szCs w:val="24"/>
          <w:highlight w:val="none"/>
          <w:vertAlign w:val="baseline"/>
          <w:lang w:val="en-US" w:eastAsia="zh-CN" w:bidi="ar-SA"/>
        </w:rPr>
        <w:t>30</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人计），年耗油量为0.</w:t>
      </w:r>
      <w:r>
        <w:rPr>
          <w:rFonts w:hint="eastAsia" w:cs="Times New Roman"/>
          <w:caps w:val="0"/>
          <w:smallCaps w:val="0"/>
          <w:snapToGrid/>
          <w:color w:val="auto"/>
          <w:spacing w:val="0"/>
          <w:w w:val="100"/>
          <w:kern w:val="0"/>
          <w:sz w:val="24"/>
          <w:szCs w:val="24"/>
          <w:highlight w:val="none"/>
          <w:vertAlign w:val="baseline"/>
          <w:lang w:val="en-US" w:eastAsia="zh-CN" w:bidi="ar-SA"/>
        </w:rPr>
        <w:t>033</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t/a。根据类比调查，不同的工况，油烟中烟气浓度及挥发量均有所不同，油的平均挥发量为总耗油量的2.85%，经估算，本项目日产生油烟量为</w:t>
      </w:r>
      <w:r>
        <w:rPr>
          <w:rFonts w:hint="eastAsia" w:cs="Times New Roman"/>
          <w:caps w:val="0"/>
          <w:smallCaps w:val="0"/>
          <w:snapToGrid/>
          <w:color w:val="auto"/>
          <w:spacing w:val="0"/>
          <w:w w:val="100"/>
          <w:kern w:val="0"/>
          <w:sz w:val="24"/>
          <w:szCs w:val="24"/>
          <w:highlight w:val="none"/>
          <w:vertAlign w:val="baseline"/>
          <w:lang w:val="en-US" w:eastAsia="zh-CN" w:bidi="ar-SA"/>
        </w:rPr>
        <w:t>0.0009</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t/a</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食堂按照每天工作</w:t>
      </w:r>
      <w:r>
        <w:rPr>
          <w:rFonts w:hint="eastAsia" w:cs="Times New Roman"/>
          <w:caps w:val="0"/>
          <w:smallCaps w:val="0"/>
          <w:snapToGrid/>
          <w:color w:val="auto"/>
          <w:spacing w:val="0"/>
          <w:w w:val="100"/>
          <w:kern w:val="0"/>
          <w:sz w:val="24"/>
          <w:szCs w:val="24"/>
          <w:highlight w:val="none"/>
          <w:vertAlign w:val="baseline"/>
          <w:lang w:val="en-US" w:eastAsia="zh-CN" w:bidi="ar-SA"/>
        </w:rPr>
        <w:t>4</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小时计，食堂油烟经</w:t>
      </w:r>
      <w:r>
        <w:rPr>
          <w:rFonts w:hint="eastAsia" w:cs="Times New Roman"/>
          <w:caps w:val="0"/>
          <w:smallCaps w:val="0"/>
          <w:snapToGrid/>
          <w:color w:val="auto"/>
          <w:spacing w:val="0"/>
          <w:w w:val="100"/>
          <w:kern w:val="0"/>
          <w:sz w:val="24"/>
          <w:szCs w:val="24"/>
          <w:highlight w:val="none"/>
          <w:vertAlign w:val="baseline"/>
          <w:lang w:val="en-US" w:eastAsia="zh-CN" w:bidi="ar-SA"/>
        </w:rPr>
        <w:t>集气罩收集，通过</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油烟净化器处理后</w:t>
      </w:r>
      <w:r>
        <w:rPr>
          <w:rFonts w:hint="eastAsia" w:cs="Times New Roman"/>
          <w:caps w:val="0"/>
          <w:smallCaps w:val="0"/>
          <w:snapToGrid/>
          <w:color w:val="auto"/>
          <w:spacing w:val="0"/>
          <w:w w:val="100"/>
          <w:kern w:val="0"/>
          <w:sz w:val="24"/>
          <w:szCs w:val="24"/>
          <w:highlight w:val="none"/>
          <w:vertAlign w:val="baseline"/>
          <w:lang w:val="en-US" w:eastAsia="zh-CN" w:bidi="ar-SA"/>
        </w:rPr>
        <w:t>，经</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专用烟道</w:t>
      </w:r>
      <w:r>
        <w:rPr>
          <w:rFonts w:hint="eastAsia" w:cs="Times New Roman"/>
          <w:caps w:val="0"/>
          <w:smallCaps w:val="0"/>
          <w:snapToGrid/>
          <w:color w:val="auto"/>
          <w:spacing w:val="0"/>
          <w:w w:val="100"/>
          <w:kern w:val="0"/>
          <w:sz w:val="24"/>
          <w:szCs w:val="24"/>
          <w:highlight w:val="none"/>
          <w:vertAlign w:val="baseline"/>
          <w:lang w:val="en-US" w:eastAsia="zh-CN" w:bidi="ar-SA"/>
        </w:rPr>
        <w:t>高于</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屋顶排放。</w:t>
      </w:r>
      <w:r>
        <w:rPr>
          <w:rFonts w:hint="eastAsia" w:cs="Times New Roman"/>
          <w:caps w:val="0"/>
          <w:smallCaps w:val="0"/>
          <w:snapToGrid/>
          <w:color w:val="auto"/>
          <w:spacing w:val="0"/>
          <w:w w:val="100"/>
          <w:kern w:val="0"/>
          <w:sz w:val="24"/>
          <w:szCs w:val="24"/>
          <w:highlight w:val="none"/>
          <w:vertAlign w:val="baseline"/>
          <w:lang w:val="en-US" w:eastAsia="zh-CN" w:bidi="ar-SA"/>
        </w:rPr>
        <w:t>集气罩收集效率为90%，</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油烟净化器净化效率不低于</w:t>
      </w:r>
      <w:r>
        <w:rPr>
          <w:rFonts w:hint="eastAsia" w:cs="Times New Roman"/>
          <w:caps w:val="0"/>
          <w:smallCaps w:val="0"/>
          <w:snapToGrid/>
          <w:color w:val="auto"/>
          <w:spacing w:val="0"/>
          <w:w w:val="100"/>
          <w:kern w:val="0"/>
          <w:sz w:val="24"/>
          <w:szCs w:val="24"/>
          <w:highlight w:val="none"/>
          <w:vertAlign w:val="baseline"/>
          <w:lang w:val="en-US" w:eastAsia="zh-CN" w:bidi="ar-SA"/>
        </w:rPr>
        <w:t>60</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%，则油烟排放速率为0.000</w:t>
      </w:r>
      <w:r>
        <w:rPr>
          <w:rFonts w:hint="eastAsia" w:cs="Times New Roman"/>
          <w:caps w:val="0"/>
          <w:smallCaps w:val="0"/>
          <w:snapToGrid/>
          <w:color w:val="auto"/>
          <w:spacing w:val="0"/>
          <w:w w:val="100"/>
          <w:kern w:val="0"/>
          <w:sz w:val="24"/>
          <w:szCs w:val="24"/>
          <w:highlight w:val="none"/>
          <w:vertAlign w:val="baseline"/>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kg/h。设计排风量</w:t>
      </w:r>
      <w:r>
        <w:rPr>
          <w:rFonts w:hint="eastAsia" w:cs="Times New Roman"/>
          <w:caps w:val="0"/>
          <w:smallCaps w:val="0"/>
          <w:snapToGrid/>
          <w:color w:val="auto"/>
          <w:spacing w:val="0"/>
          <w:w w:val="100"/>
          <w:kern w:val="0"/>
          <w:sz w:val="24"/>
          <w:szCs w:val="24"/>
          <w:highlight w:val="none"/>
          <w:vertAlign w:val="baseline"/>
          <w:lang w:val="en-US" w:eastAsia="zh-CN" w:bidi="ar-SA"/>
        </w:rPr>
        <w:t>5</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00m</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/h，则排放浓度为0.</w:t>
      </w:r>
      <w:r>
        <w:rPr>
          <w:rFonts w:hint="eastAsia" w:cs="Times New Roman"/>
          <w:caps w:val="0"/>
          <w:smallCaps w:val="0"/>
          <w:snapToGrid/>
          <w:color w:val="auto"/>
          <w:spacing w:val="0"/>
          <w:w w:val="100"/>
          <w:kern w:val="0"/>
          <w:sz w:val="24"/>
          <w:szCs w:val="24"/>
          <w:highlight w:val="none"/>
          <w:vertAlign w:val="baseline"/>
          <w:lang w:val="en-US" w:eastAsia="zh-CN" w:bidi="ar-SA"/>
        </w:rPr>
        <w:t>44</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mg/m</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，能够达到《饮食业油烟排放标准（试行）》（GB18483-2001）中相应标准2.0mg/m</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的要求。</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3.4.2.2废水</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污染源分析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本项目</w:t>
      </w:r>
      <w:r>
        <w:rPr>
          <w:rFonts w:hint="eastAsia" w:cs="Times New Roman"/>
          <w:caps w:val="0"/>
          <w:smallCaps w:val="0"/>
          <w:snapToGrid/>
          <w:color w:val="auto"/>
          <w:spacing w:val="0"/>
          <w:w w:val="100"/>
          <w:kern w:val="0"/>
          <w:sz w:val="24"/>
          <w:szCs w:val="24"/>
          <w:highlight w:val="none"/>
          <w:vertAlign w:val="baseline"/>
          <w:lang w:val="en-US" w:eastAsia="zh-CN" w:bidi="ar-SA"/>
        </w:rPr>
        <w:t>运行期产生的废水为运维人员生活污水、站内处理达标水、初期雨水、</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cs="Times New Roman"/>
          <w:caps w:val="0"/>
          <w:smallCaps w:val="0"/>
          <w:snapToGrid/>
          <w:color w:val="auto"/>
          <w:spacing w:val="0"/>
          <w:w w:val="100"/>
          <w:kern w:val="0"/>
          <w:sz w:val="24"/>
          <w:szCs w:val="24"/>
          <w:highlight w:val="none"/>
          <w:vertAlign w:val="baseline"/>
          <w:lang w:val="en-US" w:eastAsia="zh-CN" w:bidi="ar-SA"/>
        </w:rPr>
        <w:t>离心浓缩废水、事故废水。厂区进行雨污分流制。</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①</w:t>
      </w:r>
      <w:r>
        <w:rPr>
          <w:rFonts w:hint="eastAsia" w:cs="Times New Roman"/>
          <w:caps w:val="0"/>
          <w:smallCaps w:val="0"/>
          <w:snapToGrid/>
          <w:color w:val="auto"/>
          <w:spacing w:val="0"/>
          <w:w w:val="100"/>
          <w:kern w:val="0"/>
          <w:sz w:val="24"/>
          <w:szCs w:val="24"/>
          <w:highlight w:val="none"/>
          <w:vertAlign w:val="baseline"/>
          <w:lang w:val="en-US" w:eastAsia="zh-CN" w:bidi="ar-SA"/>
        </w:rPr>
        <w:t>生活污水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运行期站内生活污水产生量为701m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/a，排入化粪池内，定期清掏，拉运至新站镇生活污水处理厂处理。</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②</w:t>
      </w:r>
      <w:r>
        <w:rPr>
          <w:rFonts w:hint="eastAsia" w:cs="Times New Roman"/>
          <w:caps w:val="0"/>
          <w:smallCaps w:val="0"/>
          <w:snapToGrid/>
          <w:color w:val="auto"/>
          <w:spacing w:val="0"/>
          <w:w w:val="100"/>
          <w:kern w:val="0"/>
          <w:sz w:val="24"/>
          <w:szCs w:val="24"/>
          <w:highlight w:val="none"/>
          <w:vertAlign w:val="baseline"/>
          <w:lang w:val="en-US" w:eastAsia="zh-CN" w:bidi="ar-SA"/>
        </w:rPr>
        <w:t>初期雨水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厂区道路设置初期雨水收集系统</w:t>
      </w:r>
      <w:r>
        <w:rPr>
          <w:rFonts w:hint="eastAsia" w:cs="Times New Roman"/>
          <w:caps w:val="0"/>
          <w:smallCaps w:val="0"/>
          <w:snapToGrid/>
          <w:color w:val="auto"/>
          <w:spacing w:val="0"/>
          <w:w w:val="100"/>
          <w:kern w:val="0"/>
          <w:sz w:val="24"/>
          <w:szCs w:val="24"/>
          <w:highlight w:val="none"/>
          <w:vertAlign w:val="baseline"/>
          <w:lang w:val="en-US" w:eastAsia="zh-CN" w:bidi="ar-SA"/>
        </w:rPr>
        <w:t>，污油储罐区设置雨水切换阀。</w:t>
      </w:r>
      <w:r>
        <w:rPr>
          <w:rFonts w:hint="default" w:cs="Times New Roman"/>
          <w:caps w:val="0"/>
          <w:smallCaps w:val="0"/>
          <w:snapToGrid/>
          <w:color w:val="auto"/>
          <w:spacing w:val="0"/>
          <w:w w:val="100"/>
          <w:kern w:val="0"/>
          <w:sz w:val="24"/>
          <w:szCs w:val="24"/>
          <w:highlight w:val="none"/>
          <w:vertAlign w:val="baseline"/>
          <w:lang w:val="en-US" w:eastAsia="zh-CN" w:bidi="ar-SA"/>
        </w:rPr>
        <w:t>初期雨水收集系统主要由初期雨水收集池、水泵、雨水收集管及控制阀门组成。收集后前15min雨水排入雨水收集池，15</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分钟后的雨水排至厂区北侧公路两侧低洼地带。</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雨水收集量为201.2m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/次</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。暂存在初期雨水收集池内，再进入站内废水处理系统，经处理达标后，回用于页岩油试验区压裂复配。</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③</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离心浓缩废水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本项目污泥经</w:t>
      </w:r>
      <w:r>
        <w:rPr>
          <w:rFonts w:hint="eastAsia" w:cs="Times New Roman"/>
          <w:caps w:val="0"/>
          <w:smallCaps w:val="0"/>
          <w:snapToGrid/>
          <w:color w:val="auto"/>
          <w:spacing w:val="0"/>
          <w:w w:val="100"/>
          <w:kern w:val="0"/>
          <w:sz w:val="24"/>
          <w:szCs w:val="24"/>
          <w:highlight w:val="none"/>
          <w:vertAlign w:val="baseline"/>
          <w:lang w:val="en-US" w:eastAsia="zh-CN" w:bidi="ar-SA"/>
        </w:rPr>
        <w:t>压泥机</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离心处理后，有浓缩废水产生。浓缩废水产生量为211.5</w:t>
      </w:r>
      <w:r>
        <w:rPr>
          <w:rFonts w:hint="eastAsia" w:cs="Times New Roman"/>
          <w:caps w:val="0"/>
          <w:smallCaps w:val="0"/>
          <w:snapToGrid/>
          <w:color w:val="auto"/>
          <w:spacing w:val="0"/>
          <w:w w:val="100"/>
          <w:kern w:val="0"/>
          <w:sz w:val="24"/>
          <w:szCs w:val="24"/>
          <w:highlight w:val="none"/>
          <w:vertAlign w:val="baseline"/>
          <w:lang w:val="en-US" w:eastAsia="zh-CN" w:bidi="ar-SA"/>
        </w:rPr>
        <w:t>t</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/a，进入站内废水处理系统，经处理达标后，回用于页岩油试验区压裂复配。</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④</w:t>
      </w:r>
      <w:r>
        <w:rPr>
          <w:rFonts w:hint="eastAsia" w:cs="Times New Roman"/>
          <w:caps w:val="0"/>
          <w:smallCaps w:val="0"/>
          <w:snapToGrid/>
          <w:color w:val="auto"/>
          <w:spacing w:val="0"/>
          <w:w w:val="100"/>
          <w:kern w:val="0"/>
          <w:sz w:val="24"/>
          <w:szCs w:val="24"/>
          <w:highlight w:val="none"/>
          <w:vertAlign w:val="baseline"/>
          <w:lang w:val="en-US" w:eastAsia="zh-CN" w:bidi="ar-SA"/>
        </w:rPr>
        <w:t>事故废水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在服务站站址内建设事故池1座，用于存储事故情况下产生的消防废水及泄漏的物料，禁止消防废水及泄漏的物料排入外界环境。依据《事故状态下水体污染的预防和控制规范》（Q/SY08190-2019），事故缓冲设施总有效容积按以下公式确定：</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2200275" cy="323850"/>
            <wp:effectExtent l="0" t="0" r="9525" b="0"/>
            <wp:docPr id="48" name="图片 48" descr="事故池公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事故池公式"/>
                    <pic:cNvPicPr>
                      <a:picLocks noChangeAspect="1"/>
                    </pic:cNvPicPr>
                  </pic:nvPicPr>
                  <pic:blipFill>
                    <a:blip r:embed="rId29"/>
                    <a:stretch>
                      <a:fillRect/>
                    </a:stretch>
                  </pic:blipFill>
                  <pic:spPr>
                    <a:xfrm>
                      <a:off x="0" y="0"/>
                      <a:ext cx="2200275" cy="323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式中：</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V</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总</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—事故缓冲设施总有效容积，m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1200" w:firstLineChars="5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V</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1</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—收集范围内发生事故的物料量，m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；3#服务站内设置溶药机1座，10m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；污油储罐1座，物料充装量为</w:t>
      </w:r>
      <w:r>
        <w:rPr>
          <w:rFonts w:hint="eastAsia" w:cs="Times New Roman"/>
          <w:caps w:val="0"/>
          <w:smallCaps w:val="0"/>
          <w:snapToGrid/>
          <w:color w:val="auto"/>
          <w:spacing w:val="0"/>
          <w:w w:val="100"/>
          <w:kern w:val="0"/>
          <w:sz w:val="24"/>
          <w:szCs w:val="24"/>
          <w:highlight w:val="none"/>
          <w:vertAlign w:val="baseline"/>
          <w:lang w:val="en-US" w:eastAsia="zh-CN" w:bidi="ar-SA"/>
        </w:rPr>
        <w:t>220</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1200" w:firstLineChars="5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V</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—发生事故的储罐、装置或铁路、汽车装卸区的消防水量，m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；消防用水量根据《石油化工企业设计防火标准》（GB50160-2008）（2018修订）的要求，本项目消防用水量Q取60L/S，t消为3h；</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1200" w:firstLineChars="5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V</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—发生事故时可以转输到其他储存或处理设施的物料量，m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；本项目取值0；</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1200" w:firstLineChars="5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V</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4</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—发生事故时仍必须进入该收集系统的生产废水量，m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；事故情况下不再接收任何生产废水，本项目取值0；</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1200" w:firstLineChars="5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V</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5</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—发生事故时可能进入该收集系统的降雨量，m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；本项目取一次降雨前15分钟收集量，201.2m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综上，V总=</w:t>
      </w:r>
      <w:r>
        <w:rPr>
          <w:rFonts w:hint="eastAsia" w:cs="Times New Roman"/>
          <w:caps w:val="0"/>
          <w:smallCaps w:val="0"/>
          <w:snapToGrid/>
          <w:color w:val="auto"/>
          <w:spacing w:val="0"/>
          <w:w w:val="100"/>
          <w:kern w:val="0"/>
          <w:sz w:val="24"/>
          <w:szCs w:val="24"/>
          <w:highlight w:val="none"/>
          <w:vertAlign w:val="baseline"/>
          <w:lang w:val="en-US" w:eastAsia="zh-CN" w:bidi="ar-SA"/>
        </w:rPr>
        <w:t>1080</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，本项目在站内建设事故储存1座，有效容积不小于1300m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，事故废水交由有资质单位处置，不外排。</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⑤</w:t>
      </w:r>
      <w:r>
        <w:rPr>
          <w:rFonts w:hint="eastAsia" w:cs="Times New Roman"/>
          <w:caps w:val="0"/>
          <w:smallCaps w:val="0"/>
          <w:snapToGrid/>
          <w:color w:val="auto"/>
          <w:spacing w:val="0"/>
          <w:w w:val="100"/>
          <w:kern w:val="0"/>
          <w:sz w:val="24"/>
          <w:szCs w:val="24"/>
          <w:highlight w:val="none"/>
          <w:vertAlign w:val="baseline"/>
          <w:lang w:val="en-US" w:eastAsia="zh-CN" w:bidi="ar-SA"/>
        </w:rPr>
        <w:t>站内处理达标水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本项目3#服务站设计</w:t>
      </w:r>
      <w:r>
        <w:rPr>
          <w:rFonts w:hint="eastAsia" w:cs="Times New Roman"/>
          <w:caps w:val="0"/>
          <w:smallCaps w:val="0"/>
          <w:snapToGrid/>
          <w:color w:val="auto"/>
          <w:spacing w:val="0"/>
          <w:w w:val="100"/>
          <w:kern w:val="0"/>
          <w:sz w:val="24"/>
          <w:szCs w:val="24"/>
          <w:highlight w:val="none"/>
          <w:vertAlign w:val="baseline"/>
          <w:lang w:val="en-US" w:eastAsia="zh-CN" w:bidi="ar-SA"/>
        </w:rPr>
        <w:t>处理能力为</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4500</w:t>
      </w:r>
      <w:r>
        <w:rPr>
          <w:rFonts w:hint="eastAsia" w:cs="Times New Roman"/>
          <w:caps w:val="0"/>
          <w:smallCaps w:val="0"/>
          <w:snapToGrid/>
          <w:color w:val="auto"/>
          <w:spacing w:val="0"/>
          <w:w w:val="100"/>
          <w:kern w:val="0"/>
          <w:sz w:val="24"/>
          <w:szCs w:val="24"/>
          <w:highlight w:val="none"/>
          <w:vertAlign w:val="baseline"/>
          <w:lang w:val="en-US" w:eastAsia="zh-CN" w:bidi="ar-SA"/>
        </w:rPr>
        <w:t>t</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/d，</w:t>
      </w:r>
      <w:r>
        <w:rPr>
          <w:rFonts w:hint="eastAsia" w:cs="Times New Roman"/>
          <w:caps w:val="0"/>
          <w:smallCaps w:val="0"/>
          <w:snapToGrid/>
          <w:color w:val="auto"/>
          <w:spacing w:val="0"/>
          <w:w w:val="100"/>
          <w:kern w:val="0"/>
          <w:sz w:val="24"/>
          <w:szCs w:val="24"/>
          <w:highlight w:val="none"/>
          <w:vertAlign w:val="baseline"/>
          <w:lang w:val="en-US" w:eastAsia="zh-CN" w:bidi="ar-SA"/>
        </w:rPr>
        <w:t>经“均质+隔油沉沙+混凝絮凝沉淀+气浮”的工艺处理，</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满足《大庆油田地面工程建设设计规定》（Q/SYDQ 0639-2015）“含油量≤20mg/L、</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悬浮固体含量</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≤20mg/L”，回用于页岩油试验区压裂复配。</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3.4.2.3噪声</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污染源分析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本项目运行期主要产噪设备为</w:t>
      </w:r>
      <w:r>
        <w:rPr>
          <w:rFonts w:hint="eastAsia" w:cs="Times New Roman"/>
          <w:caps w:val="0"/>
          <w:smallCaps w:val="0"/>
          <w:snapToGrid/>
          <w:color w:val="auto"/>
          <w:spacing w:val="0"/>
          <w:w w:val="100"/>
          <w:kern w:val="0"/>
          <w:sz w:val="24"/>
          <w:szCs w:val="24"/>
          <w:highlight w:val="none"/>
          <w:vertAlign w:val="baseline"/>
          <w:lang w:val="en-US" w:eastAsia="zh-CN" w:bidi="ar-SA"/>
        </w:rPr>
        <w:t>运行设备、泵类及风机。</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3.4.2.4固体废物</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污染源分析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本项目运行期产生的固体废物为站内运维人员生活垃圾、胶状物质、</w:t>
      </w:r>
      <w:r>
        <w:rPr>
          <w:rFonts w:hint="eastAsia" w:cs="Times New Roman"/>
          <w:caps w:val="0"/>
          <w:smallCaps w:val="0"/>
          <w:snapToGrid/>
          <w:color w:val="auto"/>
          <w:spacing w:val="0"/>
          <w:w w:val="100"/>
          <w:kern w:val="0"/>
          <w:sz w:val="24"/>
          <w:szCs w:val="24"/>
          <w:highlight w:val="none"/>
          <w:vertAlign w:val="baseline"/>
          <w:lang w:val="en-US" w:eastAsia="zh-CN" w:bidi="ar-SA"/>
        </w:rPr>
        <w:t>污泥</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、污油、废机油、</w:t>
      </w:r>
      <w:r>
        <w:rPr>
          <w:rFonts w:hint="eastAsia" w:cs="Times New Roman"/>
          <w:caps w:val="0"/>
          <w:smallCaps w:val="0"/>
          <w:snapToGrid/>
          <w:color w:val="auto"/>
          <w:spacing w:val="0"/>
          <w:w w:val="100"/>
          <w:kern w:val="0"/>
          <w:sz w:val="24"/>
          <w:szCs w:val="24"/>
          <w:highlight w:val="none"/>
          <w:vertAlign w:val="baseline"/>
          <w:lang w:val="en-US" w:eastAsia="zh-CN" w:bidi="ar-SA"/>
        </w:rPr>
        <w:t>药剂废弃包装袋、罐底油泥</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及废弃的含油抹布和劳保用品。</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①</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生活垃圾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本项目新建3#服务站站内运维人工共30人，</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生活垃圾产生量按0.5kg/人·d计，则生活垃圾</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产生量为5.475</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t/a</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生活垃圾</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统一</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收集后，由环卫部门清运至肇源县生活垃圾处理场处理。</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②</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胶状物质</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废水</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在卸车平台卸料</w:t>
      </w:r>
      <w:r>
        <w:rPr>
          <w:rFonts w:hint="eastAsia" w:cs="Times New Roman"/>
          <w:caps w:val="0"/>
          <w:smallCaps w:val="0"/>
          <w:snapToGrid/>
          <w:color w:val="auto"/>
          <w:spacing w:val="0"/>
          <w:w w:val="100"/>
          <w:kern w:val="0"/>
          <w:sz w:val="24"/>
          <w:szCs w:val="24"/>
          <w:highlight w:val="none"/>
          <w:vertAlign w:val="baseline"/>
          <w:lang w:val="en-US" w:eastAsia="zh-CN" w:bidi="ar-SA"/>
        </w:rPr>
        <w:t>槽</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会隔离</w:t>
      </w:r>
      <w:r>
        <w:rPr>
          <w:rFonts w:hint="eastAsia" w:cs="Times New Roman"/>
          <w:caps w:val="0"/>
          <w:smallCaps w:val="0"/>
          <w:snapToGrid/>
          <w:color w:val="auto"/>
          <w:spacing w:val="0"/>
          <w:w w:val="100"/>
          <w:kern w:val="0"/>
          <w:sz w:val="24"/>
          <w:szCs w:val="24"/>
          <w:highlight w:val="none"/>
          <w:vertAlign w:val="baseline"/>
          <w:lang w:val="en-US" w:eastAsia="zh-CN" w:bidi="ar-SA"/>
        </w:rPr>
        <w:t>去除</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较大块胶状物质，根据建设单位生产运行经验，本项目胶状固体物质产生量为</w:t>
      </w:r>
      <w:r>
        <w:rPr>
          <w:rFonts w:hint="eastAsia" w:cs="Times New Roman"/>
          <w:caps w:val="0"/>
          <w:smallCaps w:val="0"/>
          <w:snapToGrid/>
          <w:color w:val="auto"/>
          <w:spacing w:val="0"/>
          <w:w w:val="100"/>
          <w:kern w:val="0"/>
          <w:sz w:val="24"/>
          <w:szCs w:val="24"/>
          <w:highlight w:val="none"/>
          <w:vertAlign w:val="baseline"/>
          <w:lang w:val="en-US" w:eastAsia="zh-CN" w:bidi="ar-SA"/>
        </w:rPr>
        <w:t>37</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t/a。属于危险废物，根据《国家危险废物名录（2021年版）》，属于HW08废矿物油与含矿物油废物中含油废水处理中隔油、气浮、沉淀等处理过程中产生的浮渣，废物代码为900-210-08。密封暂存于站内危废暂存间内，定期交由有资质单位处置。</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③</w:t>
      </w:r>
      <w:r>
        <w:rPr>
          <w:rFonts w:hint="eastAsia" w:cs="Times New Roman"/>
          <w:caps w:val="0"/>
          <w:smallCaps w:val="0"/>
          <w:snapToGrid/>
          <w:color w:val="auto"/>
          <w:spacing w:val="0"/>
          <w:w w:val="100"/>
          <w:kern w:val="0"/>
          <w:sz w:val="24"/>
          <w:szCs w:val="24"/>
          <w:highlight w:val="none"/>
          <w:vertAlign w:val="baseline"/>
          <w:lang w:val="en-US" w:eastAsia="zh-CN" w:bidi="ar-SA"/>
        </w:rPr>
        <w:t>污泥</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根据企业生产运行经验，本项目运行期未经离心前污泥产生量为423t/a，污泥离心前含水率约为85%，经压泥机压滤后含水率低于70%。</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经离心处理后</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产生量为</w:t>
      </w:r>
      <w:r>
        <w:rPr>
          <w:rFonts w:hint="eastAsia" w:cs="Times New Roman"/>
          <w:caps w:val="0"/>
          <w:smallCaps w:val="0"/>
          <w:snapToGrid/>
          <w:color w:val="auto"/>
          <w:spacing w:val="0"/>
          <w:w w:val="100"/>
          <w:kern w:val="0"/>
          <w:sz w:val="24"/>
          <w:szCs w:val="24"/>
          <w:highlight w:val="none"/>
          <w:vertAlign w:val="baseline"/>
          <w:lang w:val="en-US" w:eastAsia="zh-CN" w:bidi="ar-SA"/>
        </w:rPr>
        <w:t>211.5</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/a。根据《国家危险废物名录（2021年版）》，</w:t>
      </w:r>
      <w:r>
        <w:rPr>
          <w:rFonts w:hint="eastAsia" w:cs="Times New Roman"/>
          <w:caps w:val="0"/>
          <w:smallCaps w:val="0"/>
          <w:snapToGrid/>
          <w:color w:val="auto"/>
          <w:spacing w:val="0"/>
          <w:w w:val="100"/>
          <w:kern w:val="0"/>
          <w:sz w:val="24"/>
          <w:szCs w:val="24"/>
          <w:highlight w:val="none"/>
          <w:vertAlign w:val="baseline"/>
          <w:lang w:val="en-US" w:eastAsia="zh-CN" w:bidi="ar-SA"/>
        </w:rPr>
        <w:t>本项目产生的污泥</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属于HW08废矿物油与含矿物油废物中含油废水处理中隔油、气浮、沉淀等处理过程中产生的</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，废物代码为900-210-08。密封暂存于站内危废暂存间内，定期交由有资质单位处置。</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④污油</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根据建设单位生产运行经验，本项目污油产生量为121t/a，</w:t>
      </w:r>
      <w:r>
        <w:rPr>
          <w:rFonts w:hint="eastAsia" w:cs="Times New Roman"/>
          <w:caps w:val="0"/>
          <w:smallCaps w:val="0"/>
          <w:snapToGrid/>
          <w:color w:val="auto"/>
          <w:spacing w:val="0"/>
          <w:w w:val="100"/>
          <w:kern w:val="0"/>
          <w:sz w:val="24"/>
          <w:szCs w:val="24"/>
          <w:highlight w:val="none"/>
          <w:vertAlign w:val="baseline"/>
          <w:lang w:val="en-US" w:eastAsia="zh-CN" w:bidi="ar-SA"/>
        </w:rPr>
        <w:t>属于危险废物。</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根据《国家危险废物名录（2021年版）》，属于HW08废矿物油与含矿物油废物中含油废水处理中隔油、气浮、沉淀等处理过程中产生的</w:t>
      </w:r>
      <w:r>
        <w:rPr>
          <w:rFonts w:hint="eastAsia" w:cs="Times New Roman"/>
          <w:caps w:val="0"/>
          <w:smallCaps w:val="0"/>
          <w:snapToGrid/>
          <w:color w:val="auto"/>
          <w:spacing w:val="0"/>
          <w:w w:val="100"/>
          <w:kern w:val="0"/>
          <w:sz w:val="24"/>
          <w:szCs w:val="24"/>
          <w:highlight w:val="none"/>
          <w:vertAlign w:val="baseline"/>
          <w:lang w:val="en-US" w:eastAsia="zh-CN" w:bidi="ar-SA"/>
        </w:rPr>
        <w:t>浮油</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，废物代码为900-210-08。</w:t>
      </w:r>
      <w:r>
        <w:rPr>
          <w:rFonts w:hint="eastAsia" w:cs="Times New Roman"/>
          <w:caps w:val="0"/>
          <w:smallCaps w:val="0"/>
          <w:snapToGrid/>
          <w:color w:val="auto"/>
          <w:spacing w:val="0"/>
          <w:w w:val="100"/>
          <w:kern w:val="0"/>
          <w:sz w:val="24"/>
          <w:szCs w:val="24"/>
          <w:highlight w:val="none"/>
          <w:vertAlign w:val="baseline"/>
          <w:lang w:val="en-US" w:eastAsia="zh-CN" w:bidi="ar-SA"/>
        </w:rPr>
        <w:t>通过管输、泵送暂存在</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站内污油储罐内，定期由油田单位拉运回收利用。</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⑤废机油</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本项目站内运行设备维修产生的废机油，估算产生量约为1.0t/a；</w:t>
      </w:r>
      <w:r>
        <w:rPr>
          <w:rFonts w:hint="eastAsia" w:cs="Times New Roman"/>
          <w:caps w:val="0"/>
          <w:smallCaps w:val="0"/>
          <w:snapToGrid/>
          <w:color w:val="auto"/>
          <w:spacing w:val="0"/>
          <w:w w:val="100"/>
          <w:kern w:val="0"/>
          <w:sz w:val="24"/>
          <w:szCs w:val="24"/>
          <w:highlight w:val="none"/>
          <w:vertAlign w:val="baseline"/>
          <w:lang w:val="en-US" w:eastAsia="zh-CN" w:bidi="ar-SA"/>
        </w:rPr>
        <w:t>属于危险废物，</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根据《国家危险废物名录（2021年版）》，属于HW08废矿物油与含矿物油废物中生产</w:t>
      </w:r>
      <w:r>
        <w:rPr>
          <w:rFonts w:hint="eastAsia" w:cs="Times New Roman"/>
          <w:caps w:val="0"/>
          <w:smallCaps w:val="0"/>
          <w:snapToGrid/>
          <w:color w:val="auto"/>
          <w:spacing w:val="0"/>
          <w:w w:val="100"/>
          <w:kern w:val="0"/>
          <w:sz w:val="24"/>
          <w:szCs w:val="24"/>
          <w:highlight w:val="none"/>
          <w:vertAlign w:val="baseline"/>
          <w:lang w:val="en-US" w:eastAsia="zh-CN" w:bidi="ar-SA"/>
        </w:rPr>
        <w:t>过程中产生的废矿物油。</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废物代码为900-249-08</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集中收集，密封桶装暂存于危废暂存间内，定期交由有资质单位处置。</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⑥药剂废弃包装袋</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废水处理过程中使用PAC及PAM药剂，会产生药剂废弃包装袋，本项目使用药剂用396t/a，每袋药剂规格为25kg，则共产生1.584万个废弃包装袋，产生量约为0.2t/a。属于一般固体废物，对照《一般固体废物分类与代码》（GB/T39198-2020），属于废弃资源中的废复合包装，废物代码为170-001-07。集中收集，密封暂存于库房内，外售综合利用。</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⑦废弃的含油抹布和劳保用品</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站内设备检修与维护过程中产生废弃的含油抹布和劳保用品，根据建设单位生产运行经验，废弃的含油抹布和劳保用品产生量为0.05t/a；根据《国家危险废物名录（2021年版）》，废物类别为HW49其他废物，废物代码为900-041-49。根据《国家危险废物名录（2021年版）》危险废物豁免清单，全过程不按危险废物管理，废弃的含油抹布和劳保用品可随生活垃圾一起拉运处置。</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⑧</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罐底油泥</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本项目运行期间，需对污油储罐进行定期检修，会有罐底油泥产生，产生量为0.03t/a，</w:t>
      </w:r>
      <w:r>
        <w:rPr>
          <w:rFonts w:hint="eastAsia" w:cs="Times New Roman"/>
          <w:caps w:val="0"/>
          <w:smallCaps w:val="0"/>
          <w:snapToGrid/>
          <w:color w:val="auto"/>
          <w:spacing w:val="0"/>
          <w:w w:val="100"/>
          <w:kern w:val="0"/>
          <w:sz w:val="24"/>
          <w:szCs w:val="24"/>
          <w:highlight w:val="none"/>
          <w:vertAlign w:val="baseline"/>
          <w:lang w:val="en-US" w:eastAsia="zh-CN" w:bidi="ar-SA"/>
        </w:rPr>
        <w:t>属于危险废物，</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根据《国家危险废物名录（2021年版）》，废物类别为HW08废矿物油与含矿物油废物，废物代码为900-221-08。密封暂存于危废暂存间内，定期交由有资质单位处置。</w:t>
      </w:r>
    </w:p>
    <w:p>
      <w:pP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p>
    <w:p>
      <w:pPr>
        <w:rPr>
          <w:rFonts w:hint="eastAsia"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center"/>
        <w:textAlignment w:val="auto"/>
        <w:rPr>
          <w:rFonts w:hint="eastAsia" w:ascii="Times New Roman" w:hAnsi="Times New Roman" w:eastAsia="宋体" w:cs="宋体"/>
          <w:b/>
          <w:bCs/>
          <w:smallCaps w:val="0"/>
          <w:color w:val="auto"/>
          <w:kern w:val="2"/>
          <w:sz w:val="21"/>
          <w:szCs w:val="21"/>
          <w:highlight w:val="none"/>
          <w:lang w:val="en-US" w:eastAsia="zh-CN" w:bidi="ar-SA"/>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宋体"/>
          <w:b/>
          <w:bCs/>
          <w:smallCaps w:val="0"/>
          <w:color w:val="auto"/>
          <w:kern w:val="2"/>
          <w:sz w:val="21"/>
          <w:szCs w:val="21"/>
          <w:highlight w:val="none"/>
          <w:lang w:val="en-US" w:eastAsia="zh-CN" w:bidi="ar-SA"/>
        </w:rPr>
        <w:t>表3.</w:t>
      </w:r>
      <w:r>
        <w:rPr>
          <w:rFonts w:hint="eastAsia" w:cs="宋体"/>
          <w:b/>
          <w:bCs/>
          <w:smallCaps w:val="0"/>
          <w:color w:val="auto"/>
          <w:kern w:val="2"/>
          <w:sz w:val="21"/>
          <w:szCs w:val="21"/>
          <w:highlight w:val="none"/>
          <w:lang w:val="en-US" w:eastAsia="zh-CN" w:bidi="ar-SA"/>
        </w:rPr>
        <w:t>4-8</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正常运行期间废气产排情况</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27"/>
        <w:gridCol w:w="822"/>
        <w:gridCol w:w="873"/>
        <w:gridCol w:w="818"/>
        <w:gridCol w:w="873"/>
        <w:gridCol w:w="955"/>
        <w:gridCol w:w="1063"/>
        <w:gridCol w:w="859"/>
        <w:gridCol w:w="1430"/>
        <w:gridCol w:w="834"/>
        <w:gridCol w:w="793"/>
        <w:gridCol w:w="1048"/>
        <w:gridCol w:w="1075"/>
        <w:gridCol w:w="881"/>
        <w:gridCol w:w="9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2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工序</w:t>
            </w:r>
          </w:p>
        </w:tc>
        <w:tc>
          <w:tcPr>
            <w:tcW w:w="822"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装置</w:t>
            </w:r>
          </w:p>
        </w:tc>
        <w:tc>
          <w:tcPr>
            <w:tcW w:w="87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污染源</w:t>
            </w:r>
          </w:p>
        </w:tc>
        <w:tc>
          <w:tcPr>
            <w:tcW w:w="818"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污染物</w:t>
            </w:r>
          </w:p>
        </w:tc>
        <w:tc>
          <w:tcPr>
            <w:tcW w:w="3750"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污染物产生</w:t>
            </w:r>
          </w:p>
        </w:tc>
        <w:tc>
          <w:tcPr>
            <w:tcW w:w="2264"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治理措施</w:t>
            </w:r>
          </w:p>
        </w:tc>
        <w:tc>
          <w:tcPr>
            <w:tcW w:w="3797"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aps w:val="0"/>
                <w:smallCaps w:val="0"/>
                <w:color w:val="auto"/>
                <w:spacing w:val="0"/>
                <w:w w:val="100"/>
                <w:sz w:val="21"/>
                <w:szCs w:val="21"/>
                <w:highlight w:val="none"/>
              </w:rPr>
              <w:t>污染物排放</w:t>
            </w:r>
          </w:p>
        </w:tc>
        <w:tc>
          <w:tcPr>
            <w:tcW w:w="92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aps w:val="0"/>
                <w:smallCaps w:val="0"/>
                <w:color w:val="auto"/>
                <w:spacing w:val="0"/>
                <w:w w:val="100"/>
                <w:sz w:val="21"/>
                <w:szCs w:val="21"/>
                <w:highlight w:val="none"/>
              </w:rPr>
              <w:t>排放时间（h）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2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2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7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18"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核算方法</w:t>
            </w:r>
          </w:p>
        </w:tc>
        <w:tc>
          <w:tcPr>
            <w:tcW w:w="9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产生速率（kg/h）</w:t>
            </w:r>
          </w:p>
        </w:tc>
        <w:tc>
          <w:tcPr>
            <w:tcW w:w="106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产生浓度（mg/m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p>
        </w:tc>
        <w:tc>
          <w:tcPr>
            <w:tcW w:w="8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产生量</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t/a</w:t>
            </w:r>
            <w:r>
              <w:rPr>
                <w:rFonts w:hint="eastAsia" w:ascii="Times New Roman" w:hAnsi="Times New Roman" w:cs="Times New Roman"/>
                <w:color w:val="auto"/>
                <w:sz w:val="21"/>
                <w:szCs w:val="21"/>
                <w:highlight w:val="none"/>
                <w:vertAlign w:val="baseline"/>
                <w:lang w:val="en-US" w:eastAsia="zh-CN"/>
              </w:rPr>
              <w:t>）</w:t>
            </w:r>
          </w:p>
        </w:tc>
        <w:tc>
          <w:tcPr>
            <w:tcW w:w="14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工艺</w:t>
            </w:r>
          </w:p>
        </w:tc>
        <w:tc>
          <w:tcPr>
            <w:tcW w:w="8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效率%</w:t>
            </w:r>
          </w:p>
        </w:tc>
        <w:tc>
          <w:tcPr>
            <w:tcW w:w="79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排放形式</w:t>
            </w:r>
          </w:p>
        </w:tc>
        <w:tc>
          <w:tcPr>
            <w:tcW w:w="104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w:t>
            </w:r>
            <w:r>
              <w:rPr>
                <w:rFonts w:hint="eastAsia" w:cs="Times New Roman"/>
                <w:color w:val="auto"/>
                <w:sz w:val="21"/>
                <w:szCs w:val="21"/>
                <w:highlight w:val="none"/>
                <w:vertAlign w:val="baseline"/>
                <w:lang w:val="en-US" w:eastAsia="zh-CN"/>
              </w:rPr>
              <w:t>速率（kg/h）</w:t>
            </w:r>
          </w:p>
        </w:tc>
        <w:tc>
          <w:tcPr>
            <w:tcW w:w="10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排放浓度（mg/m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p>
        </w:tc>
        <w:tc>
          <w:tcPr>
            <w:tcW w:w="8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排放量</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t/a</w:t>
            </w:r>
            <w:r>
              <w:rPr>
                <w:rFonts w:hint="eastAsia" w:ascii="Times New Roman" w:hAnsi="Times New Roman" w:cs="Times New Roman"/>
                <w:color w:val="auto"/>
                <w:sz w:val="21"/>
                <w:szCs w:val="21"/>
                <w:highlight w:val="none"/>
                <w:vertAlign w:val="baseline"/>
                <w:lang w:val="en-US" w:eastAsia="zh-CN"/>
              </w:rPr>
              <w:t>）</w:t>
            </w:r>
          </w:p>
        </w:tc>
        <w:tc>
          <w:tcPr>
            <w:tcW w:w="92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2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废水处理</w:t>
            </w:r>
          </w:p>
        </w:tc>
        <w:tc>
          <w:tcPr>
            <w:tcW w:w="822"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预处理车间</w:t>
            </w:r>
          </w:p>
        </w:tc>
        <w:tc>
          <w:tcPr>
            <w:tcW w:w="87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隔油沉砂池</w:t>
            </w:r>
            <w:r>
              <w:rPr>
                <w:rFonts w:hint="eastAsia" w:cs="Times New Roman"/>
                <w:color w:val="auto"/>
                <w:sz w:val="21"/>
                <w:szCs w:val="21"/>
                <w:highlight w:val="none"/>
                <w:vertAlign w:val="baseline"/>
                <w:lang w:val="en-US" w:eastAsia="zh-CN"/>
              </w:rPr>
              <w:t>、压泥机</w:t>
            </w:r>
          </w:p>
        </w:tc>
        <w:tc>
          <w:tcPr>
            <w:tcW w:w="818"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NH</w:t>
            </w:r>
            <w:r>
              <w:rPr>
                <w:rFonts w:hint="eastAsia" w:ascii="Times New Roman" w:hAnsi="Times New Roman" w:cs="Times New Roman"/>
                <w:color w:val="auto"/>
                <w:sz w:val="21"/>
                <w:szCs w:val="21"/>
                <w:highlight w:val="none"/>
                <w:vertAlign w:val="subscript"/>
                <w:lang w:val="en-US" w:eastAsia="zh-CN"/>
              </w:rPr>
              <w:t>3</w:t>
            </w:r>
          </w:p>
        </w:tc>
        <w:tc>
          <w:tcPr>
            <w:tcW w:w="87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系数法</w:t>
            </w:r>
          </w:p>
        </w:tc>
        <w:tc>
          <w:tcPr>
            <w:tcW w:w="95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0.169</w:t>
            </w:r>
          </w:p>
        </w:tc>
        <w:tc>
          <w:tcPr>
            <w:tcW w:w="106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85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1.484</w:t>
            </w:r>
          </w:p>
        </w:tc>
        <w:tc>
          <w:tcPr>
            <w:tcW w:w="14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负压收集+离子除臭设施处理+15m排气筒</w:t>
            </w:r>
          </w:p>
        </w:tc>
        <w:tc>
          <w:tcPr>
            <w:tcW w:w="8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收集90+处理效率95</w:t>
            </w:r>
          </w:p>
        </w:tc>
        <w:tc>
          <w:tcPr>
            <w:tcW w:w="79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有组织</w:t>
            </w:r>
          </w:p>
        </w:tc>
        <w:tc>
          <w:tcPr>
            <w:tcW w:w="104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0.0076</w:t>
            </w:r>
          </w:p>
        </w:tc>
        <w:tc>
          <w:tcPr>
            <w:tcW w:w="10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1.53</w:t>
            </w:r>
          </w:p>
        </w:tc>
        <w:tc>
          <w:tcPr>
            <w:tcW w:w="8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0.067</w:t>
            </w:r>
          </w:p>
        </w:tc>
        <w:tc>
          <w:tcPr>
            <w:tcW w:w="92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8760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2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2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p>
        </w:tc>
        <w:tc>
          <w:tcPr>
            <w:tcW w:w="87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18"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7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95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06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5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p>
        </w:tc>
        <w:tc>
          <w:tcPr>
            <w:tcW w:w="14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79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无组织</w:t>
            </w:r>
          </w:p>
        </w:tc>
        <w:tc>
          <w:tcPr>
            <w:tcW w:w="104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0.017</w:t>
            </w:r>
          </w:p>
        </w:tc>
        <w:tc>
          <w:tcPr>
            <w:tcW w:w="10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w:t>
            </w:r>
          </w:p>
        </w:tc>
        <w:tc>
          <w:tcPr>
            <w:tcW w:w="8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0.1484</w:t>
            </w:r>
          </w:p>
        </w:tc>
        <w:tc>
          <w:tcPr>
            <w:tcW w:w="92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1" w:hRule="atLeast"/>
        </w:trPr>
        <w:tc>
          <w:tcPr>
            <w:tcW w:w="92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2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7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18"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H</w:t>
            </w:r>
            <w:r>
              <w:rPr>
                <w:rFonts w:hint="eastAsia" w:ascii="Times New Roman" w:hAnsi="Times New Roman" w:cs="Times New Roman"/>
                <w:color w:val="auto"/>
                <w:sz w:val="21"/>
                <w:szCs w:val="21"/>
                <w:highlight w:val="none"/>
                <w:vertAlign w:val="subscript"/>
                <w:lang w:val="en-US" w:eastAsia="zh-CN"/>
              </w:rPr>
              <w:t>2</w:t>
            </w:r>
            <w:r>
              <w:rPr>
                <w:rFonts w:hint="eastAsia" w:ascii="Times New Roman" w:hAnsi="Times New Roman" w:cs="Times New Roman"/>
                <w:color w:val="auto"/>
                <w:sz w:val="21"/>
                <w:szCs w:val="21"/>
                <w:highlight w:val="none"/>
                <w:vertAlign w:val="baseline"/>
                <w:lang w:val="en-US" w:eastAsia="zh-CN"/>
              </w:rPr>
              <w:t>S</w:t>
            </w:r>
          </w:p>
        </w:tc>
        <w:tc>
          <w:tcPr>
            <w:tcW w:w="87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系数法</w:t>
            </w:r>
          </w:p>
        </w:tc>
        <w:tc>
          <w:tcPr>
            <w:tcW w:w="95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0.0018</w:t>
            </w:r>
          </w:p>
        </w:tc>
        <w:tc>
          <w:tcPr>
            <w:tcW w:w="106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85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aps w:val="0"/>
                <w:smallCaps w:val="0"/>
                <w:snapToGrid/>
                <w:color w:val="auto"/>
                <w:spacing w:val="0"/>
                <w:w w:val="100"/>
                <w:kern w:val="0"/>
                <w:sz w:val="21"/>
                <w:szCs w:val="21"/>
                <w:highlight w:val="none"/>
                <w:lang w:val="en-US" w:eastAsia="zh-CN" w:bidi="ar-SA"/>
              </w:rPr>
            </w:pPr>
            <w:r>
              <w:rPr>
                <w:rFonts w:hint="eastAsia" w:cs="Times New Roman"/>
                <w:color w:val="auto"/>
                <w:sz w:val="21"/>
                <w:szCs w:val="21"/>
                <w:highlight w:val="none"/>
                <w:vertAlign w:val="baseline"/>
                <w:lang w:val="en-US" w:eastAsia="zh-CN"/>
              </w:rPr>
              <w:t>0.016</w:t>
            </w:r>
          </w:p>
        </w:tc>
        <w:tc>
          <w:tcPr>
            <w:tcW w:w="14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负压收集+离子除臭设施处理+15m排气筒</w:t>
            </w:r>
          </w:p>
        </w:tc>
        <w:tc>
          <w:tcPr>
            <w:tcW w:w="8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收集90+处理效率95</w:t>
            </w:r>
          </w:p>
        </w:tc>
        <w:tc>
          <w:tcPr>
            <w:tcW w:w="79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有组织</w:t>
            </w:r>
          </w:p>
        </w:tc>
        <w:tc>
          <w:tcPr>
            <w:tcW w:w="104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8.22E-05</w:t>
            </w:r>
          </w:p>
        </w:tc>
        <w:tc>
          <w:tcPr>
            <w:tcW w:w="10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0.016</w:t>
            </w:r>
          </w:p>
        </w:tc>
        <w:tc>
          <w:tcPr>
            <w:tcW w:w="8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aps w:val="0"/>
                <w:smallCaps w:val="0"/>
                <w:snapToGrid/>
                <w:color w:val="auto"/>
                <w:spacing w:val="0"/>
                <w:w w:val="100"/>
                <w:kern w:val="0"/>
                <w:sz w:val="21"/>
                <w:szCs w:val="21"/>
                <w:highlight w:val="none"/>
                <w:lang w:val="en-US" w:eastAsia="zh-CN" w:bidi="ar-SA"/>
              </w:rPr>
            </w:pPr>
            <w:r>
              <w:rPr>
                <w:rFonts w:hint="eastAsia" w:cs="Times New Roman"/>
                <w:caps w:val="0"/>
                <w:smallCaps w:val="0"/>
                <w:snapToGrid/>
                <w:color w:val="auto"/>
                <w:spacing w:val="0"/>
                <w:w w:val="100"/>
                <w:kern w:val="0"/>
                <w:sz w:val="21"/>
                <w:szCs w:val="21"/>
                <w:highlight w:val="none"/>
                <w:lang w:val="en-US" w:eastAsia="zh-CN" w:bidi="ar-SA"/>
              </w:rPr>
              <w:t>0.00072</w:t>
            </w:r>
          </w:p>
        </w:tc>
        <w:tc>
          <w:tcPr>
            <w:tcW w:w="92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1" w:hRule="atLeast"/>
        </w:trPr>
        <w:tc>
          <w:tcPr>
            <w:tcW w:w="92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82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87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818"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87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95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106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85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14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t>
            </w:r>
          </w:p>
        </w:tc>
        <w:tc>
          <w:tcPr>
            <w:tcW w:w="8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t>
            </w:r>
          </w:p>
        </w:tc>
        <w:tc>
          <w:tcPr>
            <w:tcW w:w="79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无组织</w:t>
            </w:r>
          </w:p>
        </w:tc>
        <w:tc>
          <w:tcPr>
            <w:tcW w:w="104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0.0002</w:t>
            </w:r>
          </w:p>
        </w:tc>
        <w:tc>
          <w:tcPr>
            <w:tcW w:w="10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8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0.0016</w:t>
            </w:r>
          </w:p>
        </w:tc>
        <w:tc>
          <w:tcPr>
            <w:tcW w:w="92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2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2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7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1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非甲烷总烃</w:t>
            </w:r>
          </w:p>
        </w:tc>
        <w:tc>
          <w:tcPr>
            <w:tcW w:w="8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系数法</w:t>
            </w:r>
          </w:p>
        </w:tc>
        <w:tc>
          <w:tcPr>
            <w:tcW w:w="9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0.0009</w:t>
            </w:r>
          </w:p>
        </w:tc>
        <w:tc>
          <w:tcPr>
            <w:tcW w:w="106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aps w:val="0"/>
                <w:smallCaps w:val="0"/>
                <w:snapToGrid/>
                <w:color w:val="auto"/>
                <w:spacing w:val="0"/>
                <w:w w:val="100"/>
                <w:kern w:val="0"/>
                <w:sz w:val="21"/>
                <w:szCs w:val="21"/>
                <w:highlight w:val="none"/>
                <w:lang w:val="en-US" w:eastAsia="zh-CN" w:bidi="ar-SA"/>
              </w:rPr>
            </w:pPr>
            <w:r>
              <w:rPr>
                <w:rFonts w:hint="eastAsia" w:cs="Times New Roman"/>
                <w:caps w:val="0"/>
                <w:smallCaps w:val="0"/>
                <w:snapToGrid/>
                <w:color w:val="auto"/>
                <w:spacing w:val="0"/>
                <w:w w:val="100"/>
                <w:kern w:val="0"/>
                <w:sz w:val="21"/>
                <w:szCs w:val="21"/>
                <w:highlight w:val="none"/>
                <w:lang w:val="en-US" w:eastAsia="zh-CN" w:bidi="ar-SA"/>
              </w:rPr>
              <w:t>0.0082</w:t>
            </w:r>
          </w:p>
        </w:tc>
        <w:tc>
          <w:tcPr>
            <w:tcW w:w="14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79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系数法</w:t>
            </w:r>
          </w:p>
        </w:tc>
        <w:tc>
          <w:tcPr>
            <w:tcW w:w="104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0.0009</w:t>
            </w:r>
          </w:p>
        </w:tc>
        <w:tc>
          <w:tcPr>
            <w:tcW w:w="10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1"/>
                <w:szCs w:val="21"/>
                <w:highlight w:val="none"/>
                <w:lang w:val="en-US" w:eastAsia="zh-CN" w:bidi="ar-SA"/>
              </w:rPr>
              <w:t>0.00</w:t>
            </w:r>
            <w:r>
              <w:rPr>
                <w:rFonts w:hint="eastAsia" w:cs="Times New Roman"/>
                <w:caps w:val="0"/>
                <w:smallCaps w:val="0"/>
                <w:snapToGrid/>
                <w:color w:val="auto"/>
                <w:spacing w:val="0"/>
                <w:w w:val="100"/>
                <w:kern w:val="0"/>
                <w:sz w:val="21"/>
                <w:szCs w:val="21"/>
                <w:highlight w:val="none"/>
                <w:lang w:val="en-US" w:eastAsia="zh-CN" w:bidi="ar-SA"/>
              </w:rPr>
              <w:t>82</w:t>
            </w:r>
          </w:p>
        </w:tc>
        <w:tc>
          <w:tcPr>
            <w:tcW w:w="92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atLeast"/>
        </w:trPr>
        <w:tc>
          <w:tcPr>
            <w:tcW w:w="92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处理达标中水存储</w:t>
            </w:r>
          </w:p>
        </w:tc>
        <w:tc>
          <w:tcPr>
            <w:tcW w:w="82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储液池</w:t>
            </w:r>
          </w:p>
        </w:tc>
        <w:tc>
          <w:tcPr>
            <w:tcW w:w="8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1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非甲烷总烃</w:t>
            </w:r>
          </w:p>
        </w:tc>
        <w:tc>
          <w:tcPr>
            <w:tcW w:w="8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系数法</w:t>
            </w:r>
          </w:p>
        </w:tc>
        <w:tc>
          <w:tcPr>
            <w:tcW w:w="9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0.0005</w:t>
            </w:r>
          </w:p>
        </w:tc>
        <w:tc>
          <w:tcPr>
            <w:tcW w:w="106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0.00</w:t>
            </w:r>
            <w:r>
              <w:rPr>
                <w:rFonts w:hint="eastAsia" w:cs="Times New Roman"/>
                <w:color w:val="auto"/>
                <w:highlight w:val="none"/>
                <w:vertAlign w:val="baseline"/>
                <w:lang w:val="en-US" w:eastAsia="zh-CN"/>
              </w:rPr>
              <w:t>4</w:t>
            </w:r>
          </w:p>
        </w:tc>
        <w:tc>
          <w:tcPr>
            <w:tcW w:w="14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t>
            </w:r>
          </w:p>
        </w:tc>
        <w:tc>
          <w:tcPr>
            <w:tcW w:w="8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t>
            </w:r>
          </w:p>
        </w:tc>
        <w:tc>
          <w:tcPr>
            <w:tcW w:w="79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系数法</w:t>
            </w:r>
          </w:p>
        </w:tc>
        <w:tc>
          <w:tcPr>
            <w:tcW w:w="104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0.0005</w:t>
            </w:r>
          </w:p>
        </w:tc>
        <w:tc>
          <w:tcPr>
            <w:tcW w:w="10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0.00</w:t>
            </w:r>
            <w:r>
              <w:rPr>
                <w:rFonts w:hint="eastAsia" w:cs="Times New Roman"/>
                <w:color w:val="auto"/>
                <w:highlight w:val="none"/>
                <w:vertAlign w:val="baseline"/>
                <w:lang w:val="en-US" w:eastAsia="zh-CN"/>
              </w:rPr>
              <w:t>4</w:t>
            </w:r>
          </w:p>
        </w:tc>
        <w:tc>
          <w:tcPr>
            <w:tcW w:w="92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8760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2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污油存储及装卸</w:t>
            </w:r>
          </w:p>
        </w:tc>
        <w:tc>
          <w:tcPr>
            <w:tcW w:w="82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污油储罐</w:t>
            </w:r>
          </w:p>
        </w:tc>
        <w:tc>
          <w:tcPr>
            <w:tcW w:w="8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1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非甲烷总烃</w:t>
            </w:r>
          </w:p>
        </w:tc>
        <w:tc>
          <w:tcPr>
            <w:tcW w:w="8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公式法</w:t>
            </w:r>
          </w:p>
        </w:tc>
        <w:tc>
          <w:tcPr>
            <w:tcW w:w="9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0.013</w:t>
            </w:r>
          </w:p>
        </w:tc>
        <w:tc>
          <w:tcPr>
            <w:tcW w:w="106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0.11</w:t>
            </w:r>
          </w:p>
        </w:tc>
        <w:tc>
          <w:tcPr>
            <w:tcW w:w="14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w:t>
            </w:r>
          </w:p>
        </w:tc>
        <w:tc>
          <w:tcPr>
            <w:tcW w:w="8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79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公式法</w:t>
            </w:r>
          </w:p>
        </w:tc>
        <w:tc>
          <w:tcPr>
            <w:tcW w:w="104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0.013</w:t>
            </w:r>
          </w:p>
        </w:tc>
        <w:tc>
          <w:tcPr>
            <w:tcW w:w="10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0.11</w:t>
            </w:r>
          </w:p>
        </w:tc>
        <w:tc>
          <w:tcPr>
            <w:tcW w:w="92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8760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2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食堂运行</w:t>
            </w:r>
          </w:p>
        </w:tc>
        <w:tc>
          <w:tcPr>
            <w:tcW w:w="82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食堂</w:t>
            </w:r>
          </w:p>
        </w:tc>
        <w:tc>
          <w:tcPr>
            <w:tcW w:w="8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1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饮食业油烟</w:t>
            </w:r>
          </w:p>
        </w:tc>
        <w:tc>
          <w:tcPr>
            <w:tcW w:w="8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系数法</w:t>
            </w:r>
          </w:p>
        </w:tc>
        <w:tc>
          <w:tcPr>
            <w:tcW w:w="9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0.0006</w:t>
            </w:r>
          </w:p>
        </w:tc>
        <w:tc>
          <w:tcPr>
            <w:tcW w:w="106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0.0009</w:t>
            </w:r>
          </w:p>
        </w:tc>
        <w:tc>
          <w:tcPr>
            <w:tcW w:w="143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集气罩+油烟净化器+专用烟道高于屋顶排放</w:t>
            </w:r>
          </w:p>
        </w:tc>
        <w:tc>
          <w:tcPr>
            <w:tcW w:w="8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收集90+处理效率60</w:t>
            </w:r>
          </w:p>
        </w:tc>
        <w:tc>
          <w:tcPr>
            <w:tcW w:w="79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系数法</w:t>
            </w:r>
          </w:p>
        </w:tc>
        <w:tc>
          <w:tcPr>
            <w:tcW w:w="104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0.0002</w:t>
            </w:r>
          </w:p>
        </w:tc>
        <w:tc>
          <w:tcPr>
            <w:tcW w:w="10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0.44</w:t>
            </w:r>
          </w:p>
        </w:tc>
        <w:tc>
          <w:tcPr>
            <w:tcW w:w="8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0.0003</w:t>
            </w:r>
          </w:p>
        </w:tc>
        <w:tc>
          <w:tcPr>
            <w:tcW w:w="92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1460</w:t>
            </w:r>
          </w:p>
        </w:tc>
      </w:tr>
    </w:tbl>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表3.</w:t>
      </w:r>
      <w:r>
        <w:rPr>
          <w:rFonts w:hint="eastAsia" w:cs="Times New Roman"/>
          <w:b/>
          <w:bCs/>
          <w:caps w:val="0"/>
          <w:smallCaps w:val="0"/>
          <w:snapToGrid/>
          <w:color w:val="auto"/>
          <w:spacing w:val="0"/>
          <w:w w:val="100"/>
          <w:kern w:val="0"/>
          <w:sz w:val="21"/>
          <w:szCs w:val="21"/>
          <w:highlight w:val="none"/>
          <w:lang w:val="en-US" w:eastAsia="zh-CN" w:bidi="ar-SA"/>
        </w:rPr>
        <w:t>4-9</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运行期间废水产排情况</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90"/>
        <w:gridCol w:w="655"/>
        <w:gridCol w:w="818"/>
        <w:gridCol w:w="709"/>
        <w:gridCol w:w="777"/>
        <w:gridCol w:w="873"/>
        <w:gridCol w:w="968"/>
        <w:gridCol w:w="1064"/>
        <w:gridCol w:w="2659"/>
        <w:gridCol w:w="914"/>
        <w:gridCol w:w="954"/>
        <w:gridCol w:w="1024"/>
        <w:gridCol w:w="856"/>
        <w:gridCol w:w="101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9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工序</w:t>
            </w:r>
          </w:p>
        </w:tc>
        <w:tc>
          <w:tcPr>
            <w:tcW w:w="65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装置</w:t>
            </w:r>
          </w:p>
        </w:tc>
        <w:tc>
          <w:tcPr>
            <w:tcW w:w="818"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污染源</w:t>
            </w:r>
          </w:p>
        </w:tc>
        <w:tc>
          <w:tcPr>
            <w:tcW w:w="70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污染物</w:t>
            </w:r>
          </w:p>
        </w:tc>
        <w:tc>
          <w:tcPr>
            <w:tcW w:w="3682"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污染物产生</w:t>
            </w:r>
          </w:p>
        </w:tc>
        <w:tc>
          <w:tcPr>
            <w:tcW w:w="265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治理措施</w:t>
            </w:r>
          </w:p>
        </w:tc>
        <w:tc>
          <w:tcPr>
            <w:tcW w:w="3748"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污染物排放</w:t>
            </w:r>
          </w:p>
        </w:tc>
        <w:tc>
          <w:tcPr>
            <w:tcW w:w="101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排放时间（d）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9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18"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70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77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核算方法</w:t>
            </w:r>
          </w:p>
        </w:tc>
        <w:tc>
          <w:tcPr>
            <w:tcW w:w="8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产生废水量</w:t>
            </w:r>
          </w:p>
        </w:tc>
        <w:tc>
          <w:tcPr>
            <w:tcW w:w="96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浓度（mg/L）</w:t>
            </w:r>
          </w:p>
        </w:tc>
        <w:tc>
          <w:tcPr>
            <w:tcW w:w="10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产生量（</w:t>
            </w: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/a</w:t>
            </w:r>
            <w:r>
              <w:rPr>
                <w:rFonts w:hint="default" w:ascii="Times New Roman" w:hAnsi="Times New Roman" w:cs="Times New Roman"/>
                <w:color w:val="auto"/>
                <w:sz w:val="21"/>
                <w:szCs w:val="21"/>
                <w:highlight w:val="none"/>
                <w:vertAlign w:val="baseline"/>
                <w:lang w:val="en-US" w:eastAsia="zh-CN"/>
              </w:rPr>
              <w:t>）</w:t>
            </w:r>
          </w:p>
        </w:tc>
        <w:tc>
          <w:tcPr>
            <w:tcW w:w="265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9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核算方法</w:t>
            </w:r>
          </w:p>
        </w:tc>
        <w:tc>
          <w:tcPr>
            <w:tcW w:w="95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排放废水量（</w:t>
            </w:r>
            <w:r>
              <w:rPr>
                <w:rFonts w:hint="eastAsia" w:ascii="Times New Roman" w:hAnsi="Times New Roman" w:cs="Times New Roman"/>
                <w:color w:val="auto"/>
                <w:sz w:val="21"/>
                <w:szCs w:val="21"/>
                <w:highlight w:val="none"/>
                <w:vertAlign w:val="baseline"/>
                <w:lang w:val="en-US" w:eastAsia="zh-CN"/>
              </w:rPr>
              <w:t>万</w:t>
            </w:r>
            <w:r>
              <w:rPr>
                <w:rFonts w:hint="default" w:ascii="Times New Roman" w:hAnsi="Times New Roman" w:cs="Times New Roman"/>
                <w:color w:val="auto"/>
                <w:sz w:val="21"/>
                <w:szCs w:val="21"/>
                <w:highlight w:val="none"/>
                <w:vertAlign w:val="baseli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/a</w:t>
            </w:r>
            <w:r>
              <w:rPr>
                <w:rFonts w:hint="default" w:ascii="Times New Roman" w:hAnsi="Times New Roman" w:cs="Times New Roman"/>
                <w:color w:val="auto"/>
                <w:sz w:val="21"/>
                <w:szCs w:val="21"/>
                <w:highlight w:val="none"/>
                <w:vertAlign w:val="baseline"/>
                <w:lang w:val="en-US" w:eastAsia="zh-CN"/>
              </w:rPr>
              <w:t>）</w:t>
            </w:r>
          </w:p>
        </w:tc>
        <w:tc>
          <w:tcPr>
            <w:tcW w:w="102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排放浓度</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（mg/L）</w:t>
            </w:r>
          </w:p>
        </w:tc>
        <w:tc>
          <w:tcPr>
            <w:tcW w:w="85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排放量（</w:t>
            </w:r>
            <w:r>
              <w:rPr>
                <w:rFonts w:hint="eastAsia" w:ascii="Times New Roman" w:hAnsi="Times New Roman" w:cs="Times New Roman"/>
                <w:color w:val="auto"/>
                <w:sz w:val="21"/>
                <w:szCs w:val="21"/>
                <w:highlight w:val="none"/>
                <w:vertAlign w:val="baseline"/>
                <w:lang w:val="en-US" w:eastAsia="zh-CN"/>
              </w:rPr>
              <w:t>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/a</w:t>
            </w:r>
            <w:r>
              <w:rPr>
                <w:rFonts w:hint="default" w:ascii="Times New Roman" w:hAnsi="Times New Roman" w:cs="Times New Roman"/>
                <w:color w:val="auto"/>
                <w:sz w:val="21"/>
                <w:szCs w:val="21"/>
                <w:highlight w:val="none"/>
                <w:vertAlign w:val="baseline"/>
                <w:lang w:val="en-US" w:eastAsia="zh-CN"/>
              </w:rPr>
              <w:t>）</w:t>
            </w:r>
          </w:p>
        </w:tc>
        <w:tc>
          <w:tcPr>
            <w:tcW w:w="101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50" w:hRule="atLeast"/>
        </w:trPr>
        <w:tc>
          <w:tcPr>
            <w:tcW w:w="89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降雨</w:t>
            </w:r>
          </w:p>
        </w:tc>
        <w:tc>
          <w:tcPr>
            <w:tcW w:w="6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81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初期雨水</w:t>
            </w:r>
          </w:p>
        </w:tc>
        <w:tc>
          <w:tcPr>
            <w:tcW w:w="709" w:type="dxa"/>
            <w:tcBorders>
              <w:tl2br w:val="nil"/>
              <w:tr2bl w:val="nil"/>
            </w:tcBorders>
            <w:vAlign w:val="center"/>
          </w:tcPr>
          <w:p>
            <w:pPr>
              <w:pageBreakBefore w:val="0"/>
              <w:widowControl/>
              <w:bidi w:val="0"/>
              <w:spacing w:line="360" w:lineRule="auto"/>
              <w:ind w:firstLine="0" w:firstLineChars="0"/>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aps w:val="0"/>
                <w:smallCaps w:val="0"/>
                <w:color w:val="auto"/>
                <w:spacing w:val="0"/>
                <w:w w:val="100"/>
                <w:sz w:val="21"/>
                <w:szCs w:val="21"/>
                <w:highlight w:val="none"/>
                <w:lang w:val="en-US" w:eastAsia="zh-CN"/>
              </w:rPr>
              <w:t>石油类</w:t>
            </w:r>
          </w:p>
        </w:tc>
        <w:tc>
          <w:tcPr>
            <w:tcW w:w="77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公式法</w:t>
            </w:r>
          </w:p>
        </w:tc>
        <w:tc>
          <w:tcPr>
            <w:tcW w:w="8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201.2m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/次</w:t>
            </w:r>
          </w:p>
        </w:tc>
        <w:tc>
          <w:tcPr>
            <w:tcW w:w="96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0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659" w:type="dxa"/>
            <w:tcBorders>
              <w:tl2br w:val="nil"/>
              <w:tr2bl w:val="nil"/>
            </w:tcBorders>
            <w:vAlign w:val="center"/>
          </w:tcPr>
          <w:p>
            <w:pPr>
              <w:pageBreakBefore w:val="0"/>
              <w:widowControl/>
              <w:bidi w:val="0"/>
              <w:spacing w:line="360" w:lineRule="auto"/>
              <w:ind w:firstLine="0" w:firstLineChars="0"/>
              <w:jc w:val="both"/>
              <w:rPr>
                <w:rFonts w:hint="default" w:ascii="Times New Roman" w:hAnsi="Times New Roman" w:eastAsia="宋体" w:cs="Times New Roman"/>
                <w:caps w:val="0"/>
                <w:smallCaps w:val="0"/>
                <w:color w:val="auto"/>
                <w:spacing w:val="0"/>
                <w:w w:val="10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lang w:val="en-US" w:eastAsia="zh-CN"/>
              </w:rPr>
              <w:t>暂存在初期雨水收集池内，再进入站内废水处理系统，经处理达标后，回用于页岩油试验区压裂复配</w:t>
            </w:r>
          </w:p>
        </w:tc>
        <w:tc>
          <w:tcPr>
            <w:tcW w:w="9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公式法</w:t>
            </w:r>
          </w:p>
        </w:tc>
        <w:tc>
          <w:tcPr>
            <w:tcW w:w="95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02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5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0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50" w:hRule="atLeast"/>
        </w:trPr>
        <w:tc>
          <w:tcPr>
            <w:tcW w:w="89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污泥</w:t>
            </w:r>
            <w:r>
              <w:rPr>
                <w:rFonts w:hint="default" w:ascii="Times New Roman" w:hAnsi="Times New Roman" w:cs="Times New Roman"/>
                <w:color w:val="auto"/>
                <w:sz w:val="21"/>
                <w:szCs w:val="21"/>
                <w:highlight w:val="none"/>
                <w:vertAlign w:val="baseline"/>
                <w:lang w:val="en-US" w:eastAsia="zh-CN"/>
              </w:rPr>
              <w:t>离心</w:t>
            </w:r>
          </w:p>
        </w:tc>
        <w:tc>
          <w:tcPr>
            <w:tcW w:w="6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压泥</w:t>
            </w:r>
            <w:r>
              <w:rPr>
                <w:rFonts w:hint="eastAsia" w:ascii="Times New Roman" w:hAnsi="Times New Roman" w:eastAsia="宋体" w:cs="Times New Roman"/>
                <w:color w:val="auto"/>
                <w:sz w:val="21"/>
                <w:szCs w:val="21"/>
                <w:highlight w:val="none"/>
                <w:vertAlign w:val="baseline"/>
                <w:lang w:val="en-US" w:eastAsia="zh-CN"/>
              </w:rPr>
              <w:t>机</w:t>
            </w:r>
          </w:p>
        </w:tc>
        <w:tc>
          <w:tcPr>
            <w:tcW w:w="818" w:type="dxa"/>
            <w:tcBorders>
              <w:tl2br w:val="nil"/>
              <w:tr2bl w:val="nil"/>
            </w:tcBorders>
            <w:vAlign w:val="center"/>
          </w:tcPr>
          <w:p>
            <w:pPr>
              <w:pageBreakBefore w:val="0"/>
              <w:widowControl/>
              <w:bidi w:val="0"/>
              <w:spacing w:line="360" w:lineRule="auto"/>
              <w:ind w:firstLine="0" w:firstLineChars="0"/>
              <w:jc w:val="center"/>
              <w:rPr>
                <w:rFonts w:hint="default" w:ascii="Times New Roman" w:hAnsi="Times New Roman" w:eastAsia="宋体" w:cs="Times New Roman"/>
                <w:caps w:val="0"/>
                <w:smallCaps w:val="0"/>
                <w:color w:val="auto"/>
                <w:spacing w:val="0"/>
                <w:w w:val="100"/>
                <w:sz w:val="21"/>
                <w:szCs w:val="21"/>
                <w:highlight w:val="none"/>
                <w:lang w:val="en-US" w:eastAsia="zh-CN"/>
              </w:rPr>
            </w:pPr>
            <w:r>
              <w:rPr>
                <w:rFonts w:hint="eastAsia" w:ascii="Times New Roman" w:hAnsi="Times New Roman" w:eastAsia="宋体" w:cs="Times New Roman"/>
                <w:caps w:val="0"/>
                <w:smallCaps w:val="0"/>
                <w:color w:val="auto"/>
                <w:spacing w:val="0"/>
                <w:w w:val="100"/>
                <w:sz w:val="21"/>
                <w:szCs w:val="21"/>
                <w:highlight w:val="none"/>
                <w:lang w:val="en-US" w:eastAsia="zh-CN"/>
              </w:rPr>
              <w:t>离心浓缩废水</w:t>
            </w:r>
          </w:p>
        </w:tc>
        <w:tc>
          <w:tcPr>
            <w:tcW w:w="709" w:type="dxa"/>
            <w:tcBorders>
              <w:tl2br w:val="nil"/>
              <w:tr2bl w:val="nil"/>
            </w:tcBorders>
            <w:vAlign w:val="center"/>
          </w:tcPr>
          <w:p>
            <w:pPr>
              <w:pageBreakBefore w:val="0"/>
              <w:widowControl/>
              <w:bidi w:val="0"/>
              <w:spacing w:line="360" w:lineRule="auto"/>
              <w:ind w:firstLine="0" w:firstLineChars="0"/>
              <w:jc w:val="center"/>
              <w:rPr>
                <w:rFonts w:hint="default" w:ascii="Times New Roman" w:hAnsi="Times New Roman" w:eastAsia="宋体" w:cs="Times New Roman"/>
                <w:caps w:val="0"/>
                <w:smallCaps w:val="0"/>
                <w:color w:val="auto"/>
                <w:spacing w:val="0"/>
                <w:w w:val="100"/>
                <w:sz w:val="21"/>
                <w:szCs w:val="21"/>
                <w:highlight w:val="none"/>
                <w:lang w:val="en-US" w:eastAsia="zh-CN"/>
              </w:rPr>
            </w:pPr>
            <w:r>
              <w:rPr>
                <w:rFonts w:hint="eastAsia" w:ascii="Times New Roman" w:hAnsi="Times New Roman" w:eastAsia="宋体" w:cs="Times New Roman"/>
                <w:caps w:val="0"/>
                <w:smallCaps w:val="0"/>
                <w:color w:val="auto"/>
                <w:spacing w:val="0"/>
                <w:w w:val="100"/>
                <w:sz w:val="21"/>
                <w:szCs w:val="21"/>
                <w:highlight w:val="none"/>
                <w:lang w:val="en-US" w:eastAsia="zh-CN"/>
              </w:rPr>
              <w:t>石油类、SS</w:t>
            </w:r>
          </w:p>
        </w:tc>
        <w:tc>
          <w:tcPr>
            <w:tcW w:w="77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公式法</w:t>
            </w:r>
          </w:p>
        </w:tc>
        <w:tc>
          <w:tcPr>
            <w:tcW w:w="8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211.5t/a</w:t>
            </w:r>
          </w:p>
        </w:tc>
        <w:tc>
          <w:tcPr>
            <w:tcW w:w="96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0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2659" w:type="dxa"/>
            <w:tcBorders>
              <w:tl2br w:val="nil"/>
              <w:tr2bl w:val="nil"/>
            </w:tcBorders>
            <w:vAlign w:val="center"/>
          </w:tcPr>
          <w:p>
            <w:pPr>
              <w:pageBreakBefore w:val="0"/>
              <w:widowControl/>
              <w:bidi w:val="0"/>
              <w:spacing w:line="360" w:lineRule="auto"/>
              <w:ind w:firstLine="0" w:firstLineChars="0"/>
              <w:jc w:val="both"/>
              <w:rPr>
                <w:rFonts w:hint="default" w:ascii="Times New Roman" w:hAnsi="Times New Roman" w:eastAsia="宋体" w:cs="Times New Roman"/>
                <w:caps w:val="0"/>
                <w:smallCaps w:val="0"/>
                <w:color w:val="auto"/>
                <w:spacing w:val="0"/>
                <w:w w:val="10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lang w:val="en-US" w:eastAsia="zh-CN"/>
              </w:rPr>
              <w:t>进入站内废水处理系统，经处理达标后，回用于页岩油试验区压裂复配</w:t>
            </w:r>
          </w:p>
        </w:tc>
        <w:tc>
          <w:tcPr>
            <w:tcW w:w="9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公式法</w:t>
            </w:r>
          </w:p>
        </w:tc>
        <w:tc>
          <w:tcPr>
            <w:tcW w:w="95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02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5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0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50" w:hRule="atLeast"/>
        </w:trPr>
        <w:tc>
          <w:tcPr>
            <w:tcW w:w="89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废水处理</w:t>
            </w:r>
          </w:p>
        </w:tc>
        <w:tc>
          <w:tcPr>
            <w:tcW w:w="65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818" w:type="dxa"/>
            <w:vMerge w:val="restart"/>
            <w:tcBorders>
              <w:tl2br w:val="nil"/>
              <w:tr2bl w:val="nil"/>
            </w:tcBorders>
            <w:vAlign w:val="center"/>
          </w:tcPr>
          <w:p>
            <w:pPr>
              <w:pageBreakBefore w:val="0"/>
              <w:widowControl/>
              <w:bidi w:val="0"/>
              <w:spacing w:line="360" w:lineRule="auto"/>
              <w:ind w:firstLine="0" w:firstLineChars="0"/>
              <w:jc w:val="both"/>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站内处理达标水</w:t>
            </w:r>
          </w:p>
        </w:tc>
        <w:tc>
          <w:tcPr>
            <w:tcW w:w="709" w:type="dxa"/>
            <w:tcBorders>
              <w:tl2br w:val="nil"/>
              <w:tr2bl w:val="nil"/>
            </w:tcBorders>
            <w:vAlign w:val="center"/>
          </w:tcPr>
          <w:p>
            <w:pPr>
              <w:pageBreakBefore w:val="0"/>
              <w:widowControl/>
              <w:bidi w:val="0"/>
              <w:spacing w:line="360" w:lineRule="auto"/>
              <w:ind w:firstLine="0" w:firstLineChars="0"/>
              <w:jc w:val="center"/>
              <w:rPr>
                <w:rFonts w:hint="eastAsia" w:cs="Times New Roman"/>
                <w:caps w:val="0"/>
                <w:smallCaps w:val="0"/>
                <w:color w:val="auto"/>
                <w:spacing w:val="0"/>
                <w:w w:val="100"/>
                <w:sz w:val="21"/>
                <w:szCs w:val="21"/>
                <w:highlight w:val="none"/>
                <w:lang w:val="en-US" w:eastAsia="zh-CN"/>
              </w:rPr>
            </w:pPr>
            <w:r>
              <w:rPr>
                <w:rFonts w:hint="eastAsia" w:ascii="Times New Roman" w:hAnsi="Times New Roman" w:eastAsia="宋体" w:cs="Times New Roman"/>
                <w:caps w:val="0"/>
                <w:smallCaps w:val="0"/>
                <w:color w:val="auto"/>
                <w:spacing w:val="0"/>
                <w:w w:val="100"/>
                <w:sz w:val="21"/>
                <w:szCs w:val="21"/>
                <w:highlight w:val="none"/>
                <w:lang w:val="en-US" w:eastAsia="zh-CN"/>
              </w:rPr>
              <w:t>石油类</w:t>
            </w:r>
          </w:p>
        </w:tc>
        <w:tc>
          <w:tcPr>
            <w:tcW w:w="77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87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164.25万m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/a</w:t>
            </w:r>
          </w:p>
        </w:tc>
        <w:tc>
          <w:tcPr>
            <w:tcW w:w="96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20</w:t>
            </w:r>
          </w:p>
        </w:tc>
        <w:tc>
          <w:tcPr>
            <w:tcW w:w="10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32.85</w:t>
            </w:r>
          </w:p>
        </w:tc>
        <w:tc>
          <w:tcPr>
            <w:tcW w:w="2659" w:type="dxa"/>
            <w:vMerge w:val="restart"/>
            <w:tcBorders>
              <w:tl2br w:val="nil"/>
              <w:tr2bl w:val="nil"/>
            </w:tcBorders>
            <w:vAlign w:val="center"/>
          </w:tcPr>
          <w:p>
            <w:pPr>
              <w:pageBreakBefore w:val="0"/>
              <w:widowControl/>
              <w:bidi w:val="0"/>
              <w:spacing w:line="360" w:lineRule="auto"/>
              <w:ind w:firstLine="0" w:firstLineChars="0"/>
              <w:jc w:val="both"/>
              <w:rPr>
                <w:rFonts w:hint="default" w:ascii="Times New Roman" w:hAnsi="Times New Roman" w:eastAsia="宋体" w:cs="Times New Roman"/>
                <w:caps w:val="0"/>
                <w:smallCaps w:val="0"/>
                <w:color w:val="auto"/>
                <w:spacing w:val="0"/>
                <w:w w:val="10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lang w:val="en-US" w:eastAsia="zh-CN"/>
              </w:rPr>
              <w:t>满足《大庆油田地面工程建设设计规定》（Q/SYDQ0639-2015）“含油量≤20mg/L、悬浮固体含量≤20mg/L”，回用于页岩油试验区压裂复配</w:t>
            </w:r>
          </w:p>
        </w:tc>
        <w:tc>
          <w:tcPr>
            <w:tcW w:w="9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95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02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5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01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8760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50" w:hRule="atLeast"/>
        </w:trPr>
        <w:tc>
          <w:tcPr>
            <w:tcW w:w="89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65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818" w:type="dxa"/>
            <w:vMerge w:val="continue"/>
            <w:tcBorders>
              <w:tl2br w:val="nil"/>
              <w:tr2bl w:val="nil"/>
            </w:tcBorders>
            <w:vAlign w:val="center"/>
          </w:tcPr>
          <w:p>
            <w:pPr>
              <w:pageBreakBefore w:val="0"/>
              <w:widowControl/>
              <w:bidi w:val="0"/>
              <w:spacing w:line="360" w:lineRule="auto"/>
              <w:ind w:firstLine="0" w:firstLineChars="0"/>
              <w:jc w:val="both"/>
              <w:rPr>
                <w:rFonts w:hint="default" w:ascii="Times New Roman" w:hAnsi="Times New Roman" w:cs="Times New Roman"/>
                <w:color w:val="auto"/>
                <w:sz w:val="21"/>
                <w:szCs w:val="21"/>
                <w:highlight w:val="none"/>
                <w:vertAlign w:val="baseline"/>
                <w:lang w:val="en-US" w:eastAsia="zh-CN"/>
              </w:rPr>
            </w:pPr>
          </w:p>
        </w:tc>
        <w:tc>
          <w:tcPr>
            <w:tcW w:w="709" w:type="dxa"/>
            <w:tcBorders>
              <w:tl2br w:val="nil"/>
              <w:tr2bl w:val="nil"/>
            </w:tcBorders>
            <w:vAlign w:val="center"/>
          </w:tcPr>
          <w:p>
            <w:pPr>
              <w:pageBreakBefore w:val="0"/>
              <w:widowControl/>
              <w:bidi w:val="0"/>
              <w:spacing w:line="360" w:lineRule="auto"/>
              <w:ind w:firstLine="0" w:firstLineChars="0"/>
              <w:jc w:val="center"/>
              <w:rPr>
                <w:rFonts w:hint="eastAsia" w:ascii="Times New Roman" w:hAnsi="Times New Roman" w:eastAsia="宋体" w:cs="Times New Roman"/>
                <w:caps w:val="0"/>
                <w:smallCaps w:val="0"/>
                <w:color w:val="auto"/>
                <w:spacing w:val="0"/>
                <w:w w:val="100"/>
                <w:sz w:val="21"/>
                <w:szCs w:val="21"/>
                <w:highlight w:val="none"/>
                <w:lang w:val="en-US" w:eastAsia="zh-CN"/>
              </w:rPr>
            </w:pPr>
            <w:r>
              <w:rPr>
                <w:rFonts w:hint="eastAsia" w:ascii="Times New Roman" w:hAnsi="Times New Roman" w:eastAsia="宋体" w:cs="Times New Roman"/>
                <w:caps w:val="0"/>
                <w:smallCaps w:val="0"/>
                <w:color w:val="auto"/>
                <w:spacing w:val="0"/>
                <w:w w:val="100"/>
                <w:sz w:val="21"/>
                <w:szCs w:val="21"/>
                <w:highlight w:val="none"/>
                <w:lang w:val="en-US" w:eastAsia="zh-CN"/>
              </w:rPr>
              <w:t>SS</w:t>
            </w:r>
          </w:p>
        </w:tc>
        <w:tc>
          <w:tcPr>
            <w:tcW w:w="77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87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96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20</w:t>
            </w:r>
          </w:p>
        </w:tc>
        <w:tc>
          <w:tcPr>
            <w:tcW w:w="10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32.85</w:t>
            </w:r>
          </w:p>
        </w:tc>
        <w:tc>
          <w:tcPr>
            <w:tcW w:w="2659" w:type="dxa"/>
            <w:vMerge w:val="continue"/>
            <w:tcBorders>
              <w:tl2br w:val="nil"/>
              <w:tr2bl w:val="nil"/>
            </w:tcBorders>
            <w:vAlign w:val="center"/>
          </w:tcPr>
          <w:p>
            <w:pPr>
              <w:pageBreakBefore w:val="0"/>
              <w:widowControl/>
              <w:bidi w:val="0"/>
              <w:spacing w:line="360" w:lineRule="auto"/>
              <w:ind w:firstLine="0" w:firstLineChars="0"/>
              <w:jc w:val="both"/>
              <w:rPr>
                <w:rFonts w:hint="default" w:ascii="Times New Roman" w:hAnsi="Times New Roman" w:eastAsia="宋体" w:cs="Times New Roman"/>
                <w:caps w:val="0"/>
                <w:smallCaps w:val="0"/>
                <w:color w:val="auto"/>
                <w:spacing w:val="0"/>
                <w:w w:val="100"/>
                <w:sz w:val="21"/>
                <w:szCs w:val="21"/>
                <w:highlight w:val="none"/>
                <w:lang w:val="en-US" w:eastAsia="zh-CN"/>
              </w:rPr>
            </w:pPr>
          </w:p>
        </w:tc>
        <w:tc>
          <w:tcPr>
            <w:tcW w:w="9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95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102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85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01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50" w:hRule="atLeast"/>
        </w:trPr>
        <w:tc>
          <w:tcPr>
            <w:tcW w:w="89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站内运维人员</w:t>
            </w:r>
          </w:p>
        </w:tc>
        <w:tc>
          <w:tcPr>
            <w:tcW w:w="6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818" w:type="dxa"/>
            <w:tcBorders>
              <w:tl2br w:val="nil"/>
              <w:tr2bl w:val="nil"/>
            </w:tcBorders>
            <w:vAlign w:val="center"/>
          </w:tcPr>
          <w:p>
            <w:pPr>
              <w:pageBreakBefore w:val="0"/>
              <w:widowControl/>
              <w:bidi w:val="0"/>
              <w:spacing w:line="360" w:lineRule="auto"/>
              <w:ind w:firstLine="0" w:firstLineChars="0"/>
              <w:jc w:val="both"/>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生活污水</w:t>
            </w:r>
          </w:p>
        </w:tc>
        <w:tc>
          <w:tcPr>
            <w:tcW w:w="709" w:type="dxa"/>
            <w:tcBorders>
              <w:tl2br w:val="nil"/>
              <w:tr2bl w:val="nil"/>
            </w:tcBorders>
            <w:vAlign w:val="center"/>
          </w:tcPr>
          <w:p>
            <w:pPr>
              <w:pageBreakBefore w:val="0"/>
              <w:widowControl/>
              <w:bidi w:val="0"/>
              <w:spacing w:line="360" w:lineRule="auto"/>
              <w:ind w:firstLine="0" w:firstLineChars="0"/>
              <w:jc w:val="both"/>
              <w:rPr>
                <w:rFonts w:hint="default" w:ascii="Times New Roman" w:hAnsi="Times New Roman" w:eastAsia="宋体" w:cs="Times New Roman"/>
                <w:caps w:val="0"/>
                <w:smallCaps w:val="0"/>
                <w:color w:val="auto"/>
                <w:spacing w:val="0"/>
                <w:w w:val="100"/>
                <w:sz w:val="21"/>
                <w:szCs w:val="21"/>
                <w:highlight w:val="none"/>
                <w:lang w:val="en-US" w:eastAsia="zh-CN"/>
              </w:rPr>
            </w:pPr>
            <w:r>
              <w:rPr>
                <w:rFonts w:hint="eastAsia" w:cs="Times New Roman"/>
                <w:caps w:val="0"/>
                <w:smallCaps w:val="0"/>
                <w:color w:val="auto"/>
                <w:spacing w:val="0"/>
                <w:w w:val="100"/>
                <w:sz w:val="21"/>
                <w:szCs w:val="21"/>
                <w:highlight w:val="none"/>
                <w:lang w:val="en-US" w:eastAsia="zh-CN"/>
              </w:rPr>
              <w:t>COD、氨氮</w:t>
            </w:r>
          </w:p>
        </w:tc>
        <w:tc>
          <w:tcPr>
            <w:tcW w:w="77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8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701m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/a</w:t>
            </w:r>
          </w:p>
        </w:tc>
        <w:tc>
          <w:tcPr>
            <w:tcW w:w="96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w:t>
            </w:r>
          </w:p>
        </w:tc>
        <w:tc>
          <w:tcPr>
            <w:tcW w:w="10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w:t>
            </w:r>
          </w:p>
        </w:tc>
        <w:tc>
          <w:tcPr>
            <w:tcW w:w="2659" w:type="dxa"/>
            <w:tcBorders>
              <w:tl2br w:val="nil"/>
              <w:tr2bl w:val="nil"/>
            </w:tcBorders>
            <w:vAlign w:val="center"/>
          </w:tcPr>
          <w:p>
            <w:pPr>
              <w:pageBreakBefore w:val="0"/>
              <w:widowControl/>
              <w:bidi w:val="0"/>
              <w:spacing w:line="360" w:lineRule="auto"/>
              <w:ind w:firstLine="0" w:firstLineChars="0"/>
              <w:jc w:val="both"/>
              <w:rPr>
                <w:rFonts w:hint="default" w:ascii="Times New Roman" w:hAnsi="Times New Roman" w:eastAsia="宋体" w:cs="Times New Roman"/>
                <w:caps w:val="0"/>
                <w:smallCaps w:val="0"/>
                <w:color w:val="auto"/>
                <w:spacing w:val="0"/>
                <w:w w:val="10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lang w:val="en-US" w:eastAsia="zh-CN"/>
              </w:rPr>
              <w:t>排入化粪池内，定期清掏，拉运至新站镇生活污水处理厂处理</w:t>
            </w:r>
          </w:p>
        </w:tc>
        <w:tc>
          <w:tcPr>
            <w:tcW w:w="9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w:t>
            </w:r>
          </w:p>
        </w:tc>
        <w:tc>
          <w:tcPr>
            <w:tcW w:w="95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t>
            </w:r>
          </w:p>
        </w:tc>
        <w:tc>
          <w:tcPr>
            <w:tcW w:w="102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t>
            </w:r>
          </w:p>
        </w:tc>
        <w:tc>
          <w:tcPr>
            <w:tcW w:w="85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w:t>
            </w:r>
          </w:p>
        </w:tc>
        <w:tc>
          <w:tcPr>
            <w:tcW w:w="10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间断</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center"/>
        <w:textAlignment w:val="auto"/>
        <w:rPr>
          <w:rFonts w:hint="eastAsia" w:ascii="Times New Roman" w:hAnsi="Times New Roman" w:eastAsia="宋体" w:cs="宋体"/>
          <w:b/>
          <w:bCs/>
          <w:smallCaps w:val="0"/>
          <w:color w:val="auto"/>
          <w:kern w:val="2"/>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表3.</w:t>
      </w:r>
      <w:r>
        <w:rPr>
          <w:rFonts w:hint="eastAsia" w:cs="Times New Roman"/>
          <w:b/>
          <w:bCs/>
          <w:caps w:val="0"/>
          <w:smallCaps w:val="0"/>
          <w:snapToGrid/>
          <w:color w:val="auto"/>
          <w:spacing w:val="0"/>
          <w:w w:val="100"/>
          <w:kern w:val="0"/>
          <w:sz w:val="21"/>
          <w:szCs w:val="21"/>
          <w:highlight w:val="none"/>
          <w:lang w:val="en-US" w:eastAsia="zh-CN" w:bidi="ar-SA"/>
        </w:rPr>
        <w:t>4-10</w:t>
      </w:r>
      <w:r>
        <w:rPr>
          <w:rFonts w:hint="eastAsia" w:ascii="Times New Roman" w:hAnsi="Times New Roman" w:eastAsia="宋体" w:cs="宋体"/>
          <w:b/>
          <w:bCs/>
          <w:smallCaps w:val="0"/>
          <w:color w:val="auto"/>
          <w:kern w:val="2"/>
          <w:sz w:val="21"/>
          <w:szCs w:val="21"/>
          <w:highlight w:val="none"/>
          <w:lang w:val="en-US" w:eastAsia="zh-CN" w:bidi="ar-SA"/>
        </w:rPr>
        <w:t>噪声污染源源强核算结果及相关参数一览表  单位：dB（A）</w:t>
      </w:r>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22"/>
        <w:gridCol w:w="935"/>
        <w:gridCol w:w="1145"/>
        <w:gridCol w:w="1080"/>
        <w:gridCol w:w="1361"/>
        <w:gridCol w:w="1012"/>
        <w:gridCol w:w="1012"/>
        <w:gridCol w:w="1012"/>
        <w:gridCol w:w="1012"/>
        <w:gridCol w:w="1012"/>
        <w:gridCol w:w="1012"/>
        <w:gridCol w:w="1012"/>
        <w:gridCol w:w="1074"/>
        <w:gridCol w:w="96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序号</w:t>
            </w:r>
          </w:p>
        </w:tc>
        <w:tc>
          <w:tcPr>
            <w:tcW w:w="33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建筑物名称</w:t>
            </w:r>
          </w:p>
        </w:tc>
        <w:tc>
          <w:tcPr>
            <w:tcW w:w="404"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声源名称</w:t>
            </w:r>
          </w:p>
        </w:tc>
        <w:tc>
          <w:tcPr>
            <w:tcW w:w="381"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声级/dB（A）</w:t>
            </w:r>
          </w:p>
        </w:tc>
        <w:tc>
          <w:tcPr>
            <w:tcW w:w="48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声源控制措施</w:t>
            </w:r>
          </w:p>
        </w:tc>
        <w:tc>
          <w:tcPr>
            <w:tcW w:w="1071" w:type="pct"/>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空间相对位置/m</w:t>
            </w:r>
          </w:p>
        </w:tc>
        <w:tc>
          <w:tcPr>
            <w:tcW w:w="35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距室内边界距离/m</w:t>
            </w:r>
          </w:p>
        </w:tc>
        <w:tc>
          <w:tcPr>
            <w:tcW w:w="35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室内边界声级/dB（A）</w:t>
            </w:r>
          </w:p>
        </w:tc>
        <w:tc>
          <w:tcPr>
            <w:tcW w:w="35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运行时段</w:t>
            </w:r>
          </w:p>
        </w:tc>
        <w:tc>
          <w:tcPr>
            <w:tcW w:w="35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建筑物插入损失/dB（A）</w:t>
            </w:r>
          </w:p>
        </w:tc>
        <w:tc>
          <w:tcPr>
            <w:tcW w:w="718" w:type="pct"/>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建筑物外噪声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81"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X</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Y</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Z</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声压级/dB（A）</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建筑物外距离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c>
          <w:tcPr>
            <w:tcW w:w="33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长输泵房</w:t>
            </w: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大泵</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highlight w:val="none"/>
                <w:vertAlign w:val="baseline"/>
                <w:lang w:val="en-US" w:eastAsia="zh-CN"/>
              </w:rPr>
              <w:t>80-95</w:t>
            </w:r>
          </w:p>
        </w:tc>
        <w:tc>
          <w:tcPr>
            <w:tcW w:w="480"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highlight w:val="none"/>
                <w:vertAlign w:val="baseline"/>
                <w:lang w:val="en-US" w:eastAsia="zh-CN"/>
              </w:rPr>
              <w:t>安装减振垫了，室内合理布局，墙体隔音</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-43.3</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156.5</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4.3-18.5</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92.1</w:t>
            </w:r>
          </w:p>
        </w:tc>
        <w:tc>
          <w:tcPr>
            <w:tcW w:w="35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全天运行</w:t>
            </w:r>
          </w:p>
        </w:tc>
        <w:tc>
          <w:tcPr>
            <w:tcW w:w="35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w:t>
            </w: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56.1</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w:t>
            </w:r>
          </w:p>
        </w:tc>
        <w:tc>
          <w:tcPr>
            <w:tcW w:w="33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真空泵</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highlight w:val="none"/>
                <w:vertAlign w:val="baseline"/>
                <w:lang w:val="en-US" w:eastAsia="zh-CN"/>
              </w:rPr>
              <w:t>80-95</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-56.7</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149.2</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6.6-20.2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92.1</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56.1</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w:t>
            </w:r>
          </w:p>
        </w:tc>
        <w:tc>
          <w:tcPr>
            <w:tcW w:w="33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变频冲</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洗泵</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highlight w:val="none"/>
                <w:vertAlign w:val="baseline"/>
                <w:lang w:val="en-US" w:eastAsia="zh-CN"/>
              </w:rPr>
              <w:t>80-95</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-48.3</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148</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7.1-13.8</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92.1</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56.1</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4</w:t>
            </w:r>
          </w:p>
        </w:tc>
        <w:tc>
          <w:tcPr>
            <w:tcW w:w="33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预处理车间</w:t>
            </w: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防爆轴流风机</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70-80</w:t>
            </w:r>
          </w:p>
        </w:tc>
        <w:tc>
          <w:tcPr>
            <w:tcW w:w="480"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highlight w:val="none"/>
                <w:vertAlign w:val="baseline"/>
                <w:lang w:val="en-US" w:eastAsia="zh-CN"/>
              </w:rPr>
              <w:t>选用低躁设备，定期检修维护，保证设备保持在最佳状态；安装减振垫了，室内合理布局，墙体隔音</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148.4</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223</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3.6-21.6</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74.2</w:t>
            </w:r>
          </w:p>
        </w:tc>
        <w:tc>
          <w:tcPr>
            <w:tcW w:w="35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全天运行</w:t>
            </w:r>
          </w:p>
        </w:tc>
        <w:tc>
          <w:tcPr>
            <w:tcW w:w="35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w:t>
            </w: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38.2</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5</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防爆潜污泵</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80-90</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145.5</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210.8</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9.3-16.1</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79.2</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43.2</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6</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防爆齿轮泵</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80-90</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155.5</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207.1</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6.1-18.2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88.5</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52.5</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7</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olor w:val="auto"/>
                <w:szCs w:val="21"/>
                <w:highlight w:val="none"/>
              </w:rPr>
              <w:t>防爆自吸泵</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80-90</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159.6</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220.5</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4.3-19.6</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80.1</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44.1</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8</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olor w:val="auto"/>
                <w:szCs w:val="21"/>
                <w:highlight w:val="none"/>
              </w:rPr>
              <w:t>浆式搅拌器</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65-70</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156.1</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195.9</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3.4-21.2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64.2</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28.2</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9</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olor w:val="auto"/>
                <w:szCs w:val="21"/>
                <w:highlight w:val="none"/>
              </w:rPr>
              <w:t>框式搅拌器</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65-70</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155</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190.3</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3.6-35.0</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64.2</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29</w:t>
            </w:r>
            <w:r>
              <w:rPr>
                <w:rFonts w:hint="default" w:cs="Times New Roman"/>
                <w:color w:val="auto"/>
                <w:sz w:val="21"/>
                <w:szCs w:val="21"/>
                <w:highlight w:val="none"/>
                <w:vertAlign w:val="baseline"/>
                <w:lang w:val="en-US" w:eastAsia="zh-CN"/>
              </w:rPr>
              <w:t>.5</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10</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压泥</w:t>
            </w:r>
            <w:r>
              <w:rPr>
                <w:rFonts w:hint="eastAsia" w:ascii="Times New Roman" w:hAnsi="Times New Roman" w:eastAsia="宋体" w:cs="Times New Roman"/>
                <w:color w:val="auto"/>
                <w:highlight w:val="none"/>
                <w:vertAlign w:val="baseline"/>
                <w:lang w:val="en-US" w:eastAsia="zh-CN"/>
              </w:rPr>
              <w:t>机主机</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70-75</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175.9</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211.7</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4.0-11.2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69.1</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33.1</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11</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olor w:val="auto"/>
                <w:szCs w:val="21"/>
                <w:highlight w:val="none"/>
              </w:rPr>
              <w:t>涡凹曝气机</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65-70</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171.7</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218.4</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4.0-17.1</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68.2</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52.7</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12</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olor w:val="auto"/>
                <w:szCs w:val="21"/>
                <w:highlight w:val="none"/>
              </w:rPr>
              <w:t>潜水搅拌器</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65-70</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168.4</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217.0</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2.9-18.0</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68.2</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52.5</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13</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排污泵1#</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80-90</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165.1</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215.9</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3.1-15.9</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89.1</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53.1</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14</w:t>
            </w:r>
          </w:p>
        </w:tc>
        <w:tc>
          <w:tcPr>
            <w:tcW w:w="330"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排污泵</w:t>
            </w:r>
            <w:r>
              <w:rPr>
                <w:rFonts w:hint="eastAsia" w:cs="Times New Roman"/>
                <w:color w:val="auto"/>
                <w:highlight w:val="none"/>
                <w:vertAlign w:val="baseline"/>
                <w:lang w:val="en-US" w:eastAsia="zh-CN"/>
              </w:rPr>
              <w:t>2</w:t>
            </w:r>
            <w:r>
              <w:rPr>
                <w:rFonts w:hint="eastAsia" w:ascii="Times New Roman" w:hAnsi="Times New Roman" w:eastAsia="宋体" w:cs="Times New Roman"/>
                <w:color w:val="auto"/>
                <w:highlight w:val="none"/>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80-90</w:t>
            </w:r>
          </w:p>
        </w:tc>
        <w:tc>
          <w:tcPr>
            <w:tcW w:w="480"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149.2</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212.8</w:t>
            </w:r>
          </w:p>
        </w:tc>
        <w:tc>
          <w:tcPr>
            <w:tcW w:w="0" w:type="auto"/>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3.7-14.5</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79.2</w:t>
            </w:r>
          </w:p>
        </w:tc>
        <w:tc>
          <w:tcPr>
            <w:tcW w:w="357"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43.2</w:t>
            </w:r>
          </w:p>
        </w:tc>
        <w:tc>
          <w:tcPr>
            <w:tcW w:w="339" w:type="pct"/>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15</w:t>
            </w:r>
          </w:p>
        </w:tc>
        <w:tc>
          <w:tcPr>
            <w:tcW w:w="330"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刮渣机</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65-70</w:t>
            </w:r>
          </w:p>
        </w:tc>
        <w:tc>
          <w:tcPr>
            <w:tcW w:w="480"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0" w:type="auto"/>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121.0</w:t>
            </w:r>
          </w:p>
        </w:tc>
        <w:tc>
          <w:tcPr>
            <w:tcW w:w="0" w:type="auto"/>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201.7</w:t>
            </w:r>
          </w:p>
        </w:tc>
        <w:tc>
          <w:tcPr>
            <w:tcW w:w="0" w:type="auto"/>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3.9-15.0</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69.1</w:t>
            </w:r>
          </w:p>
        </w:tc>
        <w:tc>
          <w:tcPr>
            <w:tcW w:w="357"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52.5</w:t>
            </w:r>
          </w:p>
        </w:tc>
        <w:tc>
          <w:tcPr>
            <w:tcW w:w="339" w:type="pct"/>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16</w:t>
            </w:r>
          </w:p>
        </w:tc>
        <w:tc>
          <w:tcPr>
            <w:tcW w:w="330"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自动熔药机</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65-70</w:t>
            </w:r>
          </w:p>
        </w:tc>
        <w:tc>
          <w:tcPr>
            <w:tcW w:w="480"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163.8</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197.1</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3.4-26.8</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64.2</w:t>
            </w:r>
          </w:p>
        </w:tc>
        <w:tc>
          <w:tcPr>
            <w:tcW w:w="357"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28.2</w:t>
            </w:r>
          </w:p>
        </w:tc>
        <w:tc>
          <w:tcPr>
            <w:tcW w:w="339"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17</w:t>
            </w:r>
          </w:p>
        </w:tc>
        <w:tc>
          <w:tcPr>
            <w:tcW w:w="330" w:type="pct"/>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锅炉房</w:t>
            </w: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换水泵</w:t>
            </w:r>
          </w:p>
        </w:tc>
        <w:tc>
          <w:tcPr>
            <w:tcW w:w="381"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75-80</w:t>
            </w:r>
          </w:p>
        </w:tc>
        <w:tc>
          <w:tcPr>
            <w:tcW w:w="480"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96.1</w:t>
            </w:r>
          </w:p>
        </w:tc>
        <w:tc>
          <w:tcPr>
            <w:tcW w:w="357"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203.8</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2.7-7.9</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66.3</w:t>
            </w:r>
          </w:p>
        </w:tc>
        <w:tc>
          <w:tcPr>
            <w:tcW w:w="357"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冬季全天运行</w:t>
            </w:r>
          </w:p>
        </w:tc>
        <w:tc>
          <w:tcPr>
            <w:tcW w:w="357"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w:t>
            </w:r>
          </w:p>
        </w:tc>
        <w:tc>
          <w:tcPr>
            <w:tcW w:w="379"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30.3</w:t>
            </w:r>
          </w:p>
        </w:tc>
        <w:tc>
          <w:tcPr>
            <w:tcW w:w="339"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18</w:t>
            </w:r>
          </w:p>
        </w:tc>
        <w:tc>
          <w:tcPr>
            <w:tcW w:w="33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锅炉</w:t>
            </w:r>
          </w:p>
        </w:tc>
        <w:tc>
          <w:tcPr>
            <w:tcW w:w="381"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60-65</w:t>
            </w:r>
          </w:p>
        </w:tc>
        <w:tc>
          <w:tcPr>
            <w:tcW w:w="480"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92.5</w:t>
            </w:r>
          </w:p>
        </w:tc>
        <w:tc>
          <w:tcPr>
            <w:tcW w:w="357"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204.2</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2.9-6.7</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81.3</w:t>
            </w:r>
          </w:p>
        </w:tc>
        <w:tc>
          <w:tcPr>
            <w:tcW w:w="357"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45.3</w:t>
            </w:r>
          </w:p>
        </w:tc>
        <w:tc>
          <w:tcPr>
            <w:tcW w:w="339"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bl>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表3.</w:t>
      </w:r>
      <w:r>
        <w:rPr>
          <w:rFonts w:hint="eastAsia" w:cs="Times New Roman"/>
          <w:b/>
          <w:bCs/>
          <w:caps w:val="0"/>
          <w:smallCaps w:val="0"/>
          <w:snapToGrid/>
          <w:color w:val="auto"/>
          <w:spacing w:val="0"/>
          <w:w w:val="100"/>
          <w:kern w:val="0"/>
          <w:sz w:val="21"/>
          <w:szCs w:val="21"/>
          <w:highlight w:val="none"/>
          <w:lang w:val="en-US" w:eastAsia="zh-CN" w:bidi="ar-SA"/>
        </w:rPr>
        <w:t>4-11运行期</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固体废物污染源源强核算结果及相关参数一览表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86"/>
        <w:gridCol w:w="1185"/>
        <w:gridCol w:w="1706"/>
        <w:gridCol w:w="1404"/>
        <w:gridCol w:w="1555"/>
        <w:gridCol w:w="1432"/>
        <w:gridCol w:w="1131"/>
        <w:gridCol w:w="1378"/>
        <w:gridCol w:w="339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8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工序</w:t>
            </w:r>
          </w:p>
        </w:tc>
        <w:tc>
          <w:tcPr>
            <w:tcW w:w="118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装置</w:t>
            </w:r>
          </w:p>
        </w:tc>
        <w:tc>
          <w:tcPr>
            <w:tcW w:w="170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固体废物名称</w:t>
            </w:r>
          </w:p>
        </w:tc>
        <w:tc>
          <w:tcPr>
            <w:tcW w:w="1404"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固废属性</w:t>
            </w:r>
          </w:p>
        </w:tc>
        <w:tc>
          <w:tcPr>
            <w:tcW w:w="298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产生情况</w:t>
            </w:r>
          </w:p>
        </w:tc>
        <w:tc>
          <w:tcPr>
            <w:tcW w:w="2509"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处置措施</w:t>
            </w:r>
          </w:p>
        </w:tc>
        <w:tc>
          <w:tcPr>
            <w:tcW w:w="339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最终去向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8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18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70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0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5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核算方法</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产生量</w:t>
            </w:r>
            <w:r>
              <w:rPr>
                <w:rFonts w:hint="eastAsia"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t</w:t>
            </w:r>
            <w:r>
              <w:rPr>
                <w:rFonts w:hint="eastAsia" w:cs="Times New Roman"/>
                <w:color w:val="auto"/>
                <w:sz w:val="21"/>
                <w:szCs w:val="21"/>
                <w:highlight w:val="none"/>
                <w:vertAlign w:val="baseline"/>
                <w:lang w:val="en-US" w:eastAsia="zh-CN"/>
              </w:rPr>
              <w:t>/a）</w:t>
            </w:r>
          </w:p>
        </w:tc>
        <w:tc>
          <w:tcPr>
            <w:tcW w:w="11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工艺</w:t>
            </w: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处置量</w:t>
            </w:r>
            <w:r>
              <w:rPr>
                <w:rFonts w:hint="eastAsia"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t</w:t>
            </w:r>
            <w:r>
              <w:rPr>
                <w:rFonts w:hint="eastAsia" w:cs="Times New Roman"/>
                <w:color w:val="auto"/>
                <w:sz w:val="21"/>
                <w:szCs w:val="21"/>
                <w:highlight w:val="none"/>
                <w:vertAlign w:val="baseline"/>
                <w:lang w:val="en-US" w:eastAsia="zh-CN"/>
              </w:rPr>
              <w:t>/a）</w:t>
            </w:r>
          </w:p>
        </w:tc>
        <w:tc>
          <w:tcPr>
            <w:tcW w:w="339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8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废水处理</w:t>
            </w:r>
          </w:p>
        </w:tc>
        <w:tc>
          <w:tcPr>
            <w:tcW w:w="11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卸料槽</w:t>
            </w:r>
          </w:p>
        </w:tc>
        <w:tc>
          <w:tcPr>
            <w:tcW w:w="170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胶状物质</w:t>
            </w:r>
          </w:p>
        </w:tc>
        <w:tc>
          <w:tcPr>
            <w:tcW w:w="14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危险废物</w:t>
            </w:r>
          </w:p>
        </w:tc>
        <w:tc>
          <w:tcPr>
            <w:tcW w:w="15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37</w:t>
            </w:r>
          </w:p>
        </w:tc>
        <w:tc>
          <w:tcPr>
            <w:tcW w:w="11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委托处理</w:t>
            </w: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37</w:t>
            </w:r>
          </w:p>
        </w:tc>
        <w:tc>
          <w:tcPr>
            <w:tcW w:w="339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交由有资质单位处置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8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18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预处理车间</w:t>
            </w:r>
          </w:p>
        </w:tc>
        <w:tc>
          <w:tcPr>
            <w:tcW w:w="170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污泥</w:t>
            </w:r>
          </w:p>
        </w:tc>
        <w:tc>
          <w:tcPr>
            <w:tcW w:w="14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危险废物</w:t>
            </w:r>
          </w:p>
        </w:tc>
        <w:tc>
          <w:tcPr>
            <w:tcW w:w="15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公式</w:t>
            </w:r>
            <w:r>
              <w:rPr>
                <w:rFonts w:hint="default" w:ascii="Times New Roman" w:hAnsi="Times New Roman" w:cs="Times New Roman"/>
                <w:color w:val="auto"/>
                <w:sz w:val="21"/>
                <w:szCs w:val="21"/>
                <w:highlight w:val="none"/>
                <w:vertAlign w:val="baseline"/>
                <w:lang w:val="en-US" w:eastAsia="zh-CN"/>
              </w:rPr>
              <w:t>法</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211.5</w:t>
            </w:r>
          </w:p>
        </w:tc>
        <w:tc>
          <w:tcPr>
            <w:tcW w:w="11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委托处理</w:t>
            </w: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211.5</w:t>
            </w:r>
          </w:p>
        </w:tc>
        <w:tc>
          <w:tcPr>
            <w:tcW w:w="339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8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18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170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w:t>
            </w:r>
          </w:p>
        </w:tc>
        <w:tc>
          <w:tcPr>
            <w:tcW w:w="14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危险废物</w:t>
            </w:r>
          </w:p>
        </w:tc>
        <w:tc>
          <w:tcPr>
            <w:tcW w:w="15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121</w:t>
            </w:r>
          </w:p>
        </w:tc>
        <w:tc>
          <w:tcPr>
            <w:tcW w:w="11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委托处理</w:t>
            </w: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121</w:t>
            </w:r>
          </w:p>
        </w:tc>
        <w:tc>
          <w:tcPr>
            <w:tcW w:w="339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暂存于污油储罐内，定期由油田单位拉运回收利用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8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1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70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药剂废弃包装袋</w:t>
            </w:r>
          </w:p>
        </w:tc>
        <w:tc>
          <w:tcPr>
            <w:tcW w:w="14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一般固体废物</w:t>
            </w:r>
          </w:p>
        </w:tc>
        <w:tc>
          <w:tcPr>
            <w:tcW w:w="15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w:t>
            </w:r>
          </w:p>
        </w:tc>
        <w:tc>
          <w:tcPr>
            <w:tcW w:w="11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委托处理</w:t>
            </w: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w:t>
            </w:r>
          </w:p>
        </w:tc>
        <w:tc>
          <w:tcPr>
            <w:tcW w:w="339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集中收集，定期外售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运行设备维修</w:t>
            </w:r>
          </w:p>
        </w:tc>
        <w:tc>
          <w:tcPr>
            <w:tcW w:w="11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运行设备</w:t>
            </w:r>
          </w:p>
        </w:tc>
        <w:tc>
          <w:tcPr>
            <w:tcW w:w="170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废机油</w:t>
            </w:r>
          </w:p>
        </w:tc>
        <w:tc>
          <w:tcPr>
            <w:tcW w:w="14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危险废物</w:t>
            </w:r>
          </w:p>
        </w:tc>
        <w:tc>
          <w:tcPr>
            <w:tcW w:w="15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类比法</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c>
          <w:tcPr>
            <w:tcW w:w="11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委托处理</w:t>
            </w: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c>
          <w:tcPr>
            <w:tcW w:w="339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交由有资质单位处置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站内运行维护</w:t>
            </w:r>
          </w:p>
        </w:tc>
        <w:tc>
          <w:tcPr>
            <w:tcW w:w="11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70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废弃的含油抹布和劳保用品</w:t>
            </w:r>
          </w:p>
        </w:tc>
        <w:tc>
          <w:tcPr>
            <w:tcW w:w="14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危险废物</w:t>
            </w:r>
          </w:p>
        </w:tc>
        <w:tc>
          <w:tcPr>
            <w:tcW w:w="15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类比法</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0.05</w:t>
            </w:r>
          </w:p>
        </w:tc>
        <w:tc>
          <w:tcPr>
            <w:tcW w:w="11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委托处理</w:t>
            </w: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0.05</w:t>
            </w:r>
          </w:p>
        </w:tc>
        <w:tc>
          <w:tcPr>
            <w:tcW w:w="339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全过程不按危险废物管理，可豁免管理，随生活垃圾一起拉运处置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站内运维人员生活</w:t>
            </w:r>
          </w:p>
        </w:tc>
        <w:tc>
          <w:tcPr>
            <w:tcW w:w="11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70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生活垃圾</w:t>
            </w:r>
          </w:p>
        </w:tc>
        <w:tc>
          <w:tcPr>
            <w:tcW w:w="14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生活垃圾</w:t>
            </w:r>
          </w:p>
        </w:tc>
        <w:tc>
          <w:tcPr>
            <w:tcW w:w="15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系数法</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5.475</w:t>
            </w:r>
          </w:p>
        </w:tc>
        <w:tc>
          <w:tcPr>
            <w:tcW w:w="11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委托处理</w:t>
            </w: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5.475</w:t>
            </w:r>
          </w:p>
        </w:tc>
        <w:tc>
          <w:tcPr>
            <w:tcW w:w="339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统一收集后，由环卫部门清运至肇源县生活垃圾处理场处理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污油储罐维修</w:t>
            </w:r>
          </w:p>
        </w:tc>
        <w:tc>
          <w:tcPr>
            <w:tcW w:w="11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污油储罐</w:t>
            </w:r>
          </w:p>
        </w:tc>
        <w:tc>
          <w:tcPr>
            <w:tcW w:w="170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罐底油泥</w:t>
            </w:r>
          </w:p>
        </w:tc>
        <w:tc>
          <w:tcPr>
            <w:tcW w:w="14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危险废物</w:t>
            </w:r>
          </w:p>
        </w:tc>
        <w:tc>
          <w:tcPr>
            <w:tcW w:w="15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类比法</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0.03</w:t>
            </w:r>
          </w:p>
        </w:tc>
        <w:tc>
          <w:tcPr>
            <w:tcW w:w="113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委托处理</w:t>
            </w:r>
          </w:p>
        </w:tc>
        <w:tc>
          <w:tcPr>
            <w:tcW w:w="13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0.03</w:t>
            </w:r>
          </w:p>
        </w:tc>
        <w:tc>
          <w:tcPr>
            <w:tcW w:w="339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交由有资质单位处置</w:t>
            </w:r>
          </w:p>
        </w:tc>
      </w:tr>
    </w:tbl>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表3.</w:t>
      </w:r>
      <w:r>
        <w:rPr>
          <w:rFonts w:hint="eastAsia" w:cs="Times New Roman"/>
          <w:b/>
          <w:bCs/>
          <w:caps w:val="0"/>
          <w:smallCaps w:val="0"/>
          <w:snapToGrid/>
          <w:color w:val="auto"/>
          <w:spacing w:val="0"/>
          <w:w w:val="100"/>
          <w:kern w:val="0"/>
          <w:sz w:val="21"/>
          <w:szCs w:val="21"/>
          <w:highlight w:val="none"/>
          <w:lang w:val="en-US" w:eastAsia="zh-CN" w:bidi="ar-SA"/>
        </w:rPr>
        <w:t>4-12</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项目</w:t>
      </w:r>
      <w:r>
        <w:rPr>
          <w:rFonts w:hint="eastAsia" w:cs="Times New Roman"/>
          <w:b/>
          <w:bCs/>
          <w:caps w:val="0"/>
          <w:smallCaps w:val="0"/>
          <w:snapToGrid/>
          <w:color w:val="auto"/>
          <w:spacing w:val="0"/>
          <w:w w:val="100"/>
          <w:kern w:val="0"/>
          <w:sz w:val="21"/>
          <w:szCs w:val="21"/>
          <w:highlight w:val="none"/>
          <w:lang w:val="en-US" w:eastAsia="zh-CN" w:bidi="ar-SA"/>
        </w:rPr>
        <w:t>运行期</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危险废物汇总表</w:t>
      </w:r>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90"/>
        <w:gridCol w:w="1180"/>
        <w:gridCol w:w="1106"/>
        <w:gridCol w:w="1132"/>
        <w:gridCol w:w="1197"/>
        <w:gridCol w:w="899"/>
        <w:gridCol w:w="811"/>
        <w:gridCol w:w="862"/>
        <w:gridCol w:w="877"/>
        <w:gridCol w:w="894"/>
        <w:gridCol w:w="1475"/>
        <w:gridCol w:w="1940"/>
        <w:gridCol w:w="120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0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序号</w:t>
            </w:r>
          </w:p>
        </w:tc>
        <w:tc>
          <w:tcPr>
            <w:tcW w:w="41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危险废物名称</w:t>
            </w:r>
          </w:p>
        </w:tc>
        <w:tc>
          <w:tcPr>
            <w:tcW w:w="39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产生环节</w:t>
            </w:r>
          </w:p>
        </w:tc>
        <w:tc>
          <w:tcPr>
            <w:tcW w:w="3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危险</w:t>
            </w:r>
            <w:r>
              <w:rPr>
                <w:rFonts w:hint="eastAsia" w:ascii="Times New Roman" w:hAnsi="Times New Roman" w:cs="Times New Roman"/>
                <w:color w:val="auto"/>
                <w:sz w:val="21"/>
                <w:szCs w:val="21"/>
                <w:highlight w:val="none"/>
                <w:vertAlign w:val="baseline"/>
                <w:lang w:val="en-US" w:eastAsia="zh-CN"/>
              </w:rPr>
              <w:t>类别</w:t>
            </w:r>
          </w:p>
        </w:tc>
        <w:tc>
          <w:tcPr>
            <w:tcW w:w="42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危险废物代码</w:t>
            </w:r>
          </w:p>
        </w:tc>
        <w:tc>
          <w:tcPr>
            <w:tcW w:w="31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产生量</w:t>
            </w:r>
            <w:r>
              <w:rPr>
                <w:rFonts w:hint="eastAsia" w:cs="Times New Roman"/>
                <w:color w:val="auto"/>
                <w:sz w:val="21"/>
                <w:szCs w:val="21"/>
                <w:highlight w:val="none"/>
                <w:vertAlign w:val="baseline"/>
                <w:lang w:val="en-US" w:eastAsia="zh-CN"/>
              </w:rPr>
              <w:t>（t/a）</w:t>
            </w:r>
          </w:p>
        </w:tc>
        <w:tc>
          <w:tcPr>
            <w:tcW w:w="28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产生工序</w:t>
            </w:r>
          </w:p>
        </w:tc>
        <w:tc>
          <w:tcPr>
            <w:tcW w:w="3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形态</w:t>
            </w:r>
          </w:p>
        </w:tc>
        <w:tc>
          <w:tcPr>
            <w:tcW w:w="30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特征污染物</w:t>
            </w:r>
          </w:p>
        </w:tc>
        <w:tc>
          <w:tcPr>
            <w:tcW w:w="31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危险特性</w:t>
            </w:r>
          </w:p>
        </w:tc>
        <w:tc>
          <w:tcPr>
            <w:tcW w:w="52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产生规律</w:t>
            </w:r>
          </w:p>
        </w:tc>
        <w:tc>
          <w:tcPr>
            <w:tcW w:w="68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污染物防治措施</w:t>
            </w:r>
          </w:p>
        </w:tc>
        <w:tc>
          <w:tcPr>
            <w:tcW w:w="42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处理量（t/a）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0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w:t>
            </w:r>
          </w:p>
        </w:tc>
        <w:tc>
          <w:tcPr>
            <w:tcW w:w="41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胶状物质</w:t>
            </w:r>
          </w:p>
        </w:tc>
        <w:tc>
          <w:tcPr>
            <w:tcW w:w="390"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废水处理</w:t>
            </w:r>
          </w:p>
        </w:tc>
        <w:tc>
          <w:tcPr>
            <w:tcW w:w="399"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HW08废矿物油与含矿物油废物</w:t>
            </w:r>
          </w:p>
        </w:tc>
        <w:tc>
          <w:tcPr>
            <w:tcW w:w="42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900-210-08</w:t>
            </w:r>
          </w:p>
        </w:tc>
        <w:tc>
          <w:tcPr>
            <w:tcW w:w="31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37</w:t>
            </w:r>
          </w:p>
        </w:tc>
        <w:tc>
          <w:tcPr>
            <w:tcW w:w="286"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废水处理</w:t>
            </w:r>
          </w:p>
        </w:tc>
        <w:tc>
          <w:tcPr>
            <w:tcW w:w="3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半</w:t>
            </w:r>
            <w:r>
              <w:rPr>
                <w:rFonts w:hint="default" w:ascii="Times New Roman" w:hAnsi="Times New Roman" w:cs="Times New Roman"/>
                <w:color w:val="auto"/>
                <w:sz w:val="21"/>
                <w:szCs w:val="21"/>
                <w:highlight w:val="none"/>
                <w:vertAlign w:val="baseline"/>
                <w:lang w:val="en-US" w:eastAsia="zh-CN"/>
              </w:rPr>
              <w:t>固态</w:t>
            </w:r>
          </w:p>
        </w:tc>
        <w:tc>
          <w:tcPr>
            <w:tcW w:w="30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w:t>
            </w:r>
          </w:p>
        </w:tc>
        <w:tc>
          <w:tcPr>
            <w:tcW w:w="31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T、I</w:t>
            </w:r>
          </w:p>
        </w:tc>
        <w:tc>
          <w:tcPr>
            <w:tcW w:w="52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连续产生</w:t>
            </w:r>
          </w:p>
        </w:tc>
        <w:tc>
          <w:tcPr>
            <w:tcW w:w="68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cs="Times New Roman"/>
                <w:color w:val="auto"/>
                <w:sz w:val="21"/>
                <w:szCs w:val="21"/>
                <w:highlight w:val="none"/>
                <w:vertAlign w:val="baseline"/>
                <w:lang w:val="en-US" w:eastAsia="zh-CN"/>
              </w:rPr>
              <w:t>交由</w:t>
            </w:r>
            <w:r>
              <w:rPr>
                <w:rFonts w:hint="default" w:ascii="Times New Roman" w:hAnsi="Times New Roman" w:cs="Times New Roman"/>
                <w:color w:val="auto"/>
                <w:sz w:val="21"/>
                <w:szCs w:val="21"/>
                <w:highlight w:val="none"/>
                <w:vertAlign w:val="baseline"/>
                <w:lang w:val="en-US" w:eastAsia="zh-CN"/>
              </w:rPr>
              <w:t>有资质单位处理</w:t>
            </w:r>
          </w:p>
        </w:tc>
        <w:tc>
          <w:tcPr>
            <w:tcW w:w="11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18" w:hRule="atLeast"/>
        </w:trPr>
        <w:tc>
          <w:tcPr>
            <w:tcW w:w="20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1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bidi="ar-SA"/>
              </w:rPr>
              <w:t>污泥</w:t>
            </w:r>
          </w:p>
        </w:tc>
        <w:tc>
          <w:tcPr>
            <w:tcW w:w="39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99"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42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900-210-08</w:t>
            </w:r>
          </w:p>
        </w:tc>
        <w:tc>
          <w:tcPr>
            <w:tcW w:w="31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211.5</w:t>
            </w:r>
          </w:p>
        </w:tc>
        <w:tc>
          <w:tcPr>
            <w:tcW w:w="28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3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固态</w:t>
            </w:r>
          </w:p>
        </w:tc>
        <w:tc>
          <w:tcPr>
            <w:tcW w:w="30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bidi="ar-SA"/>
              </w:rPr>
              <w:t>污泥</w:t>
            </w:r>
          </w:p>
        </w:tc>
        <w:tc>
          <w:tcPr>
            <w:tcW w:w="31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T、I</w:t>
            </w:r>
          </w:p>
        </w:tc>
        <w:tc>
          <w:tcPr>
            <w:tcW w:w="52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连续产生</w:t>
            </w:r>
          </w:p>
        </w:tc>
        <w:tc>
          <w:tcPr>
            <w:tcW w:w="68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cs="Times New Roman"/>
                <w:color w:val="auto"/>
                <w:sz w:val="21"/>
                <w:szCs w:val="21"/>
                <w:highlight w:val="none"/>
                <w:vertAlign w:val="baseline"/>
                <w:lang w:val="en-US" w:eastAsia="zh-CN"/>
              </w:rPr>
              <w:t>交由</w:t>
            </w:r>
            <w:r>
              <w:rPr>
                <w:rFonts w:hint="default" w:ascii="Times New Roman" w:hAnsi="Times New Roman" w:cs="Times New Roman"/>
                <w:color w:val="auto"/>
                <w:sz w:val="21"/>
                <w:szCs w:val="21"/>
                <w:highlight w:val="none"/>
                <w:vertAlign w:val="baseline"/>
                <w:lang w:val="en-US" w:eastAsia="zh-CN"/>
              </w:rPr>
              <w:t>有资质单位处理</w:t>
            </w:r>
          </w:p>
        </w:tc>
        <w:tc>
          <w:tcPr>
            <w:tcW w:w="11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211.5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0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41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w:t>
            </w:r>
          </w:p>
        </w:tc>
        <w:tc>
          <w:tcPr>
            <w:tcW w:w="39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99"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42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900-210-08</w:t>
            </w:r>
          </w:p>
        </w:tc>
        <w:tc>
          <w:tcPr>
            <w:tcW w:w="31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121</w:t>
            </w:r>
          </w:p>
        </w:tc>
        <w:tc>
          <w:tcPr>
            <w:tcW w:w="28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液</w:t>
            </w:r>
            <w:r>
              <w:rPr>
                <w:rFonts w:hint="default" w:ascii="Times New Roman" w:hAnsi="Times New Roman" w:cs="Times New Roman"/>
                <w:color w:val="auto"/>
                <w:sz w:val="21"/>
                <w:szCs w:val="21"/>
                <w:highlight w:val="none"/>
                <w:vertAlign w:val="baseline"/>
                <w:lang w:val="en-US" w:eastAsia="zh-CN"/>
              </w:rPr>
              <w:t>态</w:t>
            </w:r>
          </w:p>
        </w:tc>
        <w:tc>
          <w:tcPr>
            <w:tcW w:w="30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w:t>
            </w:r>
          </w:p>
        </w:tc>
        <w:tc>
          <w:tcPr>
            <w:tcW w:w="31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T、I</w:t>
            </w:r>
          </w:p>
        </w:tc>
        <w:tc>
          <w:tcPr>
            <w:tcW w:w="52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连续产生</w:t>
            </w:r>
          </w:p>
        </w:tc>
        <w:tc>
          <w:tcPr>
            <w:tcW w:w="68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cs="Times New Roman"/>
                <w:color w:val="auto"/>
                <w:sz w:val="21"/>
                <w:szCs w:val="21"/>
                <w:highlight w:val="none"/>
                <w:vertAlign w:val="baseline"/>
                <w:lang w:val="en-US" w:eastAsia="zh-CN"/>
              </w:rPr>
              <w:t>定期由油田单位拉运回收利用</w:t>
            </w:r>
          </w:p>
        </w:tc>
        <w:tc>
          <w:tcPr>
            <w:tcW w:w="11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121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0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w:t>
            </w:r>
          </w:p>
        </w:tc>
        <w:tc>
          <w:tcPr>
            <w:tcW w:w="41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废机油</w:t>
            </w:r>
          </w:p>
        </w:tc>
        <w:tc>
          <w:tcPr>
            <w:tcW w:w="39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设备运行维护</w:t>
            </w:r>
          </w:p>
        </w:tc>
        <w:tc>
          <w:tcPr>
            <w:tcW w:w="3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HW08废矿物油与含矿物油废物</w:t>
            </w:r>
          </w:p>
        </w:tc>
        <w:tc>
          <w:tcPr>
            <w:tcW w:w="42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900-249-08</w:t>
            </w:r>
          </w:p>
        </w:tc>
        <w:tc>
          <w:tcPr>
            <w:tcW w:w="31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w:t>
            </w:r>
          </w:p>
        </w:tc>
        <w:tc>
          <w:tcPr>
            <w:tcW w:w="28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设备运行维护</w:t>
            </w:r>
          </w:p>
        </w:tc>
        <w:tc>
          <w:tcPr>
            <w:tcW w:w="3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固态</w:t>
            </w:r>
          </w:p>
        </w:tc>
        <w:tc>
          <w:tcPr>
            <w:tcW w:w="30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废矿物油</w:t>
            </w:r>
          </w:p>
        </w:tc>
        <w:tc>
          <w:tcPr>
            <w:tcW w:w="31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T、I</w:t>
            </w:r>
          </w:p>
        </w:tc>
        <w:tc>
          <w:tcPr>
            <w:tcW w:w="52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间歇</w:t>
            </w:r>
            <w:r>
              <w:rPr>
                <w:rFonts w:hint="default" w:ascii="Times New Roman" w:hAnsi="Times New Roman" w:cs="Times New Roman"/>
                <w:color w:val="auto"/>
                <w:sz w:val="21"/>
                <w:szCs w:val="21"/>
                <w:highlight w:val="none"/>
                <w:vertAlign w:val="baseline"/>
                <w:lang w:val="en-US" w:eastAsia="zh-CN"/>
              </w:rPr>
              <w:t>产生</w:t>
            </w:r>
          </w:p>
        </w:tc>
        <w:tc>
          <w:tcPr>
            <w:tcW w:w="68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交由</w:t>
            </w:r>
            <w:r>
              <w:rPr>
                <w:rFonts w:hint="default" w:ascii="Times New Roman" w:hAnsi="Times New Roman" w:cs="Times New Roman"/>
                <w:color w:val="auto"/>
                <w:sz w:val="21"/>
                <w:szCs w:val="21"/>
                <w:highlight w:val="none"/>
                <w:vertAlign w:val="baseline"/>
                <w:lang w:val="en-US" w:eastAsia="zh-CN"/>
              </w:rPr>
              <w:t>有资质单位处理</w:t>
            </w:r>
          </w:p>
        </w:tc>
        <w:tc>
          <w:tcPr>
            <w:tcW w:w="11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78" w:hRule="atLeast"/>
        </w:trPr>
        <w:tc>
          <w:tcPr>
            <w:tcW w:w="20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w:t>
            </w:r>
          </w:p>
        </w:tc>
        <w:tc>
          <w:tcPr>
            <w:tcW w:w="41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废弃的含油抹布和劳保用品</w:t>
            </w:r>
          </w:p>
        </w:tc>
        <w:tc>
          <w:tcPr>
            <w:tcW w:w="39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站内运行维护</w:t>
            </w:r>
          </w:p>
        </w:tc>
        <w:tc>
          <w:tcPr>
            <w:tcW w:w="3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HW49其他废物</w:t>
            </w:r>
          </w:p>
        </w:tc>
        <w:tc>
          <w:tcPr>
            <w:tcW w:w="42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900-041-49</w:t>
            </w:r>
          </w:p>
        </w:tc>
        <w:tc>
          <w:tcPr>
            <w:tcW w:w="31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0.05</w:t>
            </w:r>
          </w:p>
        </w:tc>
        <w:tc>
          <w:tcPr>
            <w:tcW w:w="28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站内运行维护</w:t>
            </w:r>
          </w:p>
        </w:tc>
        <w:tc>
          <w:tcPr>
            <w:tcW w:w="3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固态</w:t>
            </w:r>
          </w:p>
        </w:tc>
        <w:tc>
          <w:tcPr>
            <w:tcW w:w="30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废矿物油</w:t>
            </w:r>
          </w:p>
        </w:tc>
        <w:tc>
          <w:tcPr>
            <w:tcW w:w="31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T</w:t>
            </w:r>
            <w:r>
              <w:rPr>
                <w:rFonts w:hint="eastAsia"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In</w:t>
            </w:r>
          </w:p>
        </w:tc>
        <w:tc>
          <w:tcPr>
            <w:tcW w:w="52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间歇</w:t>
            </w:r>
            <w:r>
              <w:rPr>
                <w:rFonts w:hint="default" w:ascii="Times New Roman" w:hAnsi="Times New Roman" w:cs="Times New Roman"/>
                <w:color w:val="auto"/>
                <w:sz w:val="21"/>
                <w:szCs w:val="21"/>
                <w:highlight w:val="none"/>
                <w:vertAlign w:val="baseline"/>
                <w:lang w:val="en-US" w:eastAsia="zh-CN"/>
              </w:rPr>
              <w:t>产生</w:t>
            </w:r>
          </w:p>
        </w:tc>
        <w:tc>
          <w:tcPr>
            <w:tcW w:w="68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全过程豁免管理，随生活垃圾一起拉运处置</w:t>
            </w:r>
          </w:p>
        </w:tc>
        <w:tc>
          <w:tcPr>
            <w:tcW w:w="11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0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w:t>
            </w:r>
          </w:p>
        </w:tc>
        <w:tc>
          <w:tcPr>
            <w:tcW w:w="41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罐底油泥</w:t>
            </w:r>
          </w:p>
        </w:tc>
        <w:tc>
          <w:tcPr>
            <w:tcW w:w="39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污油储罐维修</w:t>
            </w:r>
          </w:p>
        </w:tc>
        <w:tc>
          <w:tcPr>
            <w:tcW w:w="3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HW08废矿物油与含矿物油废物</w:t>
            </w:r>
          </w:p>
        </w:tc>
        <w:tc>
          <w:tcPr>
            <w:tcW w:w="42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900-221-08</w:t>
            </w:r>
          </w:p>
        </w:tc>
        <w:tc>
          <w:tcPr>
            <w:tcW w:w="31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0.03</w:t>
            </w:r>
          </w:p>
        </w:tc>
        <w:tc>
          <w:tcPr>
            <w:tcW w:w="28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污油储罐维修</w:t>
            </w:r>
          </w:p>
        </w:tc>
        <w:tc>
          <w:tcPr>
            <w:tcW w:w="3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固态</w:t>
            </w:r>
          </w:p>
        </w:tc>
        <w:tc>
          <w:tcPr>
            <w:tcW w:w="30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罐底油泥</w:t>
            </w:r>
          </w:p>
        </w:tc>
        <w:tc>
          <w:tcPr>
            <w:tcW w:w="31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T、I</w:t>
            </w:r>
          </w:p>
        </w:tc>
        <w:tc>
          <w:tcPr>
            <w:tcW w:w="52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间歇</w:t>
            </w:r>
            <w:r>
              <w:rPr>
                <w:rFonts w:hint="default" w:ascii="Times New Roman" w:hAnsi="Times New Roman" w:cs="Times New Roman"/>
                <w:color w:val="auto"/>
                <w:sz w:val="21"/>
                <w:szCs w:val="21"/>
                <w:highlight w:val="none"/>
                <w:vertAlign w:val="baseline"/>
                <w:lang w:val="en-US" w:eastAsia="zh-CN"/>
              </w:rPr>
              <w:t>产生</w:t>
            </w:r>
          </w:p>
        </w:tc>
        <w:tc>
          <w:tcPr>
            <w:tcW w:w="68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交由</w:t>
            </w:r>
            <w:r>
              <w:rPr>
                <w:rFonts w:hint="default" w:ascii="Times New Roman" w:hAnsi="Times New Roman" w:cs="Times New Roman"/>
                <w:color w:val="auto"/>
                <w:sz w:val="21"/>
                <w:szCs w:val="21"/>
                <w:highlight w:val="none"/>
                <w:vertAlign w:val="baseline"/>
                <w:lang w:val="en-US" w:eastAsia="zh-CN"/>
              </w:rPr>
              <w:t>有资质单位处理</w:t>
            </w:r>
          </w:p>
        </w:tc>
        <w:tc>
          <w:tcPr>
            <w:tcW w:w="11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0.03</w:t>
            </w:r>
          </w:p>
        </w:tc>
      </w:tr>
    </w:tbl>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center"/>
        <w:textAlignment w:val="baseline"/>
        <w:rPr>
          <w:rFonts w:hint="eastAsia" w:cs="Times New Roman"/>
          <w:b/>
          <w:bCs/>
          <w:caps w:val="0"/>
          <w:smallCaps w:val="0"/>
          <w:snapToGrid/>
          <w:color w:val="auto"/>
          <w:spacing w:val="0"/>
          <w:w w:val="100"/>
          <w:kern w:val="0"/>
          <w:sz w:val="21"/>
          <w:szCs w:val="21"/>
          <w:highlight w:val="none"/>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br w:type="page"/>
      </w:r>
    </w:p>
    <w:p>
      <w:pPr>
        <w:rPr>
          <w:rFonts w:hint="eastAsia"/>
          <w:color w:val="auto"/>
          <w:highlight w:val="none"/>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27" w:name="_Toc10280"/>
      <w:r>
        <w:rPr>
          <w:rFonts w:hint="eastAsia" w:ascii="Times New Roman" w:hAnsi="Times New Roman" w:eastAsia="宋体" w:cs="Times New Roman"/>
          <w:snapToGrid/>
          <w:color w:val="auto"/>
          <w:sz w:val="32"/>
          <w:highlight w:val="none"/>
          <w:lang w:val="en-US" w:eastAsia="zh-CN" w:bidi="ar-SA"/>
        </w:rPr>
        <w:t>3.5清洁生产分析</w:t>
      </w:r>
      <w:bookmarkEnd w:id="27"/>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清洁生产是指不断采取改进设计、使用清洁的能源和原料、采用先进的工艺技术与设备、改善管理、综合利用等措施，从源头削减污染，提高资源利用效率，减少或者避免生产、服务和产品使用过程中污染物的产生和排放，以减轻或者消除对人类健康和环境的危害”。因此，实施清洁生产是实现节约型社会和推进可持续发展战略的重要举措。</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清洁生产评述将按照清洁生产的原理，从提高资源利用率和减少环境污染出发，针对项目生产工艺先进性、资源能源利用率、产品指标、污染物产生指标（末端处理前）和环境管理等方面评述清洁生产水平并提出技术要求。</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将在国家计委、经贸委、科委联合制定《中国节能技术政策大纲》的指导下，在设计工作中尽可能采用节能新技术、新设备。本评价从工艺技术、设备、资源、能源利用、三废产生和环境管理等几个方面进行分析，评述项目清洁生产水平。</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（1）工艺技术及设备先进性分析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本项目对</w:t>
      </w:r>
      <w:r>
        <w:rPr>
          <w:rFonts w:hint="eastAsia" w:cs="Times New Roman"/>
          <w:caps w:val="0"/>
          <w:smallCaps w:val="0"/>
          <w:color w:val="auto"/>
          <w:spacing w:val="0"/>
          <w:w w:val="100"/>
          <w:kern w:val="0"/>
          <w:sz w:val="24"/>
          <w:szCs w:val="24"/>
          <w:highlight w:val="none"/>
          <w:lang w:val="en-US" w:eastAsia="zh-CN"/>
        </w:rPr>
        <w:t>油田开采过程中产生压裂返排液</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进行处理，工艺流程短，处理效率高，冬季采暖</w:t>
      </w:r>
      <w:r>
        <w:rPr>
          <w:rFonts w:hint="eastAsia" w:cs="Times New Roman"/>
          <w:caps w:val="0"/>
          <w:smallCaps w:val="0"/>
          <w:snapToGrid/>
          <w:color w:val="auto"/>
          <w:spacing w:val="0"/>
          <w:w w:val="100"/>
          <w:kern w:val="0"/>
          <w:sz w:val="24"/>
          <w:szCs w:val="24"/>
          <w:highlight w:val="none"/>
          <w:vertAlign w:val="baseline"/>
          <w:lang w:val="en-US" w:eastAsia="zh-CN" w:bidi="ar-SA"/>
        </w:rPr>
        <w:t>使用天然气作为燃料，</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处理工艺较为先进。本项目无国家明令淘汰的落后设备，设备综合能耗低。</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（2）资源、能源利用水平分析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属于三废综合利用及治理工程项目，安全环保，不会对周边环境造成影响。厂内合理布置工艺流程，关键设备选用低耗、高效的先进设备。处理工艺流程按物料流向合理布置设备，减少物料往返次数，尽量缩短物料往返路线。</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项目根据国家能源设施重点建设项目松辽盆地北部古龙页岩油实验区需求，为其提供供水水源和</w:t>
      </w:r>
      <w:r>
        <w:rPr>
          <w:rFonts w:hint="eastAsia" w:cs="Times New Roman"/>
          <w:caps w:val="0"/>
          <w:smallCaps w:val="0"/>
          <w:snapToGrid/>
          <w:color w:val="auto"/>
          <w:spacing w:val="0"/>
          <w:w w:val="100"/>
          <w:kern w:val="0"/>
          <w:sz w:val="24"/>
          <w:szCs w:val="24"/>
          <w:highlight w:val="none"/>
          <w:vertAlign w:val="baseline"/>
          <w:lang w:val="en-US" w:eastAsia="zh-CN" w:bidi="ar-SA"/>
        </w:rPr>
        <w:t>油田开采</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废水处理服务。并通过做好进度计划并严格按计划进行作业，以减少设备运行时间，提高效率，降低能耗。对生产设备定期检查，定期维修。</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（3）“三废”排放水平分析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各项污染物采取措施后均能达标排放。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（4）环境管理要求</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①由于清洁生产是全过程的污染控制，涉及到企业各个部门，因此本评价建议成立清洁生产领导小组负责组织实施，按照分工负责原则，确定各职能部门的职责和责任人员，形成企业-部门-班组三级清洁生产网络，广泛宣传并对各岗位严格培训。</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②建设单位应加强生产过程中环境管理，定期对设备进行检修和维护确保环保设施正常运行。</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③建立健全环境管理机构和制度，对能源消耗实行定额管理，原始记录及统计数据齐全。</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（5）清洁生产水平分析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综合以上分析，本项目采用较先进的工艺及设备，降低了能耗，减少了物料损失，实现了资源的综合利用，对处理过程中产生的污染物进行了严格的治理，减少污染物的排放，达到了国家规定的排放标准，并有稳定可靠的环保治理措施，节能降耗措施可行，有健全的环境管理体系统，其清洁生产水平为国内先进水平。</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本评价通过分析认为，本项目对</w:t>
      </w:r>
      <w:r>
        <w:rPr>
          <w:rFonts w:hint="eastAsia" w:cs="Times New Roman"/>
          <w:caps w:val="0"/>
          <w:smallCaps w:val="0"/>
          <w:snapToGrid/>
          <w:color w:val="auto"/>
          <w:spacing w:val="0"/>
          <w:w w:val="100"/>
          <w:kern w:val="0"/>
          <w:sz w:val="24"/>
          <w:szCs w:val="24"/>
          <w:highlight w:val="none"/>
          <w:vertAlign w:val="baseline"/>
          <w:lang w:val="en-US" w:eastAsia="zh-CN" w:bidi="ar-SA"/>
        </w:rPr>
        <w:t>油田开采</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废水进行处理，</w:t>
      </w:r>
      <w:r>
        <w:rPr>
          <w:rFonts w:hint="eastAsia" w:cs="Times New Roman"/>
          <w:caps w:val="0"/>
          <w:smallCaps w:val="0"/>
          <w:snapToGrid/>
          <w:color w:val="auto"/>
          <w:spacing w:val="0"/>
          <w:w w:val="100"/>
          <w:kern w:val="0"/>
          <w:sz w:val="24"/>
          <w:szCs w:val="24"/>
          <w:highlight w:val="none"/>
          <w:vertAlign w:val="baseline"/>
          <w:lang w:val="en-US" w:eastAsia="zh-CN" w:bidi="ar-SA"/>
        </w:rPr>
        <w:t>处理达标后，回用于页岩油试验区压裂复配。产生的废水、固体废物等主要污染物均进行了合理利用，从源头减少污染，符合清洁生产思想。</w:t>
      </w:r>
    </w:p>
    <w:p>
      <w:pPr>
        <w:rPr>
          <w:rFonts w:hint="eastAsia"/>
          <w:color w:val="auto"/>
          <w:highlight w:val="none"/>
          <w:lang w:val="en-US" w:eastAsia="zh-CN"/>
        </w:rPr>
      </w:pPr>
    </w:p>
    <w:p>
      <w:pPr>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br w:type="page"/>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28" w:name="_Toc25932"/>
      <w:bookmarkStart w:id="29" w:name="_Toc22995"/>
      <w:r>
        <w:rPr>
          <w:rFonts w:hint="eastAsia" w:ascii="Times New Roman" w:hAnsi="Times New Roman" w:eastAsia="宋体" w:cs="Times New Roman"/>
          <w:snapToGrid/>
          <w:color w:val="auto"/>
          <w:sz w:val="32"/>
          <w:highlight w:val="none"/>
          <w:lang w:val="en-US" w:eastAsia="zh-CN" w:bidi="ar-SA"/>
        </w:rPr>
        <w:t>4环境现状调查与评价</w:t>
      </w:r>
      <w:bookmarkEnd w:id="28"/>
      <w:bookmarkEnd w:id="29"/>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30" w:name="_Toc15676"/>
      <w:r>
        <w:rPr>
          <w:rFonts w:hint="eastAsia" w:ascii="Times New Roman" w:hAnsi="Times New Roman" w:eastAsia="宋体" w:cs="Times New Roman"/>
          <w:snapToGrid/>
          <w:color w:val="auto"/>
          <w:sz w:val="32"/>
          <w:highlight w:val="none"/>
          <w:lang w:val="en-US" w:eastAsia="zh-CN" w:bidi="ar-SA"/>
        </w:rPr>
        <w:t>4.1自然环境现状调查</w:t>
      </w:r>
      <w:bookmarkEnd w:id="30"/>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4.1.1地理位置</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w:t>
      </w:r>
      <w:r>
        <w:rPr>
          <w:rFonts w:hint="eastAsia" w:cs="Times New Roman"/>
          <w:caps w:val="0"/>
          <w:smallCaps w:val="0"/>
          <w:snapToGrid/>
          <w:color w:val="auto"/>
          <w:spacing w:val="0"/>
          <w:w w:val="100"/>
          <w:kern w:val="0"/>
          <w:sz w:val="24"/>
          <w:szCs w:val="24"/>
          <w:highlight w:val="none"/>
          <w:vertAlign w:val="baseline"/>
          <w:lang w:val="en-US" w:eastAsia="zh-CN" w:bidi="ar-SA"/>
        </w:rPr>
        <w:t>新建3#服务站站址</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位于黑龙江省大庆市</w:t>
      </w:r>
      <w:r>
        <w:rPr>
          <w:rFonts w:hint="eastAsia" w:cs="Times New Roman"/>
          <w:caps w:val="0"/>
          <w:smallCaps w:val="0"/>
          <w:snapToGrid/>
          <w:color w:val="auto"/>
          <w:spacing w:val="0"/>
          <w:w w:val="100"/>
          <w:kern w:val="0"/>
          <w:sz w:val="24"/>
          <w:szCs w:val="24"/>
          <w:highlight w:val="none"/>
          <w:vertAlign w:val="baseline"/>
          <w:lang w:val="en-US" w:eastAsia="zh-CN" w:bidi="ar-SA"/>
        </w:rPr>
        <w:t>肇源县长发乡发展村东侧空地处，3#服务站中心地理坐标为124.269066093°，45.740629251°；3#站外输液管</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道由3#服务站西北角出线，沿西北向北布设，管道整体呈南北走向，管道终点由西南侧接入风瀚环保科技有限公司已建的2#服务站，途径道宝村、</w:t>
      </w:r>
      <w:r>
        <w:rPr>
          <w:rFonts w:hint="eastAsia" w:cs="Times New Roman"/>
          <w:caps w:val="0"/>
          <w:smallCaps w:val="0"/>
          <w:snapToGrid/>
          <w:color w:val="auto"/>
          <w:spacing w:val="0"/>
          <w:w w:val="100"/>
          <w:kern w:val="0"/>
          <w:sz w:val="24"/>
          <w:szCs w:val="24"/>
          <w:highlight w:val="none"/>
          <w:vertAlign w:val="baseline"/>
          <w:lang w:val="en-US" w:eastAsia="zh-CN" w:bidi="ar-SA"/>
        </w:rPr>
        <w:t>鸭木蛋格屯</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、古龙</w:t>
      </w:r>
      <w:r>
        <w:rPr>
          <w:rFonts w:hint="eastAsia" w:cs="Times New Roman"/>
          <w:caps w:val="0"/>
          <w:smallCaps w:val="0"/>
          <w:snapToGrid/>
          <w:color w:val="auto"/>
          <w:spacing w:val="0"/>
          <w:w w:val="100"/>
          <w:kern w:val="0"/>
          <w:sz w:val="24"/>
          <w:szCs w:val="24"/>
          <w:highlight w:val="none"/>
          <w:vertAlign w:val="baseline"/>
          <w:lang w:val="en-US" w:eastAsia="zh-CN" w:bidi="ar-SA"/>
        </w:rPr>
        <w:t>镇</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等村屯。</w:t>
      </w:r>
      <w:r>
        <w:rPr>
          <w:rFonts w:hint="eastAsia" w:cs="Times New Roman"/>
          <w:caps w:val="0"/>
          <w:smallCaps w:val="0"/>
          <w:snapToGrid/>
          <w:color w:val="auto"/>
          <w:spacing w:val="0"/>
          <w:w w:val="100"/>
          <w:kern w:val="0"/>
          <w:sz w:val="24"/>
          <w:szCs w:val="24"/>
          <w:highlight w:val="none"/>
          <w:vertAlign w:val="baseline"/>
          <w:lang w:val="en-US" w:eastAsia="zh-CN" w:bidi="ar-SA"/>
        </w:rPr>
        <w:t>2#站站外输液管道由已建的2#服务站站址西北侧出线，向北侧铺设，与1#服务站已建的输液管道连接，管道并列铺设，长度均为4km。</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4.1.2地形、地貌</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调查区内地表普遍被第四系覆盖。地表为缓波状起伏的低平原地貌景观。</w:t>
      </w:r>
      <w:r>
        <w:rPr>
          <w:rFonts w:hint="eastAsia" w:cs="Times New Roman"/>
          <w:caps w:val="0"/>
          <w:smallCaps w:val="0"/>
          <w:snapToGrid/>
          <w:color w:val="auto"/>
          <w:spacing w:val="0"/>
          <w:w w:val="100"/>
          <w:kern w:val="0"/>
          <w:sz w:val="24"/>
          <w:szCs w:val="24"/>
          <w:highlight w:val="none"/>
          <w:vertAlign w:val="baseline"/>
          <w:lang w:val="en-US" w:eastAsia="zh-CN" w:bidi="ar-SA"/>
        </w:rPr>
        <w:t>服务站站址处</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海拔高程在</w:t>
      </w:r>
      <w:r>
        <w:rPr>
          <w:rFonts w:hint="eastAsia" w:cs="Times New Roman"/>
          <w:caps w:val="0"/>
          <w:smallCaps w:val="0"/>
          <w:snapToGrid/>
          <w:color w:val="auto"/>
          <w:spacing w:val="0"/>
          <w:w w:val="100"/>
          <w:kern w:val="0"/>
          <w:sz w:val="24"/>
          <w:szCs w:val="24"/>
          <w:highlight w:val="none"/>
          <w:vertAlign w:val="baseline"/>
          <w:lang w:val="en-US" w:eastAsia="zh-CN" w:bidi="ar-SA"/>
        </w:rPr>
        <w:t>128.89-129.67</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m之间</w:t>
      </w:r>
      <w:r>
        <w:rPr>
          <w:rFonts w:hint="eastAsia" w:cs="Times New Roman"/>
          <w:caps w:val="0"/>
          <w:smallCaps w:val="0"/>
          <w:snapToGrid/>
          <w:color w:val="auto"/>
          <w:spacing w:val="0"/>
          <w:w w:val="100"/>
          <w:kern w:val="0"/>
          <w:sz w:val="24"/>
          <w:szCs w:val="24"/>
          <w:highlight w:val="none"/>
          <w:vertAlign w:val="baseline"/>
          <w:lang w:val="en-US" w:eastAsia="zh-CN" w:bidi="ar-SA"/>
        </w:rPr>
        <w:t>；管道铺设区域呈中间区域高程较高，管道起点及终点高程较低，</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相对高差</w:t>
      </w:r>
      <w:r>
        <w:rPr>
          <w:rFonts w:hint="eastAsia" w:cs="Times New Roman"/>
          <w:caps w:val="0"/>
          <w:smallCaps w:val="0"/>
          <w:snapToGrid/>
          <w:color w:val="auto"/>
          <w:spacing w:val="0"/>
          <w:w w:val="100"/>
          <w:kern w:val="0"/>
          <w:sz w:val="24"/>
          <w:szCs w:val="24"/>
          <w:highlight w:val="none"/>
          <w:vertAlign w:val="baseline"/>
          <w:lang w:val="en-US" w:eastAsia="zh-CN" w:bidi="ar-SA"/>
        </w:rPr>
        <w:t>15.16</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m</w:t>
      </w:r>
      <w:r>
        <w:rPr>
          <w:rFonts w:hint="eastAsia" w:cs="Times New Roman"/>
          <w:caps w:val="0"/>
          <w:smallCaps w:val="0"/>
          <w:snapToGrid/>
          <w:color w:val="auto"/>
          <w:spacing w:val="0"/>
          <w:w w:val="100"/>
          <w:kern w:val="0"/>
          <w:sz w:val="24"/>
          <w:szCs w:val="24"/>
          <w:highlight w:val="none"/>
          <w:vertAlign w:val="baseline"/>
          <w:lang w:val="en-US" w:eastAsia="zh-CN" w:bidi="ar-SA"/>
        </w:rPr>
        <w:t>。站址及管道铺设区域周围分布着村屯及大量的</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农田</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4.1.3气候气象</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大庆市气象局近20年气象观测资料显示，</w:t>
      </w:r>
      <w:r>
        <w:rPr>
          <w:rFonts w:hint="eastAsia" w:cs="Times New Roman"/>
          <w:caps w:val="0"/>
          <w:smallCaps w:val="0"/>
          <w:snapToGrid/>
          <w:color w:val="auto"/>
          <w:spacing w:val="0"/>
          <w:w w:val="100"/>
          <w:kern w:val="0"/>
          <w:sz w:val="24"/>
          <w:szCs w:val="24"/>
          <w:highlight w:val="none"/>
          <w:vertAlign w:val="baseline"/>
          <w:lang w:val="en-US" w:eastAsia="zh-CN" w:bidi="ar-SA"/>
        </w:rPr>
        <w:t>项目</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所在地区属北温带大陆性季风气候，四季分明，受蒙古内陆冷空气和海洋暖流季风影响较大，冬季漫长而寒冷干燥，夏季短暂而温湿多雨，春秋季风交替，气温变化大，冰封期长，无霜期短，冻土深达2-2.2m。</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479" w:leftChars="228" w:firstLine="0" w:firstLineChars="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气温：年平均气温3.3℃，年极端最高气温38.9 ℃，年极端最低气温-36.2℃。风速：平均风速3.7m/s，年最大风速为22.7m/s，SW。</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降水量：年平均442.0mm，年最大降水量651.2mm。</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年平均水气压：8.2hpa。</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降雪量：平均积雪158d，最大积雪深度220.0mm。</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蒸发量：年平均蒸发量1531.4mm，年最大蒸发量1711.0mm，年最小蒸发量1378.4mm。</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4.1.4水文地质</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4.1.4.1地层岩性</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根据地质钻探资料分析，</w:t>
      </w:r>
      <w:r>
        <w:rPr>
          <w:rFonts w:hint="eastAsia" w:cs="Times New Roman"/>
          <w:caps w:val="0"/>
          <w:smallCaps w:val="0"/>
          <w:snapToGrid/>
          <w:color w:val="auto"/>
          <w:spacing w:val="0"/>
          <w:w w:val="100"/>
          <w:kern w:val="0"/>
          <w:sz w:val="24"/>
          <w:szCs w:val="24"/>
          <w:highlight w:val="none"/>
          <w:vertAlign w:val="baseline"/>
          <w:lang w:val="en-US" w:eastAsia="zh-CN" w:bidi="ar-SA"/>
        </w:rPr>
        <w:t>评价</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调查区内浅部地层从老到新依次为新近系泰康组（N</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t）和第四系（Q）。项目区域所在地地质概况如下：</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（1）</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新近系泰康组（N</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新近系泰康组（N</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t）地层在调查区内广泛分布，发育良好。调查区北部地层厚度一般为100.0-145.0m。岩性：上部为灰绿、黄绿色泥岩，泥质粉砂岩，灰黄灰色砂岩；下部为灰白色块状砂砾岩，中粗砂岩；调查区南部地层厚度一般为90.0-116.0m。岩性：上部为灰绿色泥岩，下部为灰白色砂砾岩，中粗砂岩。本组地层与下伏地层为不整合接触。</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第四系</w:t>
      </w:r>
      <w:r>
        <w:rPr>
          <w:rFonts w:hint="eastAsia" w:cs="Times New Roman"/>
          <w:caps w:val="0"/>
          <w:smallCaps w:val="0"/>
          <w:snapToGrid/>
          <w:color w:val="auto"/>
          <w:spacing w:val="0"/>
          <w:w w:val="100"/>
          <w:kern w:val="0"/>
          <w:sz w:val="24"/>
          <w:szCs w:val="24"/>
          <w:highlight w:val="none"/>
          <w:vertAlign w:val="baseline"/>
          <w:lang w:val="en-US" w:eastAsia="zh-CN" w:bidi="ar-SA"/>
        </w:rPr>
        <w:t>（Q）</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调查区广泛分布，调查区北部其厚度一般67.0-114.0m；调查区南部其厚度一般69.0-80.0m。上部为黄色粉质黏土和黄色细砂，中部为灰色粉质黏土，下部为灰色粉砂，底部为灰白色砂砾石。本组地层与下伏地层为不整合接触。</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根据浅部钻孔资料，所揭露的地层按照岩土成因、结构、性质综合划分4层。对地层结构及特征描述如下：</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①粉质黏土：黄褐色，冲积成因。土质不均匀，局部含粉土。无摇震反应，稍有光泽，干强度中等，韧性中等，可塑-软塑。渗透系数经验值K=0.1m/d，孔隙度经验值n=45%。</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②细砂：黄色，冲积成因，颗粒较均匀，局部地区含少量粉土，矿物成分以石英、长石等矿物为主，含少量暗色矿物，稍密，稍湿-饱和。渗透系数经验值k=5.0m/d，孔隙度经验值n=40%。</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③粉质黏土：灰色，淤积成因。土质较均匀。无摇震反应，稍有光泽，干强度中等，韧性中等，可塑。渗透系数经验值K=0.1m/d，孔隙度经验值n=45%。</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④粉砂：灰色，淤积成因，颗粒较均匀，矿物成分以石英、长石等矿物为主，中密，饱和。渗透系数建议值k=1.5m/d，孔隙度经验值n=40%。</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4.1.4.2区域含水层</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（1）</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第四系含水层</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第四系潜水含水层岩性主要是细砂。</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潜水水文地质参数：北部调查区和南部调查区有效孔隙度均为：32%（根据地质出版社《地下水科学概论》）；北部调查区和南部调查区渗透系数均为：5.0m/d（根据《环境影响评价技术导则-地下水环境》HJ610-2016）；水力坡度（根据水位等值线图量得）：0.00051（北部调查区）、0.00007（南部调查区）；地下水流速：0.00255m/d（北部调查区）、0.00035m/d（南部调查区）。</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新近系泰康承压含水层</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新近系泰康组含水层分布在调查区广泛分布，为承压含水层，北部调查区厚度72.0-93.0m，南部调查区厚度78.0-107.0m。北部调查区和南部调查区含水层岩性均为灰白色砂砾岩、中粗砂岩，孔隙较大，连通性好，渗透性较好，富水性强。</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承压水水文地质参数：北部调查区和南部调查区有效孔隙度均为：33.5%（根据地质出版社《地下水科学概论》）；北部调查区和南部调查区渗透系数均为：64.0m/d（根据《环境影响评价技术导则-地下水环境》HJ610-2016）；水力坡度（根据水位等值线图量得）：0.00021（北部调查区）、0.00007（南部调查区）；地下水流速：0.01344m/d（北部调查区）、0.00448m/d（南部调查区）。</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4.1.4.3地下水补径排</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地下水系统及其周围环境决定了地下水补给、径流、排泄特征，而其补给、径流和排泄构成了含水层地下水流系统形成条件。</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（1）</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地下水补给</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第四系潜水含水层地下水补给主要为大气降水入渗补给。</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新近系泰康组含水层地下水补给主要为地下水径流补给、第四系垂向渗透补给以及各含水层之间的越流补给。</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2）地下水径流</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从潜水地下水等水位线图可看出，南部区和北部区地下水的总径流方向均为由北向南，局部地区受地势影响。从新近系泰康组承压含水层等水位线图可看出，北部调查区：调查区新近系泰康组地下水径流方向受他拉哈镇及腰新屯用水影响为由东北向西南；南部调查区：调查区新近系泰康组地下水径流方向受新站镇及革志屯用水影响为由西南向东北。</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地下水的排泄</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根据调查区的地质及水文地质条件和地下水开采情况分析，地下水的排泄方式主要有三种：蒸发排泄、地下水的径流排泄、地下水人工开采排泄。</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4.1.4.4地下水动态</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区域潜水含水层埋深较浅，水位变化主要受大气降水补给和人工开采影响较大。根据已有资料，地下水枯水期为1～3月份，丰水期为4～9月份。</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北部调查区：调查期间（2021年6月）潜水埋深2.92～10.00m之间，潜水埋深变化较大，水位变化差8.20m左右。调查区内新近系泰康组承压含水层水位随周边油田用水量变化而变化。根据</w:t>
      </w:r>
      <w:r>
        <w:rPr>
          <w:rFonts w:hint="eastAsia" w:cs="Times New Roman"/>
          <w:caps w:val="0"/>
          <w:smallCaps w:val="0"/>
          <w:snapToGrid/>
          <w:color w:val="auto"/>
          <w:spacing w:val="0"/>
          <w:w w:val="100"/>
          <w:kern w:val="0"/>
          <w:sz w:val="24"/>
          <w:szCs w:val="24"/>
          <w:highlight w:val="none"/>
          <w:vertAlign w:val="baseline"/>
          <w:lang w:val="en-US" w:eastAsia="zh-CN" w:bidi="ar-SA"/>
        </w:rPr>
        <w:t>油田开发区域内</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观测井他G1-2井资料显示，地下水水位埋深在调查期间为9.99-11.63m，在一个水文年内地下水丰水期为10-12月份，水位埋深9.99-10.16m，枯水期为5～8月份，水位埋深10.95-11.63m，见下图（2020年他G1-2井地下水水位历时曲线）。</w:t>
      </w:r>
    </w:p>
    <w:p>
      <w:pPr>
        <w:pStyle w:val="11"/>
        <w:ind w:left="0" w:leftChars="0" w:firstLine="0" w:firstLineChars="0"/>
        <w:rPr>
          <w:rFonts w:hint="eastAsia"/>
          <w:color w:val="auto"/>
          <w:highlight w:val="none"/>
          <w:lang w:val="en-US" w:eastAsia="zh-CN"/>
        </w:rPr>
      </w:pPr>
      <w:r>
        <w:rPr>
          <w:rFonts w:hint="eastAsia"/>
          <w:color w:val="auto"/>
          <w:highlight w:val="none"/>
          <w:lang w:val="en-US" w:eastAsia="zh-CN"/>
        </w:rPr>
        <w:drawing>
          <wp:inline distT="0" distB="0" distL="114300" distR="114300">
            <wp:extent cx="5267325" cy="2524125"/>
            <wp:effectExtent l="0" t="0" r="0" b="0"/>
            <wp:docPr id="3" name="图片 3" descr="北部调查区地下水水位动态变化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北部调查区地下水水位动态变化图"/>
                    <pic:cNvPicPr>
                      <a:picLocks noChangeAspect="1"/>
                    </pic:cNvPicPr>
                  </pic:nvPicPr>
                  <pic:blipFill>
                    <a:blip r:embed="rId30"/>
                    <a:stretch>
                      <a:fillRect/>
                    </a:stretch>
                  </pic:blipFill>
                  <pic:spPr>
                    <a:xfrm>
                      <a:off x="0" y="0"/>
                      <a:ext cx="5267325" cy="2524125"/>
                    </a:xfrm>
                    <a:prstGeom prst="rect">
                      <a:avLst/>
                    </a:prstGeom>
                  </pic:spPr>
                </pic:pic>
              </a:graphicData>
            </a:graphic>
          </wp:inline>
        </w:drawing>
      </w:r>
    </w:p>
    <w:p>
      <w:pPr>
        <w:jc w:val="cente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图4.1-1北部调查区地下水水位动态变化图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南部调查区：调查期间（2021年7月）潜水埋深1.10～13.50m之间，潜水埋深变化较大，水位变化差12.40m左右。调查区内新近系泰康组承压含水层水位随周边油田用水量变化而变化。根据</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油田开发区域内</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观测井9503井资料显示，地下水水位埋深在调查期间为4.97-8.83m，在一个水文年内地下水丰水期为10-12月份，水位埋深4.97-5.20m，枯水期为5～8月份，水位埋深6.29-8.83m，见下图（2020年9503井地下水水位历时曲线）。</w:t>
      </w:r>
    </w:p>
    <w:p>
      <w:pPr>
        <w:pStyle w:val="11"/>
        <w:ind w:left="0" w:leftChars="0" w:firstLine="0" w:firstLineChars="0"/>
        <w:rPr>
          <w:rFonts w:hint="default"/>
          <w:color w:val="auto"/>
          <w:highlight w:val="none"/>
          <w:lang w:val="en-US" w:eastAsia="zh-CN"/>
        </w:rPr>
      </w:pPr>
      <w:r>
        <w:rPr>
          <w:rFonts w:hint="default"/>
          <w:color w:val="auto"/>
          <w:highlight w:val="none"/>
          <w:lang w:val="en-US" w:eastAsia="zh-CN"/>
        </w:rPr>
        <w:drawing>
          <wp:inline distT="0" distB="0" distL="114300" distR="114300">
            <wp:extent cx="5267325" cy="2524125"/>
            <wp:effectExtent l="0" t="0" r="0" b="0"/>
            <wp:docPr id="4" name="图片 4" descr="南部调查区地下水水位动态变化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南部调查区地下水水位动态变化图"/>
                    <pic:cNvPicPr>
                      <a:picLocks noChangeAspect="1"/>
                    </pic:cNvPicPr>
                  </pic:nvPicPr>
                  <pic:blipFill>
                    <a:blip r:embed="rId31"/>
                    <a:stretch>
                      <a:fillRect/>
                    </a:stretch>
                  </pic:blipFill>
                  <pic:spPr>
                    <a:xfrm>
                      <a:off x="0" y="0"/>
                      <a:ext cx="5267325" cy="2524125"/>
                    </a:xfrm>
                    <a:prstGeom prst="rect">
                      <a:avLst/>
                    </a:prstGeom>
                  </pic:spPr>
                </pic:pic>
              </a:graphicData>
            </a:graphic>
          </wp:inline>
        </w:drawing>
      </w:r>
    </w:p>
    <w:p>
      <w:pPr>
        <w:jc w:val="cente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图4.1-2南部调查区地下水水位动态变化图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4.1.5动植物分布</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植物分布：</w:t>
      </w:r>
      <w:r>
        <w:rPr>
          <w:rFonts w:hint="eastAsia" w:cs="Times New Roman"/>
          <w:caps w:val="0"/>
          <w:smallCaps w:val="0"/>
          <w:snapToGrid/>
          <w:color w:val="auto"/>
          <w:spacing w:val="0"/>
          <w:w w:val="100"/>
          <w:kern w:val="0"/>
          <w:sz w:val="24"/>
          <w:szCs w:val="24"/>
          <w:highlight w:val="none"/>
          <w:vertAlign w:val="baseline"/>
          <w:lang w:val="en-US" w:eastAsia="zh-CN" w:bidi="ar-SA"/>
        </w:rPr>
        <w:t>项目</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所在区域内主要土壤类型草甸土</w:t>
      </w:r>
      <w:r>
        <w:rPr>
          <w:rFonts w:hint="eastAsia" w:cs="Times New Roman"/>
          <w:caps w:val="0"/>
          <w:smallCaps w:val="0"/>
          <w:snapToGrid/>
          <w:color w:val="auto"/>
          <w:spacing w:val="0"/>
          <w:w w:val="100"/>
          <w:kern w:val="0"/>
          <w:sz w:val="24"/>
          <w:szCs w:val="24"/>
          <w:highlight w:val="none"/>
          <w:vertAlign w:val="baseline"/>
          <w:lang w:val="en-US" w:eastAsia="zh-CN" w:bidi="ar-SA"/>
        </w:rPr>
        <w:t>及耕地腐殖质黑土</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，黑土层一般为30-50cm，有机质含量4%-7%，是一种</w:t>
      </w:r>
      <w:r>
        <w:rPr>
          <w:rFonts w:hint="eastAsia" w:cs="Times New Roman"/>
          <w:caps w:val="0"/>
          <w:smallCaps w:val="0"/>
          <w:snapToGrid/>
          <w:color w:val="auto"/>
          <w:spacing w:val="0"/>
          <w:w w:val="100"/>
          <w:kern w:val="0"/>
          <w:sz w:val="24"/>
          <w:szCs w:val="24"/>
          <w:highlight w:val="none"/>
          <w:vertAlign w:val="baseline"/>
          <w:lang w:val="en-US" w:eastAsia="zh-CN" w:bidi="ar-SA"/>
        </w:rPr>
        <w:t>肥力优渥的</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土壤，这类土壤多处在</w:t>
      </w:r>
      <w:r>
        <w:rPr>
          <w:rFonts w:hint="eastAsia" w:cs="Times New Roman"/>
          <w:caps w:val="0"/>
          <w:smallCaps w:val="0"/>
          <w:snapToGrid/>
          <w:color w:val="auto"/>
          <w:spacing w:val="0"/>
          <w:w w:val="100"/>
          <w:kern w:val="0"/>
          <w:sz w:val="24"/>
          <w:szCs w:val="24"/>
          <w:highlight w:val="none"/>
          <w:vertAlign w:val="baseline"/>
          <w:lang w:val="en-US" w:eastAsia="zh-CN" w:bidi="ar-SA"/>
        </w:rPr>
        <w:t>耕地内，区域</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地势低平。自然植被以蒿属等植物为主，同时还分布有碱草、碱蒿等耐盐碱植物，由于人类不断外扩开垦，项目区域内土地已全部开垦为耕地，区域内农作物主要为水稻、玉米、土豆、白菜及其它应季蔬菜等，耕地间分布有以杨树为主的防护林带。</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动物分布：评价范围内工农业生产活动频度和强度都比较高，地域原有的野生动物基本消失，伴之而来的地域物种主要与农业生产活动有关，较大型哺乳类动物基本绝迹，但小型哺乳类特别是鼠类仍为常见种。野生动物主要有普通刺猬（Erinaceus amurensis Schrenk）、东北兔（Lepus mandschuricus Radde）、黄鼬（Mustela sibirica Pallas）、褐家鼠（Rattus nitidus）、小家鼠（Mus musculus L.）、大仓鼠（Cricetulus triton）、东方田鼠（M icrotus fortis Buchner）、普通田鼠（Microtus arvalis）等10余种啮齿目、兔形目和食肉目动物。由于农业区内人类活动干扰较大，躲避天敌的条件较差，因此鸟类一般不会在此繁殖。区内鸟类主要为村栖型等伴人鸟类，如喜鹊（P. pica sericea Gould）、小嘴乌鸦（C.corone orientalis Evers）、麻雀（P. montanus montanus）、家燕（H rustica gutturalis Scopoli）等。</w:t>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31" w:name="_Toc18875"/>
      <w:r>
        <w:rPr>
          <w:rFonts w:hint="eastAsia" w:ascii="Times New Roman" w:hAnsi="Times New Roman" w:eastAsia="宋体" w:cs="Times New Roman"/>
          <w:snapToGrid/>
          <w:color w:val="auto"/>
          <w:sz w:val="32"/>
          <w:highlight w:val="none"/>
          <w:lang w:val="en-US" w:eastAsia="zh-CN" w:bidi="ar-SA"/>
        </w:rPr>
        <w:t>4.2环境质量现状调查与评价</w:t>
      </w:r>
      <w:bookmarkEnd w:id="31"/>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4.2.1环境空气现状调查与评价</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（1）基本污染物环境空气质量现状</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位于黑龙江省大庆市肇源县境内，根据大庆市生态环境局发布的《2022年大庆市生态环境状况公报》可知，项目所在区域为环境空气质量达标区。2022年大庆市环境空气质量优良天数为344天，环境空气质量优良率为94.2%，大庆市2022年环境空气质量统计数据见表4.2-1。</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表4.2-1 区域空气质量现状评价表</w:t>
      </w:r>
    </w:p>
    <w:tbl>
      <w:tblPr>
        <w:tblStyle w:val="15"/>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39"/>
        <w:gridCol w:w="2053"/>
        <w:gridCol w:w="2300"/>
        <w:gridCol w:w="1302"/>
        <w:gridCol w:w="760"/>
        <w:gridCol w:w="75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污染物</w:t>
            </w:r>
          </w:p>
        </w:tc>
        <w:tc>
          <w:tcPr>
            <w:tcW w:w="12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年评价指标</w:t>
            </w:r>
          </w:p>
        </w:tc>
        <w:tc>
          <w:tcPr>
            <w:tcW w:w="13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现状浓度（μg/m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p>
        </w:tc>
        <w:tc>
          <w:tcPr>
            <w:tcW w:w="76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标准值（μg/m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p>
        </w:tc>
        <w:tc>
          <w:tcPr>
            <w:tcW w:w="44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占标率%</w:t>
            </w:r>
          </w:p>
        </w:tc>
        <w:tc>
          <w:tcPr>
            <w:tcW w:w="4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SO</w:t>
            </w:r>
            <w:r>
              <w:rPr>
                <w:rFonts w:hint="default" w:ascii="Times New Roman" w:hAnsi="Times New Roman" w:cs="Times New Roman"/>
                <w:color w:val="auto"/>
                <w:sz w:val="21"/>
                <w:szCs w:val="21"/>
                <w:highlight w:val="none"/>
                <w:vertAlign w:val="subscript"/>
                <w:lang w:val="en-US" w:eastAsia="zh-CN"/>
              </w:rPr>
              <w:t>2</w:t>
            </w:r>
          </w:p>
        </w:tc>
        <w:tc>
          <w:tcPr>
            <w:tcW w:w="12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年平均质量浓度</w:t>
            </w:r>
          </w:p>
        </w:tc>
        <w:tc>
          <w:tcPr>
            <w:tcW w:w="13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w:t>
            </w:r>
          </w:p>
        </w:tc>
        <w:tc>
          <w:tcPr>
            <w:tcW w:w="76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60</w:t>
            </w:r>
          </w:p>
        </w:tc>
        <w:tc>
          <w:tcPr>
            <w:tcW w:w="44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11.67</w:t>
            </w:r>
          </w:p>
        </w:tc>
        <w:tc>
          <w:tcPr>
            <w:tcW w:w="4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NO</w:t>
            </w:r>
            <w:r>
              <w:rPr>
                <w:rFonts w:hint="default" w:ascii="Times New Roman" w:hAnsi="Times New Roman" w:cs="Times New Roman"/>
                <w:color w:val="auto"/>
                <w:sz w:val="21"/>
                <w:szCs w:val="21"/>
                <w:highlight w:val="none"/>
                <w:vertAlign w:val="subscript"/>
                <w:lang w:val="en-US" w:eastAsia="zh-CN"/>
              </w:rPr>
              <w:t>2</w:t>
            </w:r>
          </w:p>
        </w:tc>
        <w:tc>
          <w:tcPr>
            <w:tcW w:w="12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年平均质量浓度</w:t>
            </w:r>
          </w:p>
        </w:tc>
        <w:tc>
          <w:tcPr>
            <w:tcW w:w="13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16</w:t>
            </w:r>
          </w:p>
        </w:tc>
        <w:tc>
          <w:tcPr>
            <w:tcW w:w="76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40</w:t>
            </w:r>
          </w:p>
        </w:tc>
        <w:tc>
          <w:tcPr>
            <w:tcW w:w="44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40.00</w:t>
            </w:r>
          </w:p>
        </w:tc>
        <w:tc>
          <w:tcPr>
            <w:tcW w:w="4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PM</w:t>
            </w:r>
            <w:r>
              <w:rPr>
                <w:rFonts w:hint="default" w:ascii="Times New Roman" w:hAnsi="Times New Roman" w:cs="Times New Roman"/>
                <w:color w:val="auto"/>
                <w:sz w:val="21"/>
                <w:szCs w:val="21"/>
                <w:highlight w:val="none"/>
                <w:vertAlign w:val="subscript"/>
                <w:lang w:val="en-US" w:eastAsia="zh-CN"/>
              </w:rPr>
              <w:t>10</w:t>
            </w:r>
          </w:p>
        </w:tc>
        <w:tc>
          <w:tcPr>
            <w:tcW w:w="12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年平均质量浓度</w:t>
            </w:r>
          </w:p>
        </w:tc>
        <w:tc>
          <w:tcPr>
            <w:tcW w:w="13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38</w:t>
            </w:r>
          </w:p>
        </w:tc>
        <w:tc>
          <w:tcPr>
            <w:tcW w:w="76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70</w:t>
            </w:r>
          </w:p>
        </w:tc>
        <w:tc>
          <w:tcPr>
            <w:tcW w:w="44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54.29</w:t>
            </w:r>
          </w:p>
        </w:tc>
        <w:tc>
          <w:tcPr>
            <w:tcW w:w="4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PM</w:t>
            </w:r>
            <w:r>
              <w:rPr>
                <w:rFonts w:hint="default" w:ascii="Times New Roman" w:hAnsi="Times New Roman" w:cs="Times New Roman"/>
                <w:color w:val="auto"/>
                <w:sz w:val="21"/>
                <w:szCs w:val="21"/>
                <w:highlight w:val="none"/>
                <w:vertAlign w:val="subscript"/>
                <w:lang w:val="en-US" w:eastAsia="zh-CN"/>
              </w:rPr>
              <w:t>2.5</w:t>
            </w:r>
          </w:p>
        </w:tc>
        <w:tc>
          <w:tcPr>
            <w:tcW w:w="12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年平均质量浓度</w:t>
            </w:r>
          </w:p>
        </w:tc>
        <w:tc>
          <w:tcPr>
            <w:tcW w:w="13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26</w:t>
            </w:r>
          </w:p>
        </w:tc>
        <w:tc>
          <w:tcPr>
            <w:tcW w:w="76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35</w:t>
            </w:r>
          </w:p>
        </w:tc>
        <w:tc>
          <w:tcPr>
            <w:tcW w:w="44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74.29</w:t>
            </w:r>
          </w:p>
        </w:tc>
        <w:tc>
          <w:tcPr>
            <w:tcW w:w="4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CO</w:t>
            </w:r>
          </w:p>
        </w:tc>
        <w:tc>
          <w:tcPr>
            <w:tcW w:w="12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24小时平均第95百分位数</w:t>
            </w:r>
          </w:p>
        </w:tc>
        <w:tc>
          <w:tcPr>
            <w:tcW w:w="13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900</w:t>
            </w:r>
          </w:p>
        </w:tc>
        <w:tc>
          <w:tcPr>
            <w:tcW w:w="76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4</w:t>
            </w:r>
            <w:r>
              <w:rPr>
                <w:rFonts w:hint="eastAsia" w:ascii="Times New Roman" w:hAnsi="Times New Roman" w:cs="Times New Roman"/>
                <w:color w:val="auto"/>
                <w:sz w:val="21"/>
                <w:szCs w:val="21"/>
                <w:highlight w:val="none"/>
                <w:vertAlign w:val="baseline"/>
                <w:lang w:val="en-US" w:eastAsia="zh-CN"/>
              </w:rPr>
              <w:t>000</w:t>
            </w:r>
          </w:p>
        </w:tc>
        <w:tc>
          <w:tcPr>
            <w:tcW w:w="44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22.50</w:t>
            </w:r>
          </w:p>
        </w:tc>
        <w:tc>
          <w:tcPr>
            <w:tcW w:w="4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8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baseline"/>
                <w:lang w:val="en-US" w:eastAsia="zh-CN"/>
              </w:rPr>
              <w:t>日最大8小时平均</w:t>
            </w:r>
          </w:p>
        </w:tc>
        <w:tc>
          <w:tcPr>
            <w:tcW w:w="12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第90百分位数平均质量浓度</w:t>
            </w:r>
          </w:p>
        </w:tc>
        <w:tc>
          <w:tcPr>
            <w:tcW w:w="135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110</w:t>
            </w:r>
          </w:p>
        </w:tc>
        <w:tc>
          <w:tcPr>
            <w:tcW w:w="76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160</w:t>
            </w:r>
          </w:p>
        </w:tc>
        <w:tc>
          <w:tcPr>
            <w:tcW w:w="44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68.75</w:t>
            </w:r>
          </w:p>
        </w:tc>
        <w:tc>
          <w:tcPr>
            <w:tcW w:w="44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达标</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以上统计结果表明，项目所在区域内空气污染因子PM</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10</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、PM</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2.5</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、SO</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、NO</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、CO、O</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均</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满足《环境空气质量标准》（GB 3095-2012）及其修改单中二级标准的要求，判定项目所在区域为达标区。</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（2）环境空气质量现状补充监测</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①监测点位布设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根据《环境影响评价技术导则 大气环境》（HJ2.2—2018），以近20年统计的当地主导风向为轴向，</w:t>
      </w:r>
      <w:r>
        <w:rPr>
          <w:rFonts w:hint="eastAsia" w:cs="Times New Roman"/>
          <w:caps w:val="0"/>
          <w:smallCaps w:val="0"/>
          <w:snapToGrid/>
          <w:color w:val="auto"/>
          <w:spacing w:val="0"/>
          <w:w w:val="100"/>
          <w:kern w:val="0"/>
          <w:sz w:val="24"/>
          <w:szCs w:val="24"/>
          <w:highlight w:val="none"/>
          <w:vertAlign w:val="baseline"/>
          <w:lang w:val="en-US" w:eastAsia="zh-CN" w:bidi="ar-SA"/>
        </w:rPr>
        <w:t>本次共布设12个环境空气监测点位。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22" w:firstLineChars="200"/>
        <w:jc w:val="center"/>
        <w:textAlignment w:val="baseline"/>
        <w:rPr>
          <w:rFonts w:hint="eastAsia" w:ascii="Times New Roman" w:hAnsi="Times New Roman" w:eastAsia="宋体" w:cs="Times New Roman"/>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表4.2-2环境空气现状监测点位</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47"/>
        <w:gridCol w:w="1602"/>
        <w:gridCol w:w="1981"/>
        <w:gridCol w:w="1183"/>
        <w:gridCol w:w="1170"/>
        <w:gridCol w:w="173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序号</w:t>
            </w:r>
          </w:p>
        </w:tc>
        <w:tc>
          <w:tcPr>
            <w:tcW w:w="16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aps w:val="0"/>
                <w:smallCaps w:val="0"/>
                <w:color w:val="auto"/>
                <w:spacing w:val="0"/>
                <w:w w:val="100"/>
                <w:kern w:val="21"/>
                <w:sz w:val="21"/>
                <w:szCs w:val="21"/>
                <w:highlight w:val="none"/>
              </w:rPr>
              <w:t>监测点名称</w:t>
            </w:r>
          </w:p>
        </w:tc>
        <w:tc>
          <w:tcPr>
            <w:tcW w:w="19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监测点坐标（°）</w:t>
            </w:r>
          </w:p>
        </w:tc>
        <w:tc>
          <w:tcPr>
            <w:tcW w:w="11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监测因子</w:t>
            </w:r>
          </w:p>
        </w:tc>
        <w:tc>
          <w:tcPr>
            <w:tcW w:w="117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监测时段</w:t>
            </w:r>
          </w:p>
        </w:tc>
        <w:tc>
          <w:tcPr>
            <w:tcW w:w="173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相对厂址方位</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距离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c>
          <w:tcPr>
            <w:tcW w:w="1602" w:type="dxa"/>
            <w:tcBorders>
              <w:tl2br w:val="nil"/>
              <w:tr2bl w:val="nil"/>
            </w:tcBorders>
            <w:vAlign w:val="center"/>
          </w:tcPr>
          <w:p>
            <w:pPr>
              <w:pStyle w:val="31"/>
              <w:snapToGrid w:val="0"/>
              <w:spacing w:line="240" w:lineRule="auto"/>
              <w:rPr>
                <w:rFonts w:hint="eastAsia" w:ascii="Times New Roman" w:hAnsi="Times New Roman" w:eastAsia="宋体"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发展村</w:t>
            </w:r>
          </w:p>
        </w:tc>
        <w:tc>
          <w:tcPr>
            <w:tcW w:w="19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124.264707210,45.739282220</w:t>
            </w:r>
          </w:p>
        </w:tc>
        <w:tc>
          <w:tcPr>
            <w:tcW w:w="118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非甲烷总烃、氨、硫化氢、颗粒物</w:t>
            </w:r>
          </w:p>
        </w:tc>
        <w:tc>
          <w:tcPr>
            <w:tcW w:w="117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非甲烷总烃</w:t>
            </w:r>
            <w:r>
              <w:rPr>
                <w:rFonts w:hint="eastAsia"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氨、硫化氢监测小时值；颗粒物监测日均值</w:t>
            </w:r>
          </w:p>
        </w:tc>
        <w:tc>
          <w:tcPr>
            <w:tcW w:w="1733" w:type="dxa"/>
            <w:tcBorders>
              <w:tl2br w:val="nil"/>
              <w:tr2bl w:val="nil"/>
            </w:tcBorders>
            <w:vAlign w:val="center"/>
          </w:tcPr>
          <w:p>
            <w:pPr>
              <w:pStyle w:val="31"/>
              <w:widowControl w:val="0"/>
              <w:snapToGrid w:val="0"/>
              <w:spacing w:line="240" w:lineRule="auto"/>
              <w:jc w:val="center"/>
              <w:rPr>
                <w:rFonts w:hint="default" w:ascii="Times New Roman" w:hAnsi="Times New Roman" w:eastAsia="宋体" w:cs="Times New Roman"/>
                <w:snapToGrid w:val="0"/>
                <w:color w:val="auto"/>
                <w:kern w:val="24"/>
                <w:sz w:val="21"/>
                <w:szCs w:val="21"/>
                <w:highlight w:val="none"/>
                <w:lang w:val="en-US" w:eastAsia="zh-CN" w:bidi="ar-SA"/>
              </w:rPr>
            </w:pPr>
            <w:r>
              <w:rPr>
                <w:rFonts w:hint="eastAsia" w:cs="Times New Roman"/>
                <w:snapToGrid w:val="0"/>
                <w:color w:val="auto"/>
                <w:kern w:val="24"/>
                <w:sz w:val="21"/>
                <w:szCs w:val="21"/>
                <w:highlight w:val="none"/>
                <w:lang w:val="en-US" w:eastAsia="zh-CN" w:bidi="ar-SA"/>
              </w:rPr>
              <w:t>3#服务站站址西侧40m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1602" w:type="dxa"/>
            <w:tcBorders>
              <w:tl2br w:val="nil"/>
              <w:tr2bl w:val="nil"/>
            </w:tcBorders>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厂址下风向1#</w:t>
            </w:r>
          </w:p>
        </w:tc>
        <w:tc>
          <w:tcPr>
            <w:tcW w:w="19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124.269462590,45.736361790</w:t>
            </w:r>
          </w:p>
        </w:tc>
        <w:tc>
          <w:tcPr>
            <w:tcW w:w="118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733" w:type="dxa"/>
            <w:tcBorders>
              <w:tl2br w:val="nil"/>
              <w:tr2bl w:val="nil"/>
            </w:tcBorders>
            <w:vAlign w:val="center"/>
          </w:tcPr>
          <w:p>
            <w:pPr>
              <w:pStyle w:val="31"/>
              <w:widowControl w:val="0"/>
              <w:snapToGrid w:val="0"/>
              <w:spacing w:line="240" w:lineRule="auto"/>
              <w:jc w:val="center"/>
              <w:rPr>
                <w:rFonts w:hint="default" w:ascii="Times New Roman" w:hAnsi="Times New Roman" w:eastAsia="Arial" w:cs="Times New Roman"/>
                <w:snapToGrid w:val="0"/>
                <w:color w:val="auto"/>
                <w:kern w:val="24"/>
                <w:sz w:val="21"/>
                <w:szCs w:val="21"/>
                <w:highlight w:val="none"/>
                <w:lang w:val="en-US" w:eastAsia="zh-CN"/>
              </w:rPr>
            </w:pPr>
            <w:r>
              <w:rPr>
                <w:rFonts w:hint="eastAsia" w:cs="Times New Roman"/>
                <w:snapToGrid w:val="0"/>
                <w:color w:val="auto"/>
                <w:kern w:val="24"/>
                <w:sz w:val="21"/>
                <w:szCs w:val="21"/>
                <w:highlight w:val="none"/>
                <w:lang w:val="en-US" w:eastAsia="zh-CN" w:bidi="ar-SA"/>
              </w:rPr>
              <w:t>3#服务站站址东南侧107m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1602" w:type="dxa"/>
            <w:tcBorders>
              <w:tl2br w:val="nil"/>
              <w:tr2bl w:val="nil"/>
            </w:tcBorders>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鸭木蛋格屯</w:t>
            </w:r>
          </w:p>
        </w:tc>
        <w:tc>
          <w:tcPr>
            <w:tcW w:w="19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124.219992110,45.781062900</w:t>
            </w:r>
          </w:p>
        </w:tc>
        <w:tc>
          <w:tcPr>
            <w:tcW w:w="118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733" w:type="dxa"/>
            <w:tcBorders>
              <w:tl2br w:val="nil"/>
              <w:tr2bl w:val="nil"/>
            </w:tcBorders>
            <w:vAlign w:val="center"/>
          </w:tcPr>
          <w:p>
            <w:pPr>
              <w:pStyle w:val="31"/>
              <w:widowControl w:val="0"/>
              <w:snapToGrid w:val="0"/>
              <w:spacing w:line="240" w:lineRule="auto"/>
              <w:jc w:val="both"/>
              <w:rPr>
                <w:rFonts w:hint="default" w:ascii="Times New Roman" w:hAnsi="Times New Roman" w:eastAsia="Arial" w:cs="Times New Roman"/>
                <w:snapToGrid w:val="0"/>
                <w:color w:val="auto"/>
                <w:kern w:val="24"/>
                <w:sz w:val="21"/>
                <w:szCs w:val="21"/>
                <w:highlight w:val="none"/>
                <w:lang w:val="en-US" w:eastAsia="zh-CN"/>
              </w:rPr>
            </w:pPr>
            <w:r>
              <w:rPr>
                <w:rFonts w:hint="eastAsia" w:eastAsia="Arial" w:cs="Times New Roman"/>
                <w:snapToGrid w:val="0"/>
                <w:color w:val="auto"/>
                <w:kern w:val="24"/>
                <w:sz w:val="21"/>
                <w:szCs w:val="21"/>
                <w:highlight w:val="none"/>
                <w:lang w:val="en-US" w:eastAsia="zh-CN"/>
              </w:rPr>
              <w:t>输液管道东侧825m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w:t>
            </w:r>
          </w:p>
        </w:tc>
        <w:tc>
          <w:tcPr>
            <w:tcW w:w="1602" w:type="dxa"/>
            <w:tcBorders>
              <w:tl2br w:val="nil"/>
              <w:tr2bl w:val="nil"/>
            </w:tcBorders>
            <w:vAlign w:val="center"/>
          </w:tcPr>
          <w:p>
            <w:pPr>
              <w:snapToGrid w:val="0"/>
              <w:spacing w:line="240" w:lineRule="auto"/>
              <w:jc w:val="center"/>
              <w:rPr>
                <w:rFonts w:hint="eastAsia" w:ascii="Times New Roman" w:hAnsi="Times New Roman" w:eastAsia="宋体"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道宝村</w:t>
            </w:r>
          </w:p>
        </w:tc>
        <w:tc>
          <w:tcPr>
            <w:tcW w:w="19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124.214512970,45.795555530</w:t>
            </w:r>
          </w:p>
        </w:tc>
        <w:tc>
          <w:tcPr>
            <w:tcW w:w="118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733" w:type="dxa"/>
            <w:tcBorders>
              <w:tl2br w:val="nil"/>
              <w:tr2bl w:val="nil"/>
            </w:tcBorders>
            <w:vAlign w:val="center"/>
          </w:tcPr>
          <w:p>
            <w:pPr>
              <w:pStyle w:val="31"/>
              <w:widowControl w:val="0"/>
              <w:snapToGrid w:val="0"/>
              <w:spacing w:line="240" w:lineRule="auto"/>
              <w:jc w:val="both"/>
              <w:rPr>
                <w:rFonts w:hint="default" w:ascii="Times New Roman" w:hAnsi="Times New Roman" w:eastAsia="宋体" w:cs="Times New Roman"/>
                <w:snapToGrid w:val="0"/>
                <w:color w:val="auto"/>
                <w:kern w:val="24"/>
                <w:sz w:val="21"/>
                <w:szCs w:val="21"/>
                <w:highlight w:val="none"/>
                <w:lang w:val="en-US" w:eastAsia="zh-CN" w:bidi="ar-SA"/>
              </w:rPr>
            </w:pPr>
            <w:r>
              <w:rPr>
                <w:rFonts w:hint="eastAsia" w:eastAsia="Arial" w:cs="Times New Roman"/>
                <w:snapToGrid w:val="0"/>
                <w:color w:val="auto"/>
                <w:kern w:val="24"/>
                <w:sz w:val="21"/>
                <w:szCs w:val="21"/>
                <w:highlight w:val="none"/>
                <w:lang w:val="en-US" w:eastAsia="zh-CN"/>
              </w:rPr>
              <w:t>输液管道东侧</w:t>
            </w:r>
            <w:r>
              <w:rPr>
                <w:rFonts w:hint="eastAsia" w:cs="Times New Roman"/>
                <w:snapToGrid w:val="0"/>
                <w:color w:val="auto"/>
                <w:kern w:val="24"/>
                <w:sz w:val="21"/>
                <w:szCs w:val="21"/>
                <w:highlight w:val="none"/>
                <w:lang w:val="en-US" w:eastAsia="zh-CN" w:bidi="ar-SA"/>
              </w:rPr>
              <w:t>566</w:t>
            </w:r>
            <w:r>
              <w:rPr>
                <w:rFonts w:hint="eastAsia" w:eastAsia="Arial" w:cs="Times New Roman"/>
                <w:snapToGrid w:val="0"/>
                <w:color w:val="auto"/>
                <w:kern w:val="24"/>
                <w:sz w:val="21"/>
                <w:szCs w:val="21"/>
                <w:highlight w:val="none"/>
                <w:lang w:val="en-US" w:eastAsia="zh-CN"/>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c>
          <w:tcPr>
            <w:tcW w:w="1602" w:type="dxa"/>
            <w:tcBorders>
              <w:tl2br w:val="nil"/>
              <w:tr2bl w:val="nil"/>
            </w:tcBorders>
            <w:vAlign w:val="center"/>
          </w:tcPr>
          <w:p>
            <w:pPr>
              <w:snapToGrid w:val="0"/>
              <w:spacing w:line="240" w:lineRule="auto"/>
              <w:jc w:val="center"/>
              <w:rPr>
                <w:rFonts w:hint="eastAsia" w:ascii="Times New Roman" w:hAnsi="Times New Roman" w:eastAsia="宋体"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长发屯</w:t>
            </w:r>
          </w:p>
        </w:tc>
        <w:tc>
          <w:tcPr>
            <w:tcW w:w="19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124.217718150,45.817235120</w:t>
            </w:r>
          </w:p>
        </w:tc>
        <w:tc>
          <w:tcPr>
            <w:tcW w:w="118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733" w:type="dxa"/>
            <w:tcBorders>
              <w:tl2br w:val="nil"/>
              <w:tr2bl w:val="nil"/>
            </w:tcBorders>
            <w:vAlign w:val="center"/>
          </w:tcPr>
          <w:p>
            <w:pPr>
              <w:pStyle w:val="31"/>
              <w:widowControl w:val="0"/>
              <w:snapToGrid w:val="0"/>
              <w:spacing w:line="240" w:lineRule="auto"/>
              <w:jc w:val="both"/>
              <w:rPr>
                <w:rFonts w:hint="default" w:ascii="Times New Roman" w:hAnsi="Times New Roman" w:eastAsia="Arial" w:cs="Times New Roman"/>
                <w:snapToGrid w:val="0"/>
                <w:color w:val="auto"/>
                <w:kern w:val="24"/>
                <w:sz w:val="21"/>
                <w:szCs w:val="21"/>
                <w:highlight w:val="none"/>
                <w:lang w:val="en-US" w:eastAsia="zh-CN"/>
              </w:rPr>
            </w:pPr>
            <w:r>
              <w:rPr>
                <w:rFonts w:hint="eastAsia" w:eastAsia="Arial" w:cs="Times New Roman"/>
                <w:snapToGrid w:val="0"/>
                <w:color w:val="auto"/>
                <w:kern w:val="24"/>
                <w:sz w:val="21"/>
                <w:szCs w:val="21"/>
                <w:highlight w:val="none"/>
                <w:lang w:val="en-US" w:eastAsia="zh-CN"/>
              </w:rPr>
              <w:t>输液管道东侧670m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w:t>
            </w:r>
          </w:p>
        </w:tc>
        <w:tc>
          <w:tcPr>
            <w:tcW w:w="1602" w:type="dxa"/>
            <w:tcBorders>
              <w:tl2br w:val="nil"/>
              <w:tr2bl w:val="nil"/>
            </w:tcBorders>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南烧锅</w:t>
            </w:r>
          </w:p>
        </w:tc>
        <w:tc>
          <w:tcPr>
            <w:tcW w:w="19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124.221949680,45.836331440</w:t>
            </w:r>
          </w:p>
        </w:tc>
        <w:tc>
          <w:tcPr>
            <w:tcW w:w="118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733" w:type="dxa"/>
            <w:tcBorders>
              <w:tl2br w:val="nil"/>
              <w:tr2bl w:val="nil"/>
            </w:tcBorders>
            <w:vAlign w:val="center"/>
          </w:tcPr>
          <w:p>
            <w:pPr>
              <w:pStyle w:val="31"/>
              <w:widowControl w:val="0"/>
              <w:snapToGrid w:val="0"/>
              <w:spacing w:line="240" w:lineRule="auto"/>
              <w:jc w:val="both"/>
              <w:rPr>
                <w:rFonts w:hint="default" w:ascii="Times New Roman" w:hAnsi="Times New Roman" w:eastAsia="Arial" w:cs="Times New Roman"/>
                <w:snapToGrid w:val="0"/>
                <w:color w:val="auto"/>
                <w:kern w:val="24"/>
                <w:sz w:val="21"/>
                <w:szCs w:val="21"/>
                <w:highlight w:val="none"/>
                <w:lang w:val="en-US" w:eastAsia="zh-CN"/>
              </w:rPr>
            </w:pPr>
            <w:r>
              <w:rPr>
                <w:rFonts w:hint="eastAsia" w:eastAsia="Arial" w:cs="Times New Roman"/>
                <w:snapToGrid w:val="0"/>
                <w:color w:val="auto"/>
                <w:kern w:val="24"/>
                <w:sz w:val="21"/>
                <w:szCs w:val="21"/>
                <w:highlight w:val="none"/>
                <w:lang w:val="en-US" w:eastAsia="zh-CN"/>
              </w:rPr>
              <w:t>输液管道东侧678m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w:t>
            </w:r>
          </w:p>
        </w:tc>
        <w:tc>
          <w:tcPr>
            <w:tcW w:w="1602" w:type="dxa"/>
            <w:tcBorders>
              <w:tl2br w:val="nil"/>
              <w:tr2bl w:val="nil"/>
            </w:tcBorders>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古龙镇第一中学</w:t>
            </w:r>
          </w:p>
        </w:tc>
        <w:tc>
          <w:tcPr>
            <w:tcW w:w="19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124.223817540,45.848467030</w:t>
            </w:r>
          </w:p>
        </w:tc>
        <w:tc>
          <w:tcPr>
            <w:tcW w:w="118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733" w:type="dxa"/>
            <w:tcBorders>
              <w:tl2br w:val="nil"/>
              <w:tr2bl w:val="nil"/>
            </w:tcBorders>
            <w:vAlign w:val="center"/>
          </w:tcPr>
          <w:p>
            <w:pPr>
              <w:pStyle w:val="31"/>
              <w:widowControl w:val="0"/>
              <w:snapToGrid w:val="0"/>
              <w:spacing w:line="240" w:lineRule="auto"/>
              <w:jc w:val="both"/>
              <w:rPr>
                <w:rFonts w:hint="default" w:ascii="Times New Roman" w:hAnsi="Times New Roman" w:eastAsia="Arial" w:cs="Times New Roman"/>
                <w:snapToGrid w:val="0"/>
                <w:color w:val="auto"/>
                <w:kern w:val="24"/>
                <w:sz w:val="21"/>
                <w:szCs w:val="21"/>
                <w:highlight w:val="none"/>
                <w:lang w:val="en-US" w:eastAsia="zh-CN"/>
              </w:rPr>
            </w:pPr>
            <w:r>
              <w:rPr>
                <w:rFonts w:hint="eastAsia" w:eastAsia="Arial" w:cs="Times New Roman"/>
                <w:snapToGrid w:val="0"/>
                <w:color w:val="auto"/>
                <w:kern w:val="24"/>
                <w:sz w:val="21"/>
                <w:szCs w:val="21"/>
                <w:highlight w:val="none"/>
                <w:lang w:val="en-US" w:eastAsia="zh-CN"/>
              </w:rPr>
              <w:t>输液管道西侧873m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w:t>
            </w:r>
          </w:p>
        </w:tc>
        <w:tc>
          <w:tcPr>
            <w:tcW w:w="1602" w:type="dxa"/>
            <w:tcBorders>
              <w:tl2br w:val="nil"/>
              <w:tr2bl w:val="nil"/>
            </w:tcBorders>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西葫芦代</w:t>
            </w:r>
          </w:p>
        </w:tc>
        <w:tc>
          <w:tcPr>
            <w:tcW w:w="19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124.219167650,45.874924610</w:t>
            </w:r>
          </w:p>
        </w:tc>
        <w:tc>
          <w:tcPr>
            <w:tcW w:w="118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733" w:type="dxa"/>
            <w:tcBorders>
              <w:tl2br w:val="nil"/>
              <w:tr2bl w:val="nil"/>
            </w:tcBorders>
            <w:vAlign w:val="center"/>
          </w:tcPr>
          <w:p>
            <w:pPr>
              <w:pStyle w:val="31"/>
              <w:widowControl w:val="0"/>
              <w:snapToGrid w:val="0"/>
              <w:spacing w:line="240" w:lineRule="auto"/>
              <w:jc w:val="both"/>
              <w:rPr>
                <w:rFonts w:hint="default" w:ascii="Times New Roman" w:hAnsi="Times New Roman" w:eastAsia="Arial" w:cs="Times New Roman"/>
                <w:snapToGrid w:val="0"/>
                <w:color w:val="auto"/>
                <w:kern w:val="24"/>
                <w:sz w:val="21"/>
                <w:szCs w:val="21"/>
                <w:highlight w:val="none"/>
                <w:lang w:val="en-US" w:eastAsia="zh-CN"/>
              </w:rPr>
            </w:pPr>
            <w:r>
              <w:rPr>
                <w:rFonts w:hint="eastAsia" w:eastAsia="Arial" w:cs="Times New Roman"/>
                <w:snapToGrid w:val="0"/>
                <w:color w:val="auto"/>
                <w:kern w:val="24"/>
                <w:sz w:val="21"/>
                <w:szCs w:val="21"/>
                <w:highlight w:val="none"/>
                <w:lang w:val="en-US" w:eastAsia="zh-CN"/>
              </w:rPr>
              <w:t>输液管道东侧423m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9</w:t>
            </w:r>
          </w:p>
        </w:tc>
        <w:tc>
          <w:tcPr>
            <w:tcW w:w="1602" w:type="dxa"/>
            <w:tcBorders>
              <w:tl2br w:val="nil"/>
              <w:tr2bl w:val="nil"/>
            </w:tcBorders>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东葫芦代</w:t>
            </w:r>
          </w:p>
        </w:tc>
        <w:tc>
          <w:tcPr>
            <w:tcW w:w="19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124.240096300,45.881516350</w:t>
            </w:r>
          </w:p>
        </w:tc>
        <w:tc>
          <w:tcPr>
            <w:tcW w:w="118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733" w:type="dxa"/>
            <w:tcBorders>
              <w:tl2br w:val="nil"/>
              <w:tr2bl w:val="nil"/>
            </w:tcBorders>
            <w:vAlign w:val="center"/>
          </w:tcPr>
          <w:p>
            <w:pPr>
              <w:pStyle w:val="31"/>
              <w:widowControl w:val="0"/>
              <w:snapToGrid w:val="0"/>
              <w:spacing w:line="240" w:lineRule="auto"/>
              <w:jc w:val="both"/>
              <w:rPr>
                <w:rFonts w:hint="default" w:ascii="Times New Roman" w:hAnsi="Times New Roman" w:eastAsia="Arial" w:cs="Times New Roman"/>
                <w:snapToGrid w:val="0"/>
                <w:color w:val="auto"/>
                <w:kern w:val="24"/>
                <w:sz w:val="21"/>
                <w:szCs w:val="21"/>
                <w:highlight w:val="none"/>
                <w:lang w:val="en-US" w:eastAsia="zh-CN"/>
              </w:rPr>
            </w:pPr>
            <w:r>
              <w:rPr>
                <w:rFonts w:hint="eastAsia" w:eastAsia="Arial" w:cs="Times New Roman"/>
                <w:snapToGrid w:val="0"/>
                <w:color w:val="auto"/>
                <w:kern w:val="24"/>
                <w:sz w:val="21"/>
                <w:szCs w:val="21"/>
                <w:highlight w:val="none"/>
                <w:lang w:val="en-US" w:eastAsia="zh-CN"/>
              </w:rPr>
              <w:t>输液管道东南侧373m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c>
          <w:tcPr>
            <w:tcW w:w="1602" w:type="dxa"/>
            <w:tcBorders>
              <w:tl2br w:val="nil"/>
              <w:tr2bl w:val="nil"/>
            </w:tcBorders>
            <w:vAlign w:val="center"/>
          </w:tcPr>
          <w:p>
            <w:pPr>
              <w:snapToGrid w:val="0"/>
              <w:spacing w:line="240" w:lineRule="auto"/>
              <w:jc w:val="center"/>
              <w:rPr>
                <w:rFonts w:hint="default" w:ascii="Times New Roman" w:hAnsi="Times New Roman" w:eastAsia="Arial" w:cs="Times New Roman"/>
                <w:snapToGrid w:val="0"/>
                <w:color w:val="auto"/>
                <w:kern w:val="24"/>
                <w:sz w:val="21"/>
                <w:szCs w:val="21"/>
                <w:highlight w:val="none"/>
                <w:lang w:val="en-US" w:eastAsia="zh-CN"/>
              </w:rPr>
            </w:pPr>
            <w:r>
              <w:rPr>
                <w:rFonts w:hint="eastAsia" w:cs="Times New Roman"/>
                <w:color w:val="auto"/>
                <w:sz w:val="21"/>
                <w:szCs w:val="21"/>
                <w:highlight w:val="none"/>
                <w:lang w:val="en-US" w:eastAsia="zh-CN"/>
              </w:rPr>
              <w:t>河北村</w:t>
            </w:r>
          </w:p>
        </w:tc>
        <w:tc>
          <w:tcPr>
            <w:tcW w:w="19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124.234145140,45.892913230</w:t>
            </w:r>
          </w:p>
        </w:tc>
        <w:tc>
          <w:tcPr>
            <w:tcW w:w="118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733" w:type="dxa"/>
            <w:tcBorders>
              <w:tl2br w:val="nil"/>
              <w:tr2bl w:val="nil"/>
            </w:tcBorders>
            <w:vAlign w:val="center"/>
          </w:tcPr>
          <w:p>
            <w:pPr>
              <w:pStyle w:val="31"/>
              <w:widowControl w:val="0"/>
              <w:snapToGrid w:val="0"/>
              <w:spacing w:line="240" w:lineRule="auto"/>
              <w:jc w:val="both"/>
              <w:rPr>
                <w:rFonts w:hint="default" w:ascii="Times New Roman" w:hAnsi="Times New Roman" w:eastAsia="Arial" w:cs="Times New Roman"/>
                <w:snapToGrid w:val="0"/>
                <w:color w:val="auto"/>
                <w:kern w:val="24"/>
                <w:sz w:val="21"/>
                <w:szCs w:val="21"/>
                <w:highlight w:val="none"/>
                <w:lang w:val="en-US" w:eastAsia="zh-CN"/>
              </w:rPr>
            </w:pPr>
            <w:r>
              <w:rPr>
                <w:rFonts w:hint="eastAsia" w:eastAsia="Arial" w:cs="Times New Roman"/>
                <w:snapToGrid w:val="0"/>
                <w:color w:val="auto"/>
                <w:kern w:val="24"/>
                <w:sz w:val="21"/>
                <w:szCs w:val="21"/>
                <w:highlight w:val="none"/>
                <w:lang w:val="en-US" w:eastAsia="zh-CN"/>
              </w:rPr>
              <w:t>输液管道西侧511m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11</w:t>
            </w:r>
          </w:p>
        </w:tc>
        <w:tc>
          <w:tcPr>
            <w:tcW w:w="1602" w:type="dxa"/>
            <w:tcBorders>
              <w:tl2br w:val="nil"/>
              <w:tr2bl w:val="nil"/>
            </w:tcBorders>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大五家子屯</w:t>
            </w:r>
          </w:p>
        </w:tc>
        <w:tc>
          <w:tcPr>
            <w:tcW w:w="19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124.256576590,45.907435290</w:t>
            </w:r>
          </w:p>
        </w:tc>
        <w:tc>
          <w:tcPr>
            <w:tcW w:w="118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733" w:type="dxa"/>
            <w:tcBorders>
              <w:tl2br w:val="nil"/>
              <w:tr2bl w:val="nil"/>
            </w:tcBorders>
            <w:vAlign w:val="center"/>
          </w:tcPr>
          <w:p>
            <w:pPr>
              <w:pStyle w:val="31"/>
              <w:widowControl w:val="0"/>
              <w:snapToGrid w:val="0"/>
              <w:spacing w:line="240" w:lineRule="auto"/>
              <w:jc w:val="both"/>
              <w:rPr>
                <w:rFonts w:hint="default" w:ascii="Times New Roman" w:hAnsi="Times New Roman" w:eastAsia="Arial" w:cs="Times New Roman"/>
                <w:snapToGrid w:val="0"/>
                <w:color w:val="auto"/>
                <w:kern w:val="24"/>
                <w:sz w:val="21"/>
                <w:szCs w:val="21"/>
                <w:highlight w:val="none"/>
                <w:lang w:val="en-US" w:eastAsia="zh-CN"/>
              </w:rPr>
            </w:pPr>
            <w:r>
              <w:rPr>
                <w:rFonts w:hint="eastAsia" w:eastAsia="Arial" w:cs="Times New Roman"/>
                <w:snapToGrid w:val="0"/>
                <w:color w:val="auto"/>
                <w:kern w:val="24"/>
                <w:sz w:val="21"/>
                <w:szCs w:val="21"/>
                <w:highlight w:val="none"/>
                <w:lang w:val="en-US" w:eastAsia="zh-CN"/>
              </w:rPr>
              <w:t>输液管道东侧472m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w:t>
            </w:r>
          </w:p>
        </w:tc>
        <w:tc>
          <w:tcPr>
            <w:tcW w:w="1602" w:type="dxa"/>
            <w:tcBorders>
              <w:tl2br w:val="nil"/>
              <w:tr2bl w:val="nil"/>
            </w:tcBorders>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新立屯散户</w:t>
            </w:r>
          </w:p>
        </w:tc>
        <w:tc>
          <w:tcPr>
            <w:tcW w:w="19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124.279752380,45.922411980</w:t>
            </w:r>
          </w:p>
        </w:tc>
        <w:tc>
          <w:tcPr>
            <w:tcW w:w="118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733" w:type="dxa"/>
            <w:tcBorders>
              <w:tl2br w:val="nil"/>
              <w:tr2bl w:val="nil"/>
            </w:tcBorders>
            <w:vAlign w:val="center"/>
          </w:tcPr>
          <w:p>
            <w:pPr>
              <w:pStyle w:val="31"/>
              <w:widowControl w:val="0"/>
              <w:snapToGrid w:val="0"/>
              <w:spacing w:line="240" w:lineRule="auto"/>
              <w:jc w:val="both"/>
              <w:rPr>
                <w:rFonts w:hint="default" w:ascii="Times New Roman" w:hAnsi="Times New Roman" w:eastAsia="Arial" w:cs="Times New Roman"/>
                <w:snapToGrid w:val="0"/>
                <w:color w:val="auto"/>
                <w:kern w:val="24"/>
                <w:sz w:val="21"/>
                <w:szCs w:val="21"/>
                <w:highlight w:val="none"/>
                <w:lang w:val="en-US" w:eastAsia="zh-CN"/>
              </w:rPr>
            </w:pPr>
            <w:r>
              <w:rPr>
                <w:rFonts w:hint="eastAsia" w:eastAsia="Arial" w:cs="Times New Roman"/>
                <w:snapToGrid w:val="0"/>
                <w:color w:val="auto"/>
                <w:kern w:val="24"/>
                <w:sz w:val="21"/>
                <w:szCs w:val="21"/>
                <w:highlight w:val="none"/>
                <w:lang w:val="en-US" w:eastAsia="zh-CN"/>
              </w:rPr>
              <w:t>输液管道东南侧60m</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（2）监测项目</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非甲烷总烃、颗粒物。</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（3）监测时间和频率</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2023年1</w:t>
      </w:r>
      <w:r>
        <w:rPr>
          <w:rFonts w:hint="eastAsia" w:cs="Times New Roman"/>
          <w:caps w:val="0"/>
          <w:smallCaps w:val="0"/>
          <w:snapToGrid/>
          <w:color w:val="auto"/>
          <w:spacing w:val="0"/>
          <w:w w:val="100"/>
          <w:kern w:val="0"/>
          <w:sz w:val="24"/>
          <w:szCs w:val="24"/>
          <w:highlight w:val="none"/>
          <w:lang w:val="en-US" w:eastAsia="zh-CN" w:bidi="ar-SA"/>
        </w:rPr>
        <w:t>0</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月</w:t>
      </w:r>
      <w:r>
        <w:rPr>
          <w:rFonts w:hint="eastAsia" w:cs="Times New Roman"/>
          <w:caps w:val="0"/>
          <w:smallCaps w:val="0"/>
          <w:snapToGrid/>
          <w:color w:val="auto"/>
          <w:spacing w:val="0"/>
          <w:w w:val="100"/>
          <w:kern w:val="0"/>
          <w:sz w:val="24"/>
          <w:szCs w:val="24"/>
          <w:highlight w:val="none"/>
          <w:lang w:val="en-US" w:eastAsia="zh-CN" w:bidi="ar-SA"/>
        </w:rPr>
        <w:t>17</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日-1</w:t>
      </w:r>
      <w:r>
        <w:rPr>
          <w:rFonts w:hint="eastAsia" w:cs="Times New Roman"/>
          <w:caps w:val="0"/>
          <w:smallCaps w:val="0"/>
          <w:snapToGrid/>
          <w:color w:val="auto"/>
          <w:spacing w:val="0"/>
          <w:w w:val="100"/>
          <w:kern w:val="0"/>
          <w:sz w:val="24"/>
          <w:szCs w:val="24"/>
          <w:highlight w:val="none"/>
          <w:lang w:val="en-US" w:eastAsia="zh-CN" w:bidi="ar-SA"/>
        </w:rPr>
        <w:t>0</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月</w:t>
      </w:r>
      <w:r>
        <w:rPr>
          <w:rFonts w:hint="eastAsia" w:cs="Times New Roman"/>
          <w:caps w:val="0"/>
          <w:smallCaps w:val="0"/>
          <w:snapToGrid/>
          <w:color w:val="auto"/>
          <w:spacing w:val="0"/>
          <w:w w:val="100"/>
          <w:kern w:val="0"/>
          <w:sz w:val="24"/>
          <w:szCs w:val="24"/>
          <w:highlight w:val="none"/>
          <w:lang w:val="en-US" w:eastAsia="zh-CN" w:bidi="ar-SA"/>
        </w:rPr>
        <w:t>23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日，非甲烷总烃</w:t>
      </w:r>
      <w:r>
        <w:rPr>
          <w:rFonts w:hint="eastAsia" w:cs="Times New Roman"/>
          <w:caps w:val="0"/>
          <w:smallCaps w:val="0"/>
          <w:snapToGrid/>
          <w:color w:val="auto"/>
          <w:spacing w:val="0"/>
          <w:w w:val="100"/>
          <w:kern w:val="0"/>
          <w:sz w:val="24"/>
          <w:szCs w:val="24"/>
          <w:highlight w:val="none"/>
          <w:lang w:val="en-US" w:eastAsia="zh-CN" w:bidi="ar-SA"/>
        </w:rPr>
        <w:t>、氨、硫化氢</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每天4次，颗粒物每天1次，连续监测7天。</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（4）监测结果统计分析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根据《环境影响评价技术导则 大气环境》（HJ2.2-2018）中6.4.3.2“取各污染物不同评价时段监测浓度的最大值，作为评价范围内环境空气保护目标及网格点环境质量现状浓度”。计算公式为：</w:t>
      </w:r>
    </w:p>
    <w:p>
      <w:pPr>
        <w:keepNext w:val="0"/>
        <w:keepLines w:val="0"/>
        <w:pageBreakBefore w:val="0"/>
        <w:widowControl/>
        <w:kinsoku w:val="0"/>
        <w:wordWrap/>
        <w:overflowPunct/>
        <w:topLinePunct w:val="0"/>
        <w:autoSpaceDE w:val="0"/>
        <w:autoSpaceDN w:val="0"/>
        <w:bidi w:val="0"/>
        <w:adjustRightInd w:val="0"/>
        <w:snapToGrid w:val="0"/>
        <w:spacing w:line="240" w:lineRule="auto"/>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drawing>
          <wp:inline distT="0" distB="0" distL="114300" distR="114300">
            <wp:extent cx="3419475" cy="676275"/>
            <wp:effectExtent l="0" t="0" r="9525" b="9525"/>
            <wp:docPr id="19" name="图片 19" descr="环境空气核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环境空气核算"/>
                    <pic:cNvPicPr>
                      <a:picLocks noChangeAspect="1"/>
                    </pic:cNvPicPr>
                  </pic:nvPicPr>
                  <pic:blipFill>
                    <a:blip r:embed="rId32"/>
                    <a:stretch>
                      <a:fillRect/>
                    </a:stretch>
                  </pic:blipFill>
                  <pic:spPr>
                    <a:xfrm>
                      <a:off x="0" y="0"/>
                      <a:ext cx="3419475" cy="67627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式中：C现状（x，y）—环境空气保护目标及网格点（x，y）环境质量现状浓度，μg/m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C监测（x，y）—第j个监测点位在t时刻环境质量现状浓度（包括1h平均、8h平均或日平均质量浓度），μg/m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n—现状补充监测点位数。</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监测统计结果见表4.2-3</w:t>
      </w:r>
      <w:r>
        <w:rPr>
          <w:rFonts w:hint="eastAsia"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4.2-3大气环境质量现状监测结果  单位：mg/m</w:t>
      </w:r>
      <w:r>
        <w:rPr>
          <w:rFonts w:hint="eastAsia" w:ascii="Times New Roman" w:hAnsi="Times New Roman" w:eastAsia="宋体" w:cs="Times New Roman"/>
          <w:b/>
          <w:bCs/>
          <w:caps w:val="0"/>
          <w:smallCaps w:val="0"/>
          <w:snapToGrid/>
          <w:color w:val="auto"/>
          <w:spacing w:val="0"/>
          <w:w w:val="100"/>
          <w:kern w:val="0"/>
          <w:sz w:val="21"/>
          <w:szCs w:val="21"/>
          <w:highlight w:val="none"/>
          <w:vertAlign w:val="superscript"/>
          <w:lang w:val="en-US" w:eastAsia="zh-CN" w:bidi="ar-SA"/>
        </w:rPr>
        <w:t>3</w:t>
      </w:r>
    </w:p>
    <w:tbl>
      <w:tblPr>
        <w:tblStyle w:val="16"/>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11"/>
        <w:gridCol w:w="976"/>
        <w:gridCol w:w="1021"/>
        <w:gridCol w:w="876"/>
        <w:gridCol w:w="1257"/>
        <w:gridCol w:w="1026"/>
        <w:gridCol w:w="1026"/>
        <w:gridCol w:w="10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trPr>
        <w:tc>
          <w:tcPr>
            <w:tcW w:w="76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监测点位</w:t>
            </w:r>
          </w:p>
        </w:tc>
        <w:tc>
          <w:tcPr>
            <w:tcW w:w="57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污染物</w:t>
            </w:r>
          </w:p>
        </w:tc>
        <w:tc>
          <w:tcPr>
            <w:tcW w:w="59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平均</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时间</w:t>
            </w:r>
          </w:p>
        </w:tc>
        <w:tc>
          <w:tcPr>
            <w:tcW w:w="51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评价</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标准</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mg/m</w:t>
            </w:r>
            <w:r>
              <w:rPr>
                <w:rFonts w:hint="default" w:ascii="Times New Roman" w:hAnsi="Times New Roman" w:cs="Times New Roman"/>
                <w:color w:val="auto"/>
                <w:sz w:val="21"/>
                <w:szCs w:val="21"/>
                <w:highlight w:val="none"/>
                <w:vertAlign w:val="superscript"/>
                <w:lang w:val="en-US" w:eastAsia="zh-CN"/>
              </w:rPr>
              <w:t>3</w:t>
            </w:r>
          </w:p>
        </w:tc>
        <w:tc>
          <w:tcPr>
            <w:tcW w:w="7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监测浓度范围</w:t>
            </w:r>
            <w:r>
              <w:rPr>
                <w:rFonts w:hint="default" w:ascii="Times New Roman" w:hAnsi="Times New Roman" w:cs="Times New Roman"/>
                <w:color w:val="auto"/>
                <w:sz w:val="21"/>
                <w:szCs w:val="21"/>
                <w:highlight w:val="none"/>
                <w:vertAlign w:val="baseline"/>
                <w:lang w:val="en-US" w:eastAsia="zh-CN"/>
              </w:rPr>
              <w:t>mg/m</w:t>
            </w:r>
            <w:r>
              <w:rPr>
                <w:rFonts w:hint="default" w:ascii="Times New Roman" w:hAnsi="Times New Roman" w:cs="Times New Roman"/>
                <w:color w:val="auto"/>
                <w:sz w:val="21"/>
                <w:szCs w:val="21"/>
                <w:highlight w:val="none"/>
                <w:vertAlign w:val="superscript"/>
                <w:lang w:val="en-US" w:eastAsia="zh-CN"/>
              </w:rPr>
              <w:t>3</w:t>
            </w:r>
          </w:p>
        </w:tc>
        <w:tc>
          <w:tcPr>
            <w:tcW w:w="60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环境质量现状浓度</w:t>
            </w:r>
            <w:r>
              <w:rPr>
                <w:rFonts w:hint="eastAsia" w:cs="Times New Roman"/>
                <w:color w:val="auto"/>
                <w:sz w:val="21"/>
                <w:szCs w:val="21"/>
                <w:highlight w:val="none"/>
                <w:vertAlign w:val="baseline"/>
                <w:lang w:val="en-US" w:eastAsia="zh-CN"/>
              </w:rPr>
              <w:t>占比%</w:t>
            </w:r>
          </w:p>
        </w:tc>
        <w:tc>
          <w:tcPr>
            <w:tcW w:w="60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超标率</w:t>
            </w:r>
            <w:r>
              <w:rPr>
                <w:rFonts w:hint="default" w:ascii="Times New Roman" w:hAnsi="Times New Roman" w:cs="Times New Roman"/>
                <w:color w:val="auto"/>
                <w:sz w:val="21"/>
                <w:szCs w:val="21"/>
                <w:highlight w:val="none"/>
                <w:vertAlign w:val="baseline"/>
                <w:lang w:val="en-US" w:eastAsia="zh-CN"/>
              </w:rPr>
              <w:t>%</w:t>
            </w:r>
          </w:p>
        </w:tc>
        <w:tc>
          <w:tcPr>
            <w:tcW w:w="6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达标</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tcBorders>
              <w:tl2br w:val="nil"/>
              <w:tr2bl w:val="nil"/>
            </w:tcBorders>
            <w:noWrap w:val="0"/>
            <w:vAlign w:val="center"/>
          </w:tcPr>
          <w:p>
            <w:pPr>
              <w:pStyle w:val="31"/>
              <w:snapToGrid w:val="0"/>
              <w:spacing w:line="240" w:lineRule="auto"/>
              <w:rPr>
                <w:rFonts w:hint="eastAsia" w:ascii="Times New Roman" w:hAnsi="Times New Roman" w:eastAsia="宋体"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发展村</w:t>
            </w:r>
          </w:p>
        </w:tc>
        <w:tc>
          <w:tcPr>
            <w:tcW w:w="573"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非甲烷总烃</w:t>
            </w:r>
          </w:p>
        </w:tc>
        <w:tc>
          <w:tcPr>
            <w:tcW w:w="599"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1h</w:t>
            </w:r>
          </w:p>
        </w:tc>
        <w:tc>
          <w:tcPr>
            <w:tcW w:w="514"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w:t>
            </w:r>
          </w:p>
        </w:tc>
        <w:tc>
          <w:tcPr>
            <w:tcW w:w="7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0.64-0.84</w:t>
            </w:r>
          </w:p>
        </w:tc>
        <w:tc>
          <w:tcPr>
            <w:tcW w:w="60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37.5</w:t>
            </w:r>
          </w:p>
        </w:tc>
        <w:tc>
          <w:tcPr>
            <w:tcW w:w="60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w:t>
            </w:r>
          </w:p>
        </w:tc>
        <w:tc>
          <w:tcPr>
            <w:tcW w:w="600"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tcBorders>
              <w:tl2br w:val="nil"/>
              <w:tr2bl w:val="nil"/>
            </w:tcBorders>
            <w:noWrap w:val="0"/>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厂址下风向1#</w:t>
            </w:r>
          </w:p>
        </w:tc>
        <w:tc>
          <w:tcPr>
            <w:tcW w:w="57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0.69-0.90</w:t>
            </w:r>
          </w:p>
        </w:tc>
        <w:tc>
          <w:tcPr>
            <w:tcW w:w="60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60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tcBorders>
              <w:tl2br w:val="nil"/>
              <w:tr2bl w:val="nil"/>
            </w:tcBorders>
            <w:noWrap w:val="0"/>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鸭木蛋格屯</w:t>
            </w:r>
          </w:p>
        </w:tc>
        <w:tc>
          <w:tcPr>
            <w:tcW w:w="57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0.68-0.88</w:t>
            </w:r>
          </w:p>
        </w:tc>
        <w:tc>
          <w:tcPr>
            <w:tcW w:w="60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tcBorders>
              <w:tl2br w:val="nil"/>
              <w:tr2bl w:val="nil"/>
            </w:tcBorders>
            <w:noWrap w:val="0"/>
            <w:vAlign w:val="center"/>
          </w:tcPr>
          <w:p>
            <w:pPr>
              <w:snapToGrid w:val="0"/>
              <w:spacing w:line="240" w:lineRule="auto"/>
              <w:jc w:val="center"/>
              <w:rPr>
                <w:rFonts w:hint="eastAsia" w:ascii="Times New Roman" w:hAnsi="Times New Roman" w:eastAsia="宋体"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道宝村</w:t>
            </w:r>
          </w:p>
        </w:tc>
        <w:tc>
          <w:tcPr>
            <w:tcW w:w="57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0.64-0.84</w:t>
            </w:r>
          </w:p>
        </w:tc>
        <w:tc>
          <w:tcPr>
            <w:tcW w:w="60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tcBorders>
              <w:tl2br w:val="nil"/>
              <w:tr2bl w:val="nil"/>
            </w:tcBorders>
            <w:noWrap w:val="0"/>
            <w:vAlign w:val="center"/>
          </w:tcPr>
          <w:p>
            <w:pPr>
              <w:snapToGrid w:val="0"/>
              <w:spacing w:line="240" w:lineRule="auto"/>
              <w:jc w:val="center"/>
              <w:rPr>
                <w:rFonts w:hint="eastAsia" w:ascii="Times New Roman" w:hAnsi="Times New Roman" w:eastAsia="宋体"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长发屯</w:t>
            </w:r>
          </w:p>
        </w:tc>
        <w:tc>
          <w:tcPr>
            <w:tcW w:w="57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0.68-0.85</w:t>
            </w:r>
          </w:p>
        </w:tc>
        <w:tc>
          <w:tcPr>
            <w:tcW w:w="60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tcBorders>
              <w:tl2br w:val="nil"/>
              <w:tr2bl w:val="nil"/>
            </w:tcBorders>
            <w:noWrap w:val="0"/>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南烧锅</w:t>
            </w:r>
          </w:p>
        </w:tc>
        <w:tc>
          <w:tcPr>
            <w:tcW w:w="57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0.66-0.86</w:t>
            </w:r>
          </w:p>
        </w:tc>
        <w:tc>
          <w:tcPr>
            <w:tcW w:w="60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古龙镇第一中学</w:t>
            </w:r>
          </w:p>
        </w:tc>
        <w:tc>
          <w:tcPr>
            <w:tcW w:w="573"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0.65-0.87</w:t>
            </w: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西葫芦代</w:t>
            </w:r>
          </w:p>
        </w:tc>
        <w:tc>
          <w:tcPr>
            <w:tcW w:w="573"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0.63-0.81</w:t>
            </w: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1" w:type="dxa"/>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东葫芦代</w:t>
            </w:r>
          </w:p>
        </w:tc>
        <w:tc>
          <w:tcPr>
            <w:tcW w:w="573"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0.66-0.83</w:t>
            </w: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1" w:type="dxa"/>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cs="Times New Roman"/>
                <w:color w:val="auto"/>
                <w:sz w:val="21"/>
                <w:szCs w:val="21"/>
                <w:highlight w:val="none"/>
                <w:lang w:val="en-US" w:eastAsia="zh-CN"/>
              </w:rPr>
              <w:t>河北村</w:t>
            </w:r>
          </w:p>
        </w:tc>
        <w:tc>
          <w:tcPr>
            <w:tcW w:w="573"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0.67-0.83</w:t>
            </w: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311" w:type="dxa"/>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大五家子屯</w:t>
            </w:r>
          </w:p>
        </w:tc>
        <w:tc>
          <w:tcPr>
            <w:tcW w:w="573"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0.67-0.82</w:t>
            </w: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新立屯散户</w:t>
            </w:r>
          </w:p>
        </w:tc>
        <w:tc>
          <w:tcPr>
            <w:tcW w:w="573"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0.65-0.84</w:t>
            </w: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pStyle w:val="31"/>
              <w:snapToGrid w:val="0"/>
              <w:spacing w:line="240" w:lineRule="auto"/>
              <w:rPr>
                <w:rFonts w:hint="eastAsia" w:ascii="Times New Roman" w:hAnsi="Times New Roman" w:eastAsia="宋体"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发展村</w:t>
            </w:r>
          </w:p>
        </w:tc>
        <w:tc>
          <w:tcPr>
            <w:tcW w:w="57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颗粒物</w:t>
            </w:r>
          </w:p>
        </w:tc>
        <w:tc>
          <w:tcPr>
            <w:tcW w:w="599"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24h</w:t>
            </w:r>
          </w:p>
        </w:tc>
        <w:tc>
          <w:tcPr>
            <w:tcW w:w="514"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0.3</w:t>
            </w:r>
          </w:p>
        </w:tc>
        <w:tc>
          <w:tcPr>
            <w:tcW w:w="738"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0.119-0.146</w:t>
            </w:r>
          </w:p>
        </w:tc>
        <w:tc>
          <w:tcPr>
            <w:tcW w:w="602"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41.0</w:t>
            </w:r>
          </w:p>
        </w:tc>
        <w:tc>
          <w:tcPr>
            <w:tcW w:w="602"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w:t>
            </w:r>
          </w:p>
        </w:tc>
        <w:tc>
          <w:tcPr>
            <w:tcW w:w="600"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厂址下风向1#</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0.125-0.141</w:t>
            </w: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鸭木蛋格屯</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0.113-0.125</w:t>
            </w: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宋体"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道宝村</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0.106-0.133</w:t>
            </w: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宋体"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长发屯</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0.104-0.136</w:t>
            </w: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南烧锅</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0.109-0.135</w:t>
            </w: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古龙镇第一中学</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0.109-0.131</w:t>
            </w: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西葫芦代</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0.105-0.132</w:t>
            </w: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1" w:type="dxa"/>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东葫芦代</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0.107-0.131</w:t>
            </w: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1" w:type="dxa"/>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cs="Times New Roman"/>
                <w:color w:val="auto"/>
                <w:sz w:val="21"/>
                <w:szCs w:val="21"/>
                <w:highlight w:val="none"/>
                <w:lang w:val="en-US" w:eastAsia="zh-CN"/>
              </w:rPr>
              <w:t>河北村</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0.107-0.132</w:t>
            </w: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60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00"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1" w:type="dxa"/>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大五家子屯</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0.109-0.134</w:t>
            </w:r>
          </w:p>
        </w:tc>
        <w:tc>
          <w:tcPr>
            <w:tcW w:w="602" w:type="pct"/>
            <w:vMerge w:val="continue"/>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r>
              <w:rPr>
                <w:rFonts w:hint="eastAsia" w:ascii="Times New Roman" w:hAnsi="Times New Roman" w:cs="Times New Roman"/>
                <w:color w:val="auto"/>
                <w:sz w:val="21"/>
                <w:szCs w:val="21"/>
                <w:highlight w:val="none"/>
                <w:lang w:val="en-US" w:eastAsia="zh-CN"/>
              </w:rPr>
              <w:t>新立屯散户</w:t>
            </w:r>
          </w:p>
        </w:tc>
        <w:tc>
          <w:tcPr>
            <w:tcW w:w="573"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0.109-0.132</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pStyle w:val="31"/>
              <w:snapToGrid w:val="0"/>
              <w:spacing w:line="240" w:lineRule="auto"/>
              <w:rPr>
                <w:rFonts w:hint="eastAsia" w:ascii="Times New Roman" w:hAnsi="Times New Roman" w:eastAsia="宋体"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发展村</w:t>
            </w:r>
          </w:p>
        </w:tc>
        <w:tc>
          <w:tcPr>
            <w:tcW w:w="57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氨</w:t>
            </w:r>
          </w:p>
        </w:tc>
        <w:tc>
          <w:tcPr>
            <w:tcW w:w="599"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1h</w:t>
            </w:r>
          </w:p>
        </w:tc>
        <w:tc>
          <w:tcPr>
            <w:tcW w:w="514"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w:t>
            </w:r>
          </w:p>
        </w:tc>
        <w:tc>
          <w:tcPr>
            <w:tcW w:w="738" w:type="pct"/>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restart"/>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602" w:type="pct"/>
            <w:vMerge w:val="restart"/>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00" w:type="pct"/>
            <w:vMerge w:val="restart"/>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厂址下风向1#</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鸭木蛋格屯</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宋体"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道宝村</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宋体"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长发屯</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南烧锅</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古龙镇第一中学</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西葫芦代</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1" w:type="dxa"/>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东葫芦代</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1" w:type="dxa"/>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cs="Times New Roman"/>
                <w:color w:val="auto"/>
                <w:sz w:val="21"/>
                <w:szCs w:val="21"/>
                <w:highlight w:val="none"/>
                <w:lang w:val="en-US" w:eastAsia="zh-CN"/>
              </w:rPr>
              <w:t>河北村</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1" w:type="dxa"/>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大五家子屯</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新立屯散户</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pStyle w:val="31"/>
              <w:snapToGrid w:val="0"/>
              <w:spacing w:line="240" w:lineRule="auto"/>
              <w:rPr>
                <w:rFonts w:hint="eastAsia" w:ascii="Times New Roman" w:hAnsi="Times New Roman" w:eastAsia="宋体"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发展村</w:t>
            </w:r>
          </w:p>
        </w:tc>
        <w:tc>
          <w:tcPr>
            <w:tcW w:w="57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硫化氢</w:t>
            </w:r>
          </w:p>
        </w:tc>
        <w:tc>
          <w:tcPr>
            <w:tcW w:w="599"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1h</w:t>
            </w:r>
          </w:p>
        </w:tc>
        <w:tc>
          <w:tcPr>
            <w:tcW w:w="514"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0.01</w:t>
            </w:r>
          </w:p>
        </w:tc>
        <w:tc>
          <w:tcPr>
            <w:tcW w:w="738" w:type="pct"/>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restart"/>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602" w:type="pct"/>
            <w:vMerge w:val="restart"/>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w:t>
            </w:r>
          </w:p>
        </w:tc>
        <w:tc>
          <w:tcPr>
            <w:tcW w:w="600" w:type="pct"/>
            <w:vMerge w:val="restart"/>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厂址下风向1#</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鸭木蛋格屯</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宋体"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道宝村</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宋体"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长发屯</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南烧锅</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古龙镇第一中学</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西葫芦代</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1" w:type="dxa"/>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东葫芦代</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1" w:type="dxa"/>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cs="Times New Roman"/>
                <w:color w:val="auto"/>
                <w:sz w:val="21"/>
                <w:szCs w:val="21"/>
                <w:highlight w:val="none"/>
                <w:lang w:val="en-US" w:eastAsia="zh-CN"/>
              </w:rPr>
              <w:t>河北村</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1" w:type="dxa"/>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大五家子屯</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69" w:type="pct"/>
            <w:vAlign w:val="center"/>
          </w:tcPr>
          <w:p>
            <w:pPr>
              <w:snapToGrid w:val="0"/>
              <w:spacing w:line="240" w:lineRule="auto"/>
              <w:jc w:val="center"/>
              <w:rPr>
                <w:rFonts w:hint="eastAsia" w:ascii="Times New Roman" w:hAnsi="Times New Roman" w:eastAsia="Arial" w:cs="Times New Roman"/>
                <w:snapToGrid w:val="0"/>
                <w:color w:val="auto"/>
                <w:kern w:val="24"/>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新立屯散户</w:t>
            </w:r>
          </w:p>
        </w:tc>
        <w:tc>
          <w:tcPr>
            <w:tcW w:w="57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599"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514"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38" w:type="pct"/>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2"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c>
          <w:tcPr>
            <w:tcW w:w="600" w:type="pct"/>
            <w:vMerge w:val="continue"/>
            <w:vAlign w:val="center"/>
          </w:tcPr>
          <w:p>
            <w:pPr>
              <w:pStyle w:val="31"/>
              <w:widowControl w:val="0"/>
              <w:snapToGrid w:val="0"/>
              <w:spacing w:line="240" w:lineRule="auto"/>
              <w:jc w:val="center"/>
              <w:rPr>
                <w:rFonts w:hint="eastAsia" w:ascii="Times New Roman" w:hAnsi="Times New Roman" w:cs="Times New Roman"/>
                <w:color w:val="auto"/>
                <w:sz w:val="21"/>
                <w:szCs w:val="21"/>
                <w:highlight w:val="none"/>
                <w:lang w:val="en-US" w:eastAsia="zh-CN"/>
              </w:rPr>
            </w:pP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由上表可知，评价区域环境空气监测点位非甲烷总烃满足《大气污染物综合标准详解》中规定的数值小时均值，TSP现状监测浓度满足《环境空气质量标准》（GB3095-2012）二级浓度限值</w:t>
      </w:r>
      <w:r>
        <w:rPr>
          <w:rFonts w:hint="eastAsia" w:cs="Times New Roman"/>
          <w:caps w:val="0"/>
          <w:smallCaps w:val="0"/>
          <w:snapToGrid/>
          <w:color w:val="auto"/>
          <w:spacing w:val="0"/>
          <w:w w:val="100"/>
          <w:kern w:val="0"/>
          <w:sz w:val="24"/>
          <w:szCs w:val="24"/>
          <w:highlight w:val="none"/>
          <w:lang w:val="en-US" w:eastAsia="zh-CN" w:bidi="ar-SA"/>
        </w:rPr>
        <w:t>；氨和硫化氢均未检出，满足</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《环境影响评价技术导则 大气环境》（HJ2.2-2018）</w:t>
      </w:r>
      <w:r>
        <w:rPr>
          <w:rFonts w:hint="eastAsia" w:eastAsia="宋体" w:cs="Times New Roman"/>
          <w:caps w:val="0"/>
          <w:smallCaps w:val="0"/>
          <w:snapToGrid/>
          <w:color w:val="auto"/>
          <w:spacing w:val="0"/>
          <w:w w:val="100"/>
          <w:kern w:val="0"/>
          <w:sz w:val="24"/>
          <w:szCs w:val="24"/>
          <w:highlight w:val="none"/>
          <w:lang w:val="en-US" w:eastAsia="zh-CN" w:bidi="ar-SA"/>
        </w:rPr>
        <w:t>附录D限值要求。</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说明评价区域内大气环境质量较好。</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4.2.2地表水环境质量现状调查与评价</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①监测布点：</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根据项目附近</w:t>
      </w:r>
      <w:r>
        <w:rPr>
          <w:rFonts w:hint="eastAsia" w:eastAsia="宋体" w:cs="Times New Roman"/>
          <w:caps w:val="0"/>
          <w:smallCaps w:val="0"/>
          <w:snapToGrid/>
          <w:color w:val="auto"/>
          <w:spacing w:val="0"/>
          <w:w w:val="100"/>
          <w:kern w:val="0"/>
          <w:sz w:val="24"/>
          <w:szCs w:val="24"/>
          <w:highlight w:val="none"/>
          <w:lang w:val="en-US" w:eastAsia="zh-CN" w:bidi="ar-SA"/>
        </w:rPr>
        <w:t>服务站站址及管道铺设区域</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地表水水体分布情况，本次设置5个地表水环境监测点位。</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表4.2-4地表水现状监测点位</w:t>
      </w:r>
    </w:p>
    <w:tbl>
      <w:tblPr>
        <w:tblStyle w:val="16"/>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26"/>
        <w:gridCol w:w="1318"/>
        <w:gridCol w:w="2360"/>
        <w:gridCol w:w="2634"/>
        <w:gridCol w:w="177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0"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序号</w:t>
            </w:r>
          </w:p>
        </w:tc>
        <w:tc>
          <w:tcPr>
            <w:tcW w:w="774"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监测点位</w:t>
            </w:r>
          </w:p>
        </w:tc>
        <w:tc>
          <w:tcPr>
            <w:tcW w:w="1386"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坐标（°）</w:t>
            </w:r>
          </w:p>
        </w:tc>
        <w:tc>
          <w:tcPr>
            <w:tcW w:w="1547"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相对位置</w:t>
            </w:r>
          </w:p>
        </w:tc>
        <w:tc>
          <w:tcPr>
            <w:tcW w:w="1042"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功能区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0"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p>
        </w:tc>
        <w:tc>
          <w:tcPr>
            <w:tcW w:w="77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鸭木蛋格泡子南侧</w:t>
            </w:r>
          </w:p>
        </w:tc>
        <w:tc>
          <w:tcPr>
            <w:tcW w:w="1386"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124.265707830,45.750844440</w:t>
            </w:r>
          </w:p>
        </w:tc>
        <w:tc>
          <w:tcPr>
            <w:tcW w:w="1547"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eastAsia="Arial" w:cs="Times New Roman"/>
                <w:snapToGrid w:val="0"/>
                <w:color w:val="auto"/>
                <w:kern w:val="24"/>
                <w:sz w:val="21"/>
                <w:szCs w:val="21"/>
                <w:highlight w:val="none"/>
                <w:lang w:val="en-US" w:eastAsia="zh-CN"/>
              </w:rPr>
              <w:t>输液管道东北侧</w:t>
            </w:r>
            <w:r>
              <w:rPr>
                <w:rFonts w:hint="eastAsia" w:cs="Times New Roman"/>
                <w:color w:val="auto"/>
                <w:sz w:val="21"/>
                <w:szCs w:val="21"/>
                <w:highlight w:val="none"/>
                <w:lang w:val="en-US" w:eastAsia="zh-CN"/>
              </w:rPr>
              <w:t>735m</w:t>
            </w:r>
          </w:p>
        </w:tc>
        <w:tc>
          <w:tcPr>
            <w:tcW w:w="1042"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0"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w:t>
            </w:r>
          </w:p>
        </w:tc>
        <w:tc>
          <w:tcPr>
            <w:tcW w:w="77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鸭木蛋格泡子西北侧</w:t>
            </w:r>
          </w:p>
        </w:tc>
        <w:tc>
          <w:tcPr>
            <w:tcW w:w="1386"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124.226333600,45.774048260</w:t>
            </w:r>
          </w:p>
        </w:tc>
        <w:tc>
          <w:tcPr>
            <w:tcW w:w="1547"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eastAsia="Arial" w:cs="Times New Roman"/>
                <w:snapToGrid w:val="0"/>
                <w:color w:val="auto"/>
                <w:kern w:val="24"/>
                <w:sz w:val="21"/>
                <w:szCs w:val="21"/>
                <w:highlight w:val="none"/>
                <w:lang w:val="en-US" w:eastAsia="zh-CN"/>
              </w:rPr>
              <w:t>输液管道东侧</w:t>
            </w:r>
            <w:r>
              <w:rPr>
                <w:rFonts w:hint="eastAsia" w:cs="Times New Roman"/>
                <w:color w:val="auto"/>
                <w:sz w:val="21"/>
                <w:szCs w:val="21"/>
                <w:highlight w:val="none"/>
                <w:lang w:val="en-US" w:eastAsia="zh-CN"/>
              </w:rPr>
              <w:t>130m</w:t>
            </w:r>
          </w:p>
        </w:tc>
        <w:tc>
          <w:tcPr>
            <w:tcW w:w="1042"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0"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w:t>
            </w:r>
          </w:p>
        </w:tc>
        <w:tc>
          <w:tcPr>
            <w:tcW w:w="77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葫芦代泡</w:t>
            </w:r>
          </w:p>
        </w:tc>
        <w:tc>
          <w:tcPr>
            <w:tcW w:w="1386"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124.227660172,45.868998020</w:t>
            </w:r>
          </w:p>
        </w:tc>
        <w:tc>
          <w:tcPr>
            <w:tcW w:w="1547"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eastAsia="Arial" w:cs="Times New Roman"/>
                <w:snapToGrid w:val="0"/>
                <w:color w:val="auto"/>
                <w:kern w:val="24"/>
                <w:sz w:val="21"/>
                <w:szCs w:val="21"/>
                <w:highlight w:val="none"/>
                <w:lang w:val="en-US" w:eastAsia="zh-CN"/>
              </w:rPr>
              <w:t>输液管道东侧</w:t>
            </w:r>
            <w:r>
              <w:rPr>
                <w:rFonts w:hint="eastAsia" w:cs="Times New Roman"/>
                <w:color w:val="auto"/>
                <w:sz w:val="21"/>
                <w:szCs w:val="21"/>
                <w:highlight w:val="none"/>
                <w:lang w:val="en-US" w:eastAsia="zh-CN"/>
              </w:rPr>
              <w:t>904m</w:t>
            </w:r>
          </w:p>
        </w:tc>
        <w:tc>
          <w:tcPr>
            <w:tcW w:w="1042"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0"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w:t>
            </w:r>
          </w:p>
        </w:tc>
        <w:tc>
          <w:tcPr>
            <w:tcW w:w="77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河北</w:t>
            </w:r>
            <w:r>
              <w:rPr>
                <w:rFonts w:hint="eastAsia" w:cs="Times New Roman"/>
                <w:color w:val="auto"/>
                <w:sz w:val="21"/>
                <w:szCs w:val="21"/>
                <w:highlight w:val="none"/>
                <w:lang w:val="en-US" w:eastAsia="zh-CN"/>
              </w:rPr>
              <w:t>村</w:t>
            </w:r>
            <w:r>
              <w:rPr>
                <w:rFonts w:hint="eastAsia" w:ascii="Times New Roman" w:hAnsi="Times New Roman" w:eastAsia="宋体" w:cs="Times New Roman"/>
                <w:color w:val="auto"/>
                <w:sz w:val="21"/>
                <w:szCs w:val="21"/>
                <w:highlight w:val="none"/>
                <w:lang w:val="en-US" w:eastAsia="zh-CN"/>
              </w:rPr>
              <w:t>南侧沟渠</w:t>
            </w:r>
          </w:p>
        </w:tc>
        <w:tc>
          <w:tcPr>
            <w:tcW w:w="1386" w:type="pct"/>
            <w:tcBorders>
              <w:tl2br w:val="nil"/>
              <w:tr2bl w:val="nil"/>
            </w:tcBorders>
            <w:vAlign w:val="center"/>
          </w:tcPr>
          <w:p>
            <w:pPr>
              <w:pStyle w:val="31"/>
              <w:widowControl w:val="0"/>
              <w:snapToGrid w:val="0"/>
              <w:spacing w:line="240" w:lineRule="auto"/>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124.234843590,45.890866940</w:t>
            </w:r>
          </w:p>
        </w:tc>
        <w:tc>
          <w:tcPr>
            <w:tcW w:w="1547"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eastAsia="Arial" w:cs="Times New Roman"/>
                <w:snapToGrid w:val="0"/>
                <w:color w:val="auto"/>
                <w:kern w:val="24"/>
                <w:sz w:val="21"/>
                <w:szCs w:val="21"/>
                <w:highlight w:val="none"/>
                <w:lang w:val="en-US" w:eastAsia="zh-CN"/>
              </w:rPr>
              <w:t>输液管道西侧</w:t>
            </w:r>
            <w:r>
              <w:rPr>
                <w:rFonts w:hint="eastAsia" w:cs="Times New Roman"/>
                <w:color w:val="auto"/>
                <w:sz w:val="21"/>
                <w:szCs w:val="21"/>
                <w:highlight w:val="none"/>
                <w:lang w:val="en-US" w:eastAsia="zh-CN"/>
              </w:rPr>
              <w:t>518m</w:t>
            </w:r>
          </w:p>
        </w:tc>
        <w:tc>
          <w:tcPr>
            <w:tcW w:w="1042" w:type="pct"/>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0"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w:t>
            </w:r>
          </w:p>
        </w:tc>
        <w:tc>
          <w:tcPr>
            <w:tcW w:w="77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大五家子屯</w:t>
            </w:r>
            <w:r>
              <w:rPr>
                <w:rFonts w:hint="eastAsia" w:ascii="Times New Roman" w:hAnsi="Times New Roman" w:eastAsia="宋体" w:cs="Times New Roman"/>
                <w:color w:val="auto"/>
                <w:sz w:val="21"/>
                <w:szCs w:val="21"/>
                <w:highlight w:val="none"/>
                <w:lang w:val="en-US" w:eastAsia="zh-CN"/>
              </w:rPr>
              <w:t>东北侧沟渠</w:t>
            </w:r>
          </w:p>
        </w:tc>
        <w:tc>
          <w:tcPr>
            <w:tcW w:w="1386" w:type="pct"/>
            <w:tcBorders>
              <w:tl2br w:val="nil"/>
              <w:tr2bl w:val="nil"/>
            </w:tcBorders>
            <w:vAlign w:val="center"/>
          </w:tcPr>
          <w:p>
            <w:pPr>
              <w:pStyle w:val="31"/>
              <w:widowControl w:val="0"/>
              <w:snapToGrid w:val="0"/>
              <w:spacing w:line="240" w:lineRule="auto"/>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124.269583580,45.911528090</w:t>
            </w:r>
          </w:p>
        </w:tc>
        <w:tc>
          <w:tcPr>
            <w:tcW w:w="1547" w:type="pct"/>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eastAsia="Arial" w:cs="Times New Roman"/>
                <w:snapToGrid w:val="0"/>
                <w:color w:val="auto"/>
                <w:kern w:val="24"/>
                <w:sz w:val="21"/>
                <w:szCs w:val="21"/>
                <w:highlight w:val="none"/>
                <w:lang w:val="en-US" w:eastAsia="zh-CN"/>
              </w:rPr>
              <w:t>输液管道东侧</w:t>
            </w:r>
            <w:r>
              <w:rPr>
                <w:rFonts w:hint="eastAsia" w:cs="Times New Roman"/>
                <w:color w:val="auto"/>
                <w:sz w:val="21"/>
                <w:szCs w:val="21"/>
                <w:highlight w:val="none"/>
                <w:lang w:val="en-US" w:eastAsia="zh-CN"/>
              </w:rPr>
              <w:t>15m</w:t>
            </w:r>
          </w:p>
        </w:tc>
        <w:tc>
          <w:tcPr>
            <w:tcW w:w="1042" w:type="pct"/>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②监测项目：pH值、悬浮物、COD、BOD</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5</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、氨氮、总磷、石油类、挥发酚、硫化物、阴离子表面活性剂、汞、总铬、六价铬、镉、砷、镍、铅，监测方法按照国家规定标准方法进行。</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③监测时间与频次：连续监测</w:t>
      </w:r>
      <w:r>
        <w:rPr>
          <w:rFonts w:hint="eastAsia" w:eastAsia="宋体" w:cs="Times New Roman"/>
          <w:caps w:val="0"/>
          <w:smallCaps w:val="0"/>
          <w:snapToGrid/>
          <w:color w:val="auto"/>
          <w:spacing w:val="0"/>
          <w:w w:val="100"/>
          <w:kern w:val="0"/>
          <w:sz w:val="24"/>
          <w:szCs w:val="24"/>
          <w:highlight w:val="none"/>
          <w:lang w:val="en-US" w:eastAsia="zh-CN" w:bidi="ar-SA"/>
        </w:rPr>
        <w:t>1</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天，每天一次。</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④监测结果：监测结果见表4.2-5。</w:t>
      </w:r>
    </w:p>
    <w:p>
      <w:pPr>
        <w:pStyle w:val="11"/>
        <w:keepNext w:val="0"/>
        <w:keepLines w:val="0"/>
        <w:pageBreakBefore w:val="0"/>
        <w:widowControl/>
        <w:kinsoku w:val="0"/>
        <w:wordWrap/>
        <w:overflowPunct/>
        <w:topLinePunct w:val="0"/>
        <w:autoSpaceDE w:val="0"/>
        <w:autoSpaceDN w:val="0"/>
        <w:bidi w:val="0"/>
        <w:adjustRightInd w:val="0"/>
        <w:snapToGrid w:val="0"/>
        <w:spacing w:line="500" w:lineRule="exact"/>
        <w:ind w:left="0" w:leftChars="0" w:firstLine="0" w:firstLineChars="0"/>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表4.2-5地表水环境现状监测结果   单位：mg/L（pH无量纲）</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19"/>
        <w:gridCol w:w="1419"/>
        <w:gridCol w:w="1419"/>
        <w:gridCol w:w="1419"/>
        <w:gridCol w:w="1420"/>
        <w:gridCol w:w="14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restart"/>
            <w:tcBorders>
              <w:tl2br w:val="nil"/>
              <w:tr2bl w:val="nil"/>
            </w:tcBorders>
            <w:vAlign w:val="center"/>
          </w:tcPr>
          <w:p>
            <w:pPr>
              <w:widowControl w:val="0"/>
              <w:jc w:val="center"/>
              <w:outlineLvl w:val="0"/>
              <w:rPr>
                <w:rFonts w:hint="default" w:ascii="Times New Roman" w:hAnsi="Times New Roman" w:cs="Times New Roman"/>
                <w:color w:val="auto"/>
                <w:sz w:val="21"/>
                <w:szCs w:val="21"/>
                <w:highlight w:val="none"/>
                <w:lang w:val="en-US" w:eastAsia="zh-CN"/>
              </w:rPr>
            </w:pPr>
            <w:bookmarkStart w:id="32" w:name="_Toc24638"/>
            <w:bookmarkStart w:id="33" w:name="_Toc24542"/>
            <w:r>
              <w:rPr>
                <w:rFonts w:hint="default" w:ascii="Times New Roman" w:hAnsi="Times New Roman" w:cs="Times New Roman"/>
                <w:b w:val="0"/>
                <w:bCs w:val="0"/>
                <w:color w:val="auto"/>
                <w:spacing w:val="0"/>
                <w:sz w:val="21"/>
                <w:szCs w:val="21"/>
                <w:highlight w:val="none"/>
                <w:vertAlign w:val="baseline"/>
                <w:lang w:eastAsia="zh-CN"/>
              </w:rPr>
              <w:t>监测项目</w:t>
            </w:r>
            <w:bookmarkEnd w:id="32"/>
            <w:bookmarkEnd w:id="33"/>
          </w:p>
        </w:tc>
        <w:tc>
          <w:tcPr>
            <w:tcW w:w="7097" w:type="dxa"/>
            <w:gridSpan w:val="5"/>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b w:val="0"/>
                <w:bCs w:val="0"/>
                <w:color w:val="auto"/>
                <w:spacing w:val="0"/>
                <w:sz w:val="21"/>
                <w:szCs w:val="21"/>
                <w:highlight w:val="none"/>
                <w:vertAlign w:val="baseline"/>
                <w:lang w:eastAsia="zh-CN"/>
              </w:rPr>
              <w:t>监测结果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Arial" w:cs="Times New Roman"/>
                <w:snapToGrid w:val="0"/>
                <w:color w:val="auto"/>
                <w:kern w:val="0"/>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鸭木蛋格泡子南侧</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Arial" w:cs="Times New Roman"/>
                <w:snapToGrid w:val="0"/>
                <w:color w:val="auto"/>
                <w:kern w:val="0"/>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鸭木蛋格泡子西北侧</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Arial" w:cs="Times New Roman"/>
                <w:snapToGrid w:val="0"/>
                <w:color w:val="auto"/>
                <w:kern w:val="0"/>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葫芦代泡</w:t>
            </w:r>
          </w:p>
        </w:tc>
        <w:tc>
          <w:tcPr>
            <w:tcW w:w="14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河北村南侧沟渠</w:t>
            </w:r>
          </w:p>
        </w:tc>
        <w:tc>
          <w:tcPr>
            <w:tcW w:w="14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大五家子屯东北侧沟渠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val="0"/>
              <w:jc w:val="center"/>
              <w:outlineLvl w:val="0"/>
              <w:rPr>
                <w:rFonts w:hint="default" w:ascii="Times New Roman" w:hAnsi="Times New Roman" w:cs="Times New Roman"/>
                <w:color w:val="auto"/>
                <w:sz w:val="21"/>
                <w:szCs w:val="21"/>
                <w:highlight w:val="none"/>
                <w:lang w:val="en-US" w:eastAsia="zh-CN"/>
              </w:rPr>
            </w:pPr>
            <w:bookmarkStart w:id="34" w:name="_Toc2082"/>
            <w:bookmarkStart w:id="35" w:name="_Toc25170"/>
            <w:r>
              <w:rPr>
                <w:rFonts w:hint="default" w:ascii="Times New Roman" w:hAnsi="Times New Roman" w:cs="Times New Roman"/>
                <w:b w:val="0"/>
                <w:bCs w:val="0"/>
                <w:color w:val="auto"/>
                <w:spacing w:val="0"/>
                <w:sz w:val="21"/>
                <w:szCs w:val="21"/>
                <w:highlight w:val="none"/>
                <w:vertAlign w:val="baseline"/>
                <w:lang w:val="en-US" w:eastAsia="zh-CN"/>
              </w:rPr>
              <w:t>监测日期</w:t>
            </w:r>
            <w:bookmarkEnd w:id="34"/>
            <w:bookmarkEnd w:id="35"/>
          </w:p>
        </w:tc>
        <w:tc>
          <w:tcPr>
            <w:tcW w:w="7097" w:type="dxa"/>
            <w:gridSpan w:val="5"/>
            <w:tcBorders>
              <w:tl2br w:val="nil"/>
              <w:tr2bl w:val="nil"/>
            </w:tcBorders>
            <w:vAlign w:val="center"/>
          </w:tcPr>
          <w:p>
            <w:pPr>
              <w:pStyle w:val="31"/>
              <w:widowControl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2023.10.21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bidi="ar"/>
              </w:rPr>
              <w:t>pH</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8.6</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8.7</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8.4</w:t>
            </w:r>
          </w:p>
        </w:tc>
        <w:tc>
          <w:tcPr>
            <w:tcW w:w="14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8.6</w:t>
            </w:r>
          </w:p>
        </w:tc>
        <w:tc>
          <w:tcPr>
            <w:tcW w:w="14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8.3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宋体" w:cs="Times New Roman"/>
                <w:snapToGrid w:val="0"/>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悬浮物</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18</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11</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12</w:t>
            </w:r>
          </w:p>
        </w:tc>
        <w:tc>
          <w:tcPr>
            <w:tcW w:w="14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9</w:t>
            </w:r>
          </w:p>
        </w:tc>
        <w:tc>
          <w:tcPr>
            <w:tcW w:w="14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Arial" w:cs="Times New Roman"/>
                <w:snapToGrid w:val="0"/>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COD</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44</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40</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48</w:t>
            </w:r>
          </w:p>
        </w:tc>
        <w:tc>
          <w:tcPr>
            <w:tcW w:w="14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46</w:t>
            </w:r>
          </w:p>
        </w:tc>
        <w:tc>
          <w:tcPr>
            <w:tcW w:w="14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41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trPr>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Arial" w:cs="Times New Roman"/>
                <w:snapToGrid w:val="0"/>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BOD</w:t>
            </w:r>
            <w:r>
              <w:rPr>
                <w:rFonts w:hint="eastAsia" w:ascii="Times New Roman" w:hAnsi="Times New Roman" w:cs="Times New Roman"/>
                <w:color w:val="auto"/>
                <w:kern w:val="0"/>
                <w:sz w:val="21"/>
                <w:szCs w:val="21"/>
                <w:highlight w:val="none"/>
                <w:vertAlign w:val="subscript"/>
                <w:lang w:val="en-US" w:eastAsia="zh-CN" w:bidi="ar"/>
              </w:rPr>
              <w:t>5</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8.5</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7.6</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9.3</w:t>
            </w:r>
          </w:p>
        </w:tc>
        <w:tc>
          <w:tcPr>
            <w:tcW w:w="14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8.9</w:t>
            </w:r>
          </w:p>
        </w:tc>
        <w:tc>
          <w:tcPr>
            <w:tcW w:w="14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7.8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Arial" w:cs="Times New Roman"/>
                <w:snapToGrid w:val="0"/>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氨氮</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0.781</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0.611</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0.634</w:t>
            </w:r>
          </w:p>
        </w:tc>
        <w:tc>
          <w:tcPr>
            <w:tcW w:w="14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0.619</w:t>
            </w:r>
          </w:p>
        </w:tc>
        <w:tc>
          <w:tcPr>
            <w:tcW w:w="14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0.959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Arial" w:cs="Times New Roman"/>
                <w:snapToGrid w:val="0"/>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总磷</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0.35</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0.37</w:t>
            </w:r>
          </w:p>
        </w:tc>
        <w:tc>
          <w:tcPr>
            <w:tcW w:w="141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0.23</w:t>
            </w:r>
          </w:p>
        </w:tc>
        <w:tc>
          <w:tcPr>
            <w:tcW w:w="14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0.26</w:t>
            </w:r>
          </w:p>
        </w:tc>
        <w:tc>
          <w:tcPr>
            <w:tcW w:w="14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spacing w:val="0"/>
                <w:sz w:val="21"/>
                <w:szCs w:val="21"/>
                <w:highlight w:val="none"/>
                <w:vertAlign w:val="baseline"/>
                <w:lang w:val="en-US" w:eastAsia="zh-CN"/>
              </w:rPr>
              <w:t>1.22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Arial" w:cs="Times New Roman"/>
                <w:snapToGrid w:val="0"/>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石油类</w:t>
            </w:r>
          </w:p>
        </w:tc>
        <w:tc>
          <w:tcPr>
            <w:tcW w:w="1419" w:type="dxa"/>
            <w:tcBorders>
              <w:tl2br w:val="nil"/>
              <w:tr2bl w:val="nil"/>
            </w:tcBorders>
            <w:vAlign w:val="center"/>
          </w:tcPr>
          <w:p>
            <w:pPr>
              <w:pStyle w:val="31"/>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20"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20"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Arial" w:cs="Times New Roman"/>
                <w:snapToGrid w:val="0"/>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挥发酚</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20"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20"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Arial" w:cs="Times New Roman"/>
                <w:snapToGrid w:val="0"/>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硫化物</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20"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20"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Arial" w:cs="Times New Roman"/>
                <w:snapToGrid w:val="0"/>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阴离子表面活性剂</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20"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20"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Arial" w:cs="Times New Roman"/>
                <w:snapToGrid w:val="0"/>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汞</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20"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20"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宋体" w:hAnsi="宋体" w:cs="宋体"/>
                <w:color w:val="auto"/>
                <w:kern w:val="0"/>
                <w:sz w:val="21"/>
                <w:szCs w:val="21"/>
                <w:highlight w:val="none"/>
                <w:lang w:val="en-US" w:eastAsia="zh-CN" w:bidi="ar"/>
              </w:rPr>
              <w:t>总铬</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20"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20"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宋体" w:hAnsi="宋体" w:cs="宋体"/>
                <w:color w:val="auto"/>
                <w:kern w:val="0"/>
                <w:sz w:val="21"/>
                <w:szCs w:val="21"/>
                <w:highlight w:val="none"/>
                <w:lang w:val="en-US" w:eastAsia="zh-CN" w:bidi="ar"/>
              </w:rPr>
              <w:t>六价铬</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19"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20"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420" w:type="dxa"/>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宋体" w:hAnsi="宋体" w:cs="宋体"/>
                <w:color w:val="auto"/>
                <w:kern w:val="0"/>
                <w:sz w:val="21"/>
                <w:szCs w:val="21"/>
                <w:highlight w:val="none"/>
                <w:lang w:val="en-US" w:eastAsia="zh-CN" w:bidi="ar"/>
              </w:rPr>
              <w:t>镉</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宋体" w:hAnsi="宋体" w:cs="宋体"/>
                <w:color w:val="auto"/>
                <w:kern w:val="0"/>
                <w:sz w:val="21"/>
                <w:szCs w:val="21"/>
                <w:highlight w:val="none"/>
                <w:lang w:val="en-US" w:eastAsia="zh-CN" w:bidi="ar"/>
              </w:rPr>
              <w:t>砷</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宋体" w:hAnsi="宋体" w:cs="宋体"/>
                <w:color w:val="auto"/>
                <w:kern w:val="0"/>
                <w:sz w:val="21"/>
                <w:szCs w:val="21"/>
                <w:highlight w:val="none"/>
                <w:lang w:val="en-US" w:eastAsia="zh-CN" w:bidi="ar"/>
              </w:rPr>
              <w:t>镍</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widowControl/>
              <w:spacing w:beforeLines="0" w:afterLines="0"/>
              <w:jc w:val="center"/>
              <w:textAlignment w:val="center"/>
              <w:rPr>
                <w:rFonts w:hint="default" w:ascii="Times New Roman" w:hAnsi="Times New Roman" w:eastAsia="宋体" w:cs="Times New Roman"/>
                <w:i w:val="0"/>
                <w:snapToGrid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铅</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0" w:type="auto"/>
            <w:tcBorders>
              <w:tl2br w:val="nil"/>
              <w:tr2bl w:val="nil"/>
            </w:tcBorders>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4.2.2.2现状评价</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根据《大庆市人民政府关于印发大庆市声环境功能区划分、大庆市环境空气质量功能区划分、大庆市地表水环境功能区划分的通知》（庆政发〔2019〕11号），</w:t>
      </w:r>
      <w:r>
        <w:rPr>
          <w:rFonts w:hint="eastAsia" w:eastAsia="宋体" w:cs="Times New Roman"/>
          <w:caps w:val="0"/>
          <w:smallCaps w:val="0"/>
          <w:snapToGrid/>
          <w:color w:val="auto"/>
          <w:spacing w:val="0"/>
          <w:w w:val="100"/>
          <w:kern w:val="0"/>
          <w:sz w:val="24"/>
          <w:szCs w:val="24"/>
          <w:highlight w:val="none"/>
          <w:lang w:val="en-US" w:eastAsia="zh-CN" w:bidi="ar-SA"/>
        </w:rPr>
        <w:t>项目附近地表水体为乡级河湖，</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按照河湖保护要求，保持水体、水面和堤岸保洁，暂不执行《地表水环境质量标准》（GB3838-2002）。</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4.2.3地下水环境质量现状调查与评价</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4.2.3.1地下水现状监测</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（1）水质监测</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①监测点位布设</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由区域水文地质条件可知，</w:t>
      </w:r>
      <w:r>
        <w:rPr>
          <w:rFonts w:hint="eastAsia" w:cs="Times New Roman"/>
          <w:caps w:val="0"/>
          <w:smallCaps w:val="0"/>
          <w:snapToGrid/>
          <w:color w:val="auto"/>
          <w:spacing w:val="0"/>
          <w:w w:val="100"/>
          <w:kern w:val="0"/>
          <w:sz w:val="24"/>
          <w:szCs w:val="24"/>
          <w:highlight w:val="none"/>
          <w:lang w:val="en-US" w:eastAsia="zh-CN" w:bidi="ar-SA"/>
        </w:rPr>
        <w:t>项目所在区域，潜水地下水等水位线图可看出，南部区和北部区地下水的总径流方向均为由北向南，局部地区受地势影响。从新近系泰康组承压含水层等水位线图可看出，北部调查区：调查区新近系泰康组地下水径流方向受他拉哈镇及腰新屯用水影响为由东北向西南；南部调查区：调查区新近系泰康组地下水径流方向受新站镇及革志屯用水影响为由西南向东北。</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根据《环境影响评价技术导则 地下水》（HJ610-2016），本</w:t>
      </w:r>
      <w:r>
        <w:rPr>
          <w:rFonts w:hint="eastAsia" w:eastAsia="宋体" w:cs="Times New Roman"/>
          <w:caps w:val="0"/>
          <w:smallCaps w:val="0"/>
          <w:snapToGrid/>
          <w:color w:val="auto"/>
          <w:spacing w:val="0"/>
          <w:w w:val="100"/>
          <w:kern w:val="0"/>
          <w:sz w:val="24"/>
          <w:szCs w:val="24"/>
          <w:highlight w:val="none"/>
          <w:lang w:val="en-US" w:eastAsia="zh-CN" w:bidi="ar-SA"/>
        </w:rPr>
        <w:t>项目</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布设</w:t>
      </w:r>
      <w:r>
        <w:rPr>
          <w:rFonts w:hint="eastAsia" w:eastAsia="宋体" w:cs="Times New Roman"/>
          <w:caps w:val="0"/>
          <w:smallCaps w:val="0"/>
          <w:snapToGrid/>
          <w:color w:val="auto"/>
          <w:spacing w:val="0"/>
          <w:w w:val="100"/>
          <w:kern w:val="0"/>
          <w:sz w:val="24"/>
          <w:szCs w:val="24"/>
          <w:highlight w:val="none"/>
          <w:lang w:val="en-US" w:eastAsia="zh-CN" w:bidi="ar-SA"/>
        </w:rPr>
        <w:t>22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个地下水监测点。</w:t>
      </w:r>
    </w:p>
    <w:p>
      <w:pPr>
        <w:keepNext w:val="0"/>
        <w:keepLines w:val="0"/>
        <w:pageBreakBefore w:val="0"/>
        <w:widowControl/>
        <w:suppressLineNumbers w:val="0"/>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olor w:val="auto"/>
          <w:kern w:val="0"/>
          <w:sz w:val="21"/>
          <w:szCs w:val="21"/>
          <w:highlight w:val="none"/>
          <w:lang w:val="en-US" w:eastAsia="zh-CN" w:bidi="ar"/>
        </w:rPr>
      </w:pPr>
      <w:r>
        <w:rPr>
          <w:rFonts w:hint="eastAsia" w:ascii="Times New Roman" w:hAnsi="Times New Roman" w:eastAsia="宋体" w:cs="Times New Roman"/>
          <w:b/>
          <w:bCs/>
          <w:color w:val="auto"/>
          <w:kern w:val="0"/>
          <w:sz w:val="21"/>
          <w:szCs w:val="21"/>
          <w:highlight w:val="none"/>
          <w:lang w:val="en-US" w:eastAsia="zh-CN" w:bidi="ar"/>
        </w:rPr>
        <w:t>表</w:t>
      </w:r>
      <w:r>
        <w:rPr>
          <w:rFonts w:hint="default" w:ascii="Times New Roman" w:hAnsi="Times New Roman" w:eastAsia="宋体" w:cs="Times New Roman"/>
          <w:b/>
          <w:bCs/>
          <w:color w:val="auto"/>
          <w:kern w:val="0"/>
          <w:sz w:val="21"/>
          <w:szCs w:val="21"/>
          <w:highlight w:val="none"/>
          <w:lang w:val="en-US" w:eastAsia="zh-CN" w:bidi="ar"/>
        </w:rPr>
        <w:t>4.</w:t>
      </w:r>
      <w:r>
        <w:rPr>
          <w:rFonts w:hint="eastAsia" w:ascii="Times New Roman" w:hAnsi="Times New Roman" w:eastAsia="宋体" w:cs="Times New Roman"/>
          <w:b/>
          <w:bCs/>
          <w:color w:val="auto"/>
          <w:kern w:val="0"/>
          <w:sz w:val="21"/>
          <w:szCs w:val="21"/>
          <w:highlight w:val="none"/>
          <w:lang w:val="en-US" w:eastAsia="zh-CN" w:bidi="ar"/>
        </w:rPr>
        <w:t>2</w:t>
      </w:r>
      <w:r>
        <w:rPr>
          <w:rFonts w:hint="default" w:ascii="Times New Roman" w:hAnsi="Times New Roman" w:eastAsia="宋体" w:cs="Times New Roman"/>
          <w:b/>
          <w:bCs/>
          <w:color w:val="auto"/>
          <w:kern w:val="0"/>
          <w:sz w:val="21"/>
          <w:szCs w:val="21"/>
          <w:highlight w:val="none"/>
          <w:lang w:val="en-US" w:eastAsia="zh-CN" w:bidi="ar"/>
        </w:rPr>
        <w:t>-</w:t>
      </w:r>
      <w:r>
        <w:rPr>
          <w:rFonts w:hint="eastAsia" w:cs="Times New Roman"/>
          <w:b/>
          <w:bCs/>
          <w:color w:val="auto"/>
          <w:kern w:val="0"/>
          <w:sz w:val="21"/>
          <w:szCs w:val="21"/>
          <w:highlight w:val="none"/>
          <w:lang w:val="en-US" w:eastAsia="zh-CN" w:bidi="ar"/>
        </w:rPr>
        <w:t>6</w:t>
      </w:r>
      <w:r>
        <w:rPr>
          <w:rFonts w:hint="eastAsia" w:ascii="Times New Roman" w:hAnsi="Times New Roman" w:eastAsia="宋体" w:cs="Times New Roman"/>
          <w:b/>
          <w:bCs/>
          <w:color w:val="auto"/>
          <w:kern w:val="0"/>
          <w:sz w:val="21"/>
          <w:szCs w:val="21"/>
          <w:highlight w:val="none"/>
          <w:lang w:val="en-US" w:eastAsia="zh-CN" w:bidi="ar"/>
        </w:rPr>
        <w:t>地下水水质监测点位</w:t>
      </w:r>
    </w:p>
    <w:tbl>
      <w:tblPr>
        <w:tblStyle w:val="16"/>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66"/>
        <w:gridCol w:w="1364"/>
        <w:gridCol w:w="2146"/>
        <w:gridCol w:w="2269"/>
        <w:gridCol w:w="176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序号</w:t>
            </w:r>
          </w:p>
        </w:tc>
        <w:tc>
          <w:tcPr>
            <w:tcW w:w="80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点位</w:t>
            </w:r>
          </w:p>
        </w:tc>
        <w:tc>
          <w:tcPr>
            <w:tcW w:w="12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坐标（°）</w:t>
            </w:r>
          </w:p>
        </w:tc>
        <w:tc>
          <w:tcPr>
            <w:tcW w:w="13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相对厂址方位</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距离</w:t>
            </w:r>
          </w:p>
        </w:tc>
        <w:tc>
          <w:tcPr>
            <w:tcW w:w="103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监测层位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67" w:type="pct"/>
            <w:tcBorders>
              <w:tl2br w:val="nil"/>
              <w:tr2bl w:val="nil"/>
            </w:tcBorders>
            <w:noWrap w:val="0"/>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D1</w:t>
            </w:r>
          </w:p>
        </w:tc>
        <w:tc>
          <w:tcPr>
            <w:tcW w:w="8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长青屯承压水井</w:t>
            </w:r>
          </w:p>
        </w:tc>
        <w:tc>
          <w:tcPr>
            <w:tcW w:w="12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E:124.288016，N:45.929231</w:t>
            </w:r>
          </w:p>
        </w:tc>
        <w:tc>
          <w:tcPr>
            <w:tcW w:w="13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输液管道东北侧724m</w:t>
            </w:r>
          </w:p>
        </w:tc>
        <w:tc>
          <w:tcPr>
            <w:tcW w:w="10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承压水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 w:type="pct"/>
            <w:tcBorders>
              <w:tl2br w:val="nil"/>
              <w:tr2bl w:val="nil"/>
            </w:tcBorders>
            <w:noWrap w:val="0"/>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D2</w:t>
            </w:r>
          </w:p>
        </w:tc>
        <w:tc>
          <w:tcPr>
            <w:tcW w:w="8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新立屯散户潜水井</w:t>
            </w:r>
          </w:p>
        </w:tc>
        <w:tc>
          <w:tcPr>
            <w:tcW w:w="12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E:124.282489，N:45.922028</w:t>
            </w:r>
          </w:p>
        </w:tc>
        <w:tc>
          <w:tcPr>
            <w:tcW w:w="13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输液管道东南侧242m</w:t>
            </w:r>
          </w:p>
        </w:tc>
        <w:tc>
          <w:tcPr>
            <w:tcW w:w="10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潜水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67" w:type="pct"/>
            <w:tcBorders>
              <w:tl2br w:val="nil"/>
              <w:tr2bl w:val="nil"/>
            </w:tcBorders>
            <w:noWrap w:val="0"/>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D3</w:t>
            </w:r>
          </w:p>
        </w:tc>
        <w:tc>
          <w:tcPr>
            <w:tcW w:w="8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olor w:val="auto"/>
                <w:highlight w:val="none"/>
                <w:lang w:val="en-US" w:eastAsia="zh-CN"/>
              </w:rPr>
              <w:t>大五家子潜水井</w:t>
            </w:r>
          </w:p>
        </w:tc>
        <w:tc>
          <w:tcPr>
            <w:tcW w:w="1260" w:type="pct"/>
            <w:tcBorders>
              <w:tl2br w:val="nil"/>
              <w:tr2bl w:val="nil"/>
            </w:tcBorders>
            <w:noWrap w:val="0"/>
            <w:vAlign w:val="center"/>
          </w:tcPr>
          <w:p>
            <w:pPr>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Cs w:val="21"/>
                <w:highlight w:val="none"/>
                <w:lang w:val="en-US" w:eastAsia="zh-CN"/>
              </w:rPr>
              <w:t>E:124.256128，N:45.907714</w:t>
            </w:r>
          </w:p>
        </w:tc>
        <w:tc>
          <w:tcPr>
            <w:tcW w:w="13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输液管道东侧371m</w:t>
            </w:r>
          </w:p>
        </w:tc>
        <w:tc>
          <w:tcPr>
            <w:tcW w:w="10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潜水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 w:type="pct"/>
            <w:tcBorders>
              <w:tl2br w:val="nil"/>
              <w:tr2bl w:val="nil"/>
            </w:tcBorders>
            <w:noWrap w:val="0"/>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D4</w:t>
            </w:r>
          </w:p>
        </w:tc>
        <w:tc>
          <w:tcPr>
            <w:tcW w:w="8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河北</w:t>
            </w:r>
            <w:r>
              <w:rPr>
                <w:rFonts w:hint="eastAsia" w:cs="Times New Roman"/>
                <w:color w:val="auto"/>
                <w:sz w:val="21"/>
                <w:szCs w:val="21"/>
                <w:highlight w:val="none"/>
                <w:lang w:val="en-US" w:eastAsia="zh-CN"/>
              </w:rPr>
              <w:t>村</w:t>
            </w:r>
            <w:r>
              <w:rPr>
                <w:rFonts w:hint="eastAsia" w:ascii="Times New Roman" w:hAnsi="Times New Roman" w:eastAsia="宋体" w:cs="Times New Roman"/>
                <w:color w:val="auto"/>
                <w:sz w:val="21"/>
                <w:szCs w:val="21"/>
                <w:highlight w:val="none"/>
                <w:lang w:val="en-US" w:eastAsia="zh-CN"/>
              </w:rPr>
              <w:t>承压水井</w:t>
            </w:r>
          </w:p>
        </w:tc>
        <w:tc>
          <w:tcPr>
            <w:tcW w:w="12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E:124.233422，N:45.892973</w:t>
            </w:r>
          </w:p>
        </w:tc>
        <w:tc>
          <w:tcPr>
            <w:tcW w:w="13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输液管道西侧555m</w:t>
            </w:r>
          </w:p>
        </w:tc>
        <w:tc>
          <w:tcPr>
            <w:tcW w:w="10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承压水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 w:type="pct"/>
            <w:tcBorders>
              <w:tl2br w:val="nil"/>
              <w:tr2bl w:val="nil"/>
            </w:tcBorders>
            <w:noWrap w:val="0"/>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D5</w:t>
            </w:r>
          </w:p>
        </w:tc>
        <w:tc>
          <w:tcPr>
            <w:tcW w:w="8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西葫芦代潜水井</w:t>
            </w:r>
          </w:p>
        </w:tc>
        <w:tc>
          <w:tcPr>
            <w:tcW w:w="12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E:124.227674，N:45.875515</w:t>
            </w:r>
          </w:p>
        </w:tc>
        <w:tc>
          <w:tcPr>
            <w:tcW w:w="13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输液管道东侧538m</w:t>
            </w:r>
          </w:p>
        </w:tc>
        <w:tc>
          <w:tcPr>
            <w:tcW w:w="10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潜水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 w:type="pct"/>
            <w:tcBorders>
              <w:tl2br w:val="nil"/>
              <w:tr2bl w:val="nil"/>
            </w:tcBorders>
            <w:noWrap w:val="0"/>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D6</w:t>
            </w:r>
          </w:p>
        </w:tc>
        <w:tc>
          <w:tcPr>
            <w:tcW w:w="8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古龙镇承压水井</w:t>
            </w:r>
          </w:p>
        </w:tc>
        <w:tc>
          <w:tcPr>
            <w:tcW w:w="12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E:124.225006，N:45.852146</w:t>
            </w:r>
          </w:p>
        </w:tc>
        <w:tc>
          <w:tcPr>
            <w:tcW w:w="13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输液管道西侧1.225km</w:t>
            </w:r>
          </w:p>
        </w:tc>
        <w:tc>
          <w:tcPr>
            <w:tcW w:w="10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承压水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 w:type="pct"/>
            <w:tcBorders>
              <w:tl2br w:val="nil"/>
              <w:tr2bl w:val="nil"/>
            </w:tcBorders>
            <w:noWrap w:val="0"/>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D7</w:t>
            </w:r>
          </w:p>
        </w:tc>
        <w:tc>
          <w:tcPr>
            <w:tcW w:w="8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道宝村</w:t>
            </w:r>
            <w:r>
              <w:rPr>
                <w:rFonts w:hint="eastAsia" w:eastAsia="宋体" w:cs="Times New Roman"/>
                <w:color w:val="auto"/>
                <w:sz w:val="21"/>
                <w:szCs w:val="21"/>
                <w:highlight w:val="none"/>
                <w:lang w:val="en-US" w:eastAsia="zh-CN"/>
              </w:rPr>
              <w:t>承压水井</w:t>
            </w:r>
          </w:p>
        </w:tc>
        <w:tc>
          <w:tcPr>
            <w:tcW w:w="12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E:124.228592，N:45.799328</w:t>
            </w:r>
          </w:p>
        </w:tc>
        <w:tc>
          <w:tcPr>
            <w:tcW w:w="13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both"/>
              <w:textAlignment w:val="auto"/>
              <w:outlineLvl w:val="0"/>
              <w:rPr>
                <w:rFonts w:hint="default" w:ascii="Times New Roman" w:hAnsi="Times New Roman" w:cs="Times New Roman"/>
                <w:color w:val="auto"/>
                <w:sz w:val="21"/>
                <w:szCs w:val="21"/>
                <w:highlight w:val="none"/>
                <w:vertAlign w:val="baseline"/>
                <w:lang w:val="en-US" w:eastAsia="zh-CN"/>
              </w:rPr>
            </w:pPr>
            <w:bookmarkStart w:id="36" w:name="_Toc26090"/>
            <w:bookmarkStart w:id="37" w:name="_Toc12255"/>
            <w:r>
              <w:rPr>
                <w:rFonts w:hint="eastAsia" w:cs="Times New Roman"/>
                <w:color w:val="auto"/>
                <w:sz w:val="21"/>
                <w:szCs w:val="21"/>
                <w:highlight w:val="none"/>
                <w:vertAlign w:val="baseline"/>
                <w:lang w:val="en-US" w:eastAsia="zh-CN"/>
              </w:rPr>
              <w:t>输液管道东侧727m</w:t>
            </w:r>
            <w:bookmarkEnd w:id="36"/>
            <w:bookmarkEnd w:id="37"/>
          </w:p>
        </w:tc>
        <w:tc>
          <w:tcPr>
            <w:tcW w:w="10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承压水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 w:type="pct"/>
            <w:tcBorders>
              <w:tl2br w:val="nil"/>
              <w:tr2bl w:val="nil"/>
            </w:tcBorders>
            <w:noWrap w:val="0"/>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D8</w:t>
            </w:r>
          </w:p>
        </w:tc>
        <w:tc>
          <w:tcPr>
            <w:tcW w:w="8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道宝村</w:t>
            </w:r>
            <w:r>
              <w:rPr>
                <w:rFonts w:hint="eastAsia" w:eastAsia="宋体" w:cs="Times New Roman"/>
                <w:color w:val="auto"/>
                <w:sz w:val="21"/>
                <w:szCs w:val="21"/>
                <w:highlight w:val="none"/>
                <w:lang w:val="en-US" w:eastAsia="zh-CN"/>
              </w:rPr>
              <w:t>潜水井</w:t>
            </w:r>
          </w:p>
        </w:tc>
        <w:tc>
          <w:tcPr>
            <w:tcW w:w="12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E:124.225772</w:t>
            </w:r>
            <w:r>
              <w:rPr>
                <w:rFonts w:hint="eastAsia"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N:45.799914</w:t>
            </w:r>
          </w:p>
        </w:tc>
        <w:tc>
          <w:tcPr>
            <w:tcW w:w="13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输液管道东侧</w:t>
            </w:r>
            <w:r>
              <w:rPr>
                <w:rFonts w:hint="eastAsia" w:cs="Times New Roman"/>
                <w:color w:val="auto"/>
                <w:sz w:val="21"/>
                <w:szCs w:val="21"/>
                <w:highlight w:val="none"/>
                <w:lang w:val="en-US" w:eastAsia="zh-CN"/>
              </w:rPr>
              <w:t>914</w:t>
            </w:r>
            <w:r>
              <w:rPr>
                <w:rFonts w:hint="eastAsia" w:ascii="Times New Roman" w:hAnsi="Times New Roman" w:eastAsia="宋体" w:cs="Times New Roman"/>
                <w:color w:val="auto"/>
                <w:sz w:val="21"/>
                <w:szCs w:val="21"/>
                <w:highlight w:val="none"/>
                <w:lang w:val="en-US" w:eastAsia="zh-CN"/>
              </w:rPr>
              <w:t>m</w:t>
            </w:r>
          </w:p>
        </w:tc>
        <w:tc>
          <w:tcPr>
            <w:tcW w:w="10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潜水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 w:type="pct"/>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D9</w:t>
            </w:r>
          </w:p>
        </w:tc>
        <w:tc>
          <w:tcPr>
            <w:tcW w:w="80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发展村</w:t>
            </w:r>
            <w:r>
              <w:rPr>
                <w:rFonts w:hint="eastAsia" w:eastAsia="宋体" w:cs="Times New Roman"/>
                <w:color w:val="auto"/>
                <w:sz w:val="21"/>
                <w:szCs w:val="21"/>
                <w:highlight w:val="none"/>
                <w:lang w:val="en-US" w:eastAsia="zh-CN"/>
              </w:rPr>
              <w:t>承压水井</w:t>
            </w:r>
          </w:p>
        </w:tc>
        <w:tc>
          <w:tcPr>
            <w:tcW w:w="1260" w:type="pct"/>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E:124.267783，N:45.742802</w:t>
            </w:r>
          </w:p>
        </w:tc>
        <w:tc>
          <w:tcPr>
            <w:tcW w:w="1332"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输液管道</w:t>
            </w:r>
            <w:r>
              <w:rPr>
                <w:rFonts w:hint="eastAsia" w:cs="Times New Roman"/>
                <w:color w:val="auto"/>
                <w:sz w:val="21"/>
                <w:szCs w:val="21"/>
                <w:highlight w:val="none"/>
                <w:lang w:val="en-US" w:eastAsia="zh-CN"/>
              </w:rPr>
              <w:t>西南</w:t>
            </w:r>
            <w:r>
              <w:rPr>
                <w:rFonts w:hint="eastAsia" w:ascii="Times New Roman" w:hAnsi="Times New Roman" w:eastAsia="宋体" w:cs="Times New Roman"/>
                <w:color w:val="auto"/>
                <w:sz w:val="21"/>
                <w:szCs w:val="21"/>
                <w:highlight w:val="none"/>
                <w:lang w:val="en-US" w:eastAsia="zh-CN"/>
              </w:rPr>
              <w:t>侧38</w:t>
            </w:r>
            <w:r>
              <w:rPr>
                <w:rFonts w:hint="eastAsia" w:cs="Times New Roman"/>
                <w:color w:val="auto"/>
                <w:sz w:val="21"/>
                <w:szCs w:val="21"/>
                <w:highlight w:val="none"/>
                <w:lang w:val="en-US" w:eastAsia="zh-CN"/>
              </w:rPr>
              <w:t>8</w:t>
            </w:r>
            <w:r>
              <w:rPr>
                <w:rFonts w:hint="eastAsia" w:ascii="Times New Roman" w:hAnsi="Times New Roman" w:eastAsia="宋体" w:cs="Times New Roman"/>
                <w:color w:val="auto"/>
                <w:sz w:val="21"/>
                <w:szCs w:val="21"/>
                <w:highlight w:val="none"/>
                <w:lang w:val="en-US" w:eastAsia="zh-CN"/>
              </w:rPr>
              <w:t>m</w:t>
            </w:r>
          </w:p>
        </w:tc>
        <w:tc>
          <w:tcPr>
            <w:tcW w:w="10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承压水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 w:type="pct"/>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D10</w:t>
            </w:r>
          </w:p>
        </w:tc>
        <w:tc>
          <w:tcPr>
            <w:tcW w:w="80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卧龙</w:t>
            </w:r>
            <w:r>
              <w:rPr>
                <w:rFonts w:hint="eastAsia" w:cs="Times New Roman"/>
                <w:color w:val="auto"/>
                <w:sz w:val="21"/>
                <w:szCs w:val="21"/>
                <w:highlight w:val="none"/>
                <w:lang w:val="en-US" w:eastAsia="zh-CN"/>
              </w:rPr>
              <w:t>岱屯</w:t>
            </w:r>
            <w:r>
              <w:rPr>
                <w:rFonts w:hint="eastAsia" w:eastAsia="宋体" w:cs="Times New Roman"/>
                <w:color w:val="auto"/>
                <w:sz w:val="21"/>
                <w:szCs w:val="21"/>
                <w:highlight w:val="none"/>
                <w:lang w:val="en-US" w:eastAsia="zh-CN"/>
              </w:rPr>
              <w:t>潜水井</w:t>
            </w:r>
          </w:p>
        </w:tc>
        <w:tc>
          <w:tcPr>
            <w:tcW w:w="12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E:124.221640，N:45.716142</w:t>
            </w:r>
          </w:p>
        </w:tc>
        <w:tc>
          <w:tcPr>
            <w:tcW w:w="1332" w:type="pct"/>
            <w:tcBorders>
              <w:tl2br w:val="nil"/>
              <w:tr2bl w:val="nil"/>
            </w:tcBorders>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3#服务站站址西南侧4.64km</w:t>
            </w:r>
          </w:p>
        </w:tc>
        <w:tc>
          <w:tcPr>
            <w:tcW w:w="10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潜水</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②监测因子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K</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、Na</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、Ca</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、Mg</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、CO</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、HCO</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、Cl</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、SO</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4</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pH值、氨氮、硝酸盐、亚硝酸盐、挥发性酚类、氟化物、氰化物、砷、汞、六价铬、总硬度、铅、镉、铁、锰、溶解性总固体、高锰酸盐指数、硫酸盐、氯化物、总大肠菌群、细菌总数、石油类，同时监测井深。</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③监测时间及频率</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2023年</w:t>
      </w:r>
      <w:r>
        <w:rPr>
          <w:rFonts w:hint="eastAsia" w:cs="Times New Roman"/>
          <w:caps w:val="0"/>
          <w:smallCaps w:val="0"/>
          <w:snapToGrid/>
          <w:color w:val="auto"/>
          <w:spacing w:val="0"/>
          <w:w w:val="100"/>
          <w:kern w:val="0"/>
          <w:sz w:val="24"/>
          <w:szCs w:val="24"/>
          <w:highlight w:val="none"/>
          <w:lang w:val="en-US" w:eastAsia="zh-CN" w:bidi="ar-SA"/>
        </w:rPr>
        <w:t>10</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月</w:t>
      </w:r>
      <w:r>
        <w:rPr>
          <w:rFonts w:hint="eastAsia" w:cs="Times New Roman"/>
          <w:caps w:val="0"/>
          <w:smallCaps w:val="0"/>
          <w:snapToGrid/>
          <w:color w:val="auto"/>
          <w:spacing w:val="0"/>
          <w:w w:val="100"/>
          <w:kern w:val="0"/>
          <w:sz w:val="24"/>
          <w:szCs w:val="24"/>
          <w:highlight w:val="none"/>
          <w:lang w:val="en-US" w:eastAsia="zh-CN" w:bidi="ar-SA"/>
        </w:rPr>
        <w:t>20</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日，采样1次。</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④监测结果</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监测统计结果见表4.2-</w:t>
      </w:r>
      <w:r>
        <w:rPr>
          <w:rFonts w:hint="eastAsia" w:cs="Times New Roman"/>
          <w:caps w:val="0"/>
          <w:smallCaps w:val="0"/>
          <w:snapToGrid/>
          <w:color w:val="auto"/>
          <w:spacing w:val="0"/>
          <w:w w:val="100"/>
          <w:kern w:val="0"/>
          <w:sz w:val="24"/>
          <w:szCs w:val="24"/>
          <w:highlight w:val="none"/>
          <w:lang w:val="en-US" w:eastAsia="zh-CN" w:bidi="ar-SA"/>
        </w:rPr>
        <w:t>7</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br w:type="page"/>
      </w:r>
    </w:p>
    <w:p>
      <w:pPr>
        <w:pStyle w:val="10"/>
        <w:rPr>
          <w:rFonts w:hint="eastAsia"/>
          <w:color w:val="auto"/>
          <w:highlight w:val="none"/>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jc w:val="center"/>
        <w:rPr>
          <w:rFonts w:hint="eastAsia"/>
          <w:b/>
          <w:bCs/>
          <w:color w:val="auto"/>
          <w:highlight w:val="none"/>
          <w:lang w:val="en-US" w:eastAsia="zh-CN"/>
        </w:rPr>
      </w:pPr>
      <w:r>
        <w:rPr>
          <w:rFonts w:hint="eastAsia"/>
          <w:b/>
          <w:bCs/>
          <w:color w:val="auto"/>
          <w:highlight w:val="none"/>
          <w:lang w:val="en-US" w:eastAsia="zh-CN"/>
        </w:rPr>
        <w:t>表</w:t>
      </w:r>
      <w:r>
        <w:rPr>
          <w:rFonts w:hint="default" w:ascii="Times New Roman" w:hAnsi="Times New Roman" w:eastAsia="宋体" w:cs="Times New Roman"/>
          <w:b/>
          <w:bCs/>
          <w:color w:val="auto"/>
          <w:kern w:val="0"/>
          <w:sz w:val="21"/>
          <w:szCs w:val="21"/>
          <w:highlight w:val="none"/>
          <w:lang w:val="en-US" w:eastAsia="zh-CN" w:bidi="ar"/>
        </w:rPr>
        <w:t>4.</w:t>
      </w:r>
      <w:r>
        <w:rPr>
          <w:rFonts w:hint="eastAsia" w:ascii="Times New Roman" w:hAnsi="Times New Roman" w:eastAsia="宋体" w:cs="Times New Roman"/>
          <w:b/>
          <w:bCs/>
          <w:color w:val="auto"/>
          <w:kern w:val="0"/>
          <w:sz w:val="21"/>
          <w:szCs w:val="21"/>
          <w:highlight w:val="none"/>
          <w:lang w:val="en-US" w:eastAsia="zh-CN" w:bidi="ar"/>
        </w:rPr>
        <w:t>2</w:t>
      </w:r>
      <w:r>
        <w:rPr>
          <w:rFonts w:hint="default" w:ascii="Times New Roman" w:hAnsi="Times New Roman" w:eastAsia="宋体" w:cs="Times New Roman"/>
          <w:b/>
          <w:bCs/>
          <w:color w:val="auto"/>
          <w:kern w:val="0"/>
          <w:sz w:val="21"/>
          <w:szCs w:val="21"/>
          <w:highlight w:val="none"/>
          <w:lang w:val="en-US" w:eastAsia="zh-CN" w:bidi="ar"/>
        </w:rPr>
        <w:t>-</w:t>
      </w:r>
      <w:r>
        <w:rPr>
          <w:rFonts w:hint="eastAsia" w:cs="Times New Roman"/>
          <w:b/>
          <w:bCs/>
          <w:color w:val="auto"/>
          <w:kern w:val="0"/>
          <w:sz w:val="21"/>
          <w:szCs w:val="21"/>
          <w:highlight w:val="none"/>
          <w:lang w:val="en-US" w:eastAsia="zh-CN" w:bidi="ar"/>
        </w:rPr>
        <w:t>7</w:t>
      </w:r>
      <w:r>
        <w:rPr>
          <w:rFonts w:hint="eastAsia"/>
          <w:b/>
          <w:bCs/>
          <w:color w:val="auto"/>
          <w:highlight w:val="none"/>
          <w:lang w:val="en-US" w:eastAsia="zh-CN"/>
        </w:rPr>
        <w:t>地下水水质监测数据</w:t>
      </w:r>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66"/>
        <w:gridCol w:w="1298"/>
        <w:gridCol w:w="783"/>
        <w:gridCol w:w="1051"/>
        <w:gridCol w:w="1051"/>
        <w:gridCol w:w="1051"/>
        <w:gridCol w:w="1051"/>
        <w:gridCol w:w="1051"/>
        <w:gridCol w:w="1051"/>
        <w:gridCol w:w="1051"/>
        <w:gridCol w:w="1051"/>
        <w:gridCol w:w="1051"/>
        <w:gridCol w:w="1059"/>
        <w:gridCol w:w="99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序号</w:t>
            </w:r>
          </w:p>
        </w:tc>
        <w:tc>
          <w:tcPr>
            <w:tcW w:w="45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监测项目</w:t>
            </w:r>
          </w:p>
        </w:tc>
        <w:tc>
          <w:tcPr>
            <w:tcW w:w="276" w:type="pct"/>
            <w:tcBorders>
              <w:tl2br w:val="nil"/>
              <w:tr2bl w:val="nil"/>
            </w:tcBorders>
            <w:vAlign w:val="center"/>
          </w:tcPr>
          <w:p>
            <w:pPr>
              <w:widowControl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单位</w:t>
            </w:r>
          </w:p>
        </w:tc>
        <w:tc>
          <w:tcPr>
            <w:tcW w:w="371"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长青屯承压水井</w:t>
            </w:r>
          </w:p>
        </w:tc>
        <w:tc>
          <w:tcPr>
            <w:tcW w:w="371"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新立屯散户潜水井</w:t>
            </w:r>
          </w:p>
        </w:tc>
        <w:tc>
          <w:tcPr>
            <w:tcW w:w="37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olor w:val="auto"/>
                <w:highlight w:val="none"/>
                <w:lang w:val="en-US" w:eastAsia="zh-CN"/>
              </w:rPr>
              <w:t>大五家子潜水井</w:t>
            </w:r>
          </w:p>
        </w:tc>
        <w:tc>
          <w:tcPr>
            <w:tcW w:w="37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河北</w:t>
            </w:r>
            <w:r>
              <w:rPr>
                <w:rFonts w:hint="eastAsia" w:cs="Times New Roman"/>
                <w:color w:val="auto"/>
                <w:sz w:val="21"/>
                <w:szCs w:val="21"/>
                <w:highlight w:val="none"/>
                <w:lang w:val="en-US" w:eastAsia="zh-CN"/>
              </w:rPr>
              <w:t>村</w:t>
            </w:r>
            <w:r>
              <w:rPr>
                <w:rFonts w:hint="eastAsia" w:ascii="Times New Roman" w:hAnsi="Times New Roman" w:eastAsia="宋体" w:cs="Times New Roman"/>
                <w:color w:val="auto"/>
                <w:sz w:val="21"/>
                <w:szCs w:val="21"/>
                <w:highlight w:val="none"/>
                <w:lang w:val="en-US" w:eastAsia="zh-CN"/>
              </w:rPr>
              <w:t>承压水井</w:t>
            </w:r>
          </w:p>
        </w:tc>
        <w:tc>
          <w:tcPr>
            <w:tcW w:w="371"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西葫芦代潜水井</w:t>
            </w:r>
          </w:p>
        </w:tc>
        <w:tc>
          <w:tcPr>
            <w:tcW w:w="371"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古龙镇承压水井</w:t>
            </w:r>
          </w:p>
        </w:tc>
        <w:tc>
          <w:tcPr>
            <w:tcW w:w="371"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道宝村承压水井</w:t>
            </w:r>
          </w:p>
        </w:tc>
        <w:tc>
          <w:tcPr>
            <w:tcW w:w="371"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道宝村潜水井</w:t>
            </w:r>
          </w:p>
        </w:tc>
        <w:tc>
          <w:tcPr>
            <w:tcW w:w="371"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发展村承压水井</w:t>
            </w:r>
          </w:p>
        </w:tc>
        <w:tc>
          <w:tcPr>
            <w:tcW w:w="373"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卧龙</w:t>
            </w:r>
            <w:r>
              <w:rPr>
                <w:rFonts w:hint="eastAsia" w:cs="Times New Roman"/>
                <w:color w:val="auto"/>
                <w:sz w:val="21"/>
                <w:szCs w:val="21"/>
                <w:highlight w:val="none"/>
                <w:lang w:val="en-US" w:eastAsia="zh-CN"/>
              </w:rPr>
              <w:t>岱屯</w:t>
            </w:r>
            <w:r>
              <w:rPr>
                <w:rFonts w:hint="eastAsia" w:eastAsia="宋体" w:cs="Times New Roman"/>
                <w:color w:val="auto"/>
                <w:sz w:val="21"/>
                <w:szCs w:val="21"/>
                <w:highlight w:val="none"/>
                <w:lang w:val="en-US" w:eastAsia="zh-CN"/>
              </w:rPr>
              <w:t>潜水井</w:t>
            </w:r>
          </w:p>
        </w:tc>
        <w:tc>
          <w:tcPr>
            <w:tcW w:w="352" w:type="pct"/>
            <w:tcBorders>
              <w:tl2br w:val="nil"/>
              <w:tr2bl w:val="nil"/>
            </w:tcBorders>
            <w:vAlign w:val="center"/>
          </w:tcPr>
          <w:p>
            <w:pPr>
              <w:widowControl w:val="0"/>
              <w:snapToGrid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c>
          <w:tcPr>
            <w:tcW w:w="458"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38" w:name="_Toc22010"/>
            <w:bookmarkStart w:id="39" w:name="_Toc30043"/>
            <w:r>
              <w:rPr>
                <w:rFonts w:hint="eastAsia" w:ascii="Times New Roman" w:hAnsi="Times New Roman" w:cs="Times New Roman"/>
                <w:color w:val="auto"/>
                <w:szCs w:val="21"/>
                <w:highlight w:val="none"/>
                <w:lang w:val="en-US" w:eastAsia="zh-CN"/>
              </w:rPr>
              <w:t>k</w:t>
            </w:r>
            <w:r>
              <w:rPr>
                <w:rFonts w:hint="eastAsia" w:ascii="Times New Roman" w:hAnsi="Times New Roman" w:cs="Times New Roman"/>
                <w:color w:val="auto"/>
                <w:szCs w:val="21"/>
                <w:highlight w:val="none"/>
                <w:vertAlign w:val="superscript"/>
                <w:lang w:val="en-US" w:eastAsia="zh-CN"/>
              </w:rPr>
              <w:t>+</w:t>
            </w:r>
            <w:bookmarkEnd w:id="38"/>
            <w:bookmarkEnd w:id="39"/>
          </w:p>
        </w:tc>
        <w:tc>
          <w:tcPr>
            <w:tcW w:w="276"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40" w:name="_Toc566"/>
            <w:bookmarkStart w:id="41" w:name="_Toc24064"/>
            <w:r>
              <w:rPr>
                <w:rFonts w:hint="default" w:ascii="Times New Roman" w:hAnsi="Times New Roman" w:cs="Times New Roman"/>
                <w:color w:val="auto"/>
                <w:szCs w:val="21"/>
                <w:highlight w:val="none"/>
                <w:lang w:val="en-US" w:eastAsia="zh-CN"/>
              </w:rPr>
              <w:t>mg/L</w:t>
            </w:r>
            <w:bookmarkEnd w:id="40"/>
            <w:bookmarkEnd w:id="4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42" w:name="_Toc27444"/>
            <w:bookmarkStart w:id="43" w:name="_Toc364"/>
            <w:r>
              <w:rPr>
                <w:rFonts w:hint="eastAsia" w:ascii="Times New Roman" w:hAnsi="Times New Roman" w:cs="Times New Roman"/>
                <w:color w:val="auto"/>
                <w:szCs w:val="21"/>
                <w:highlight w:val="none"/>
                <w:lang w:val="en-US" w:eastAsia="zh-CN"/>
              </w:rPr>
              <w:t>1.37</w:t>
            </w:r>
            <w:bookmarkEnd w:id="42"/>
            <w:bookmarkEnd w:id="4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44" w:name="_Toc19577"/>
            <w:bookmarkStart w:id="45" w:name="_Toc22240"/>
            <w:r>
              <w:rPr>
                <w:rFonts w:hint="eastAsia" w:ascii="Times New Roman" w:hAnsi="Times New Roman" w:cs="Times New Roman"/>
                <w:color w:val="auto"/>
                <w:szCs w:val="21"/>
                <w:highlight w:val="none"/>
                <w:lang w:val="en-US" w:eastAsia="zh-CN"/>
              </w:rPr>
              <w:t>1.28</w:t>
            </w:r>
            <w:bookmarkEnd w:id="44"/>
            <w:bookmarkEnd w:id="4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46" w:name="_Toc21488"/>
            <w:bookmarkStart w:id="47" w:name="_Toc3752"/>
            <w:r>
              <w:rPr>
                <w:rFonts w:hint="eastAsia" w:ascii="Times New Roman" w:hAnsi="Times New Roman" w:cs="Times New Roman"/>
                <w:color w:val="auto"/>
                <w:szCs w:val="21"/>
                <w:highlight w:val="none"/>
                <w:lang w:val="en-US" w:eastAsia="zh-CN"/>
              </w:rPr>
              <w:t>1.33</w:t>
            </w:r>
            <w:bookmarkEnd w:id="46"/>
            <w:bookmarkEnd w:id="4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48" w:name="_Toc31651"/>
            <w:bookmarkStart w:id="49" w:name="_Toc23084"/>
            <w:r>
              <w:rPr>
                <w:rFonts w:hint="eastAsia" w:ascii="Times New Roman" w:hAnsi="Times New Roman" w:cs="Times New Roman"/>
                <w:color w:val="auto"/>
                <w:szCs w:val="21"/>
                <w:highlight w:val="none"/>
                <w:lang w:val="en-US" w:eastAsia="zh-CN"/>
              </w:rPr>
              <w:t>1.26</w:t>
            </w:r>
            <w:bookmarkEnd w:id="48"/>
            <w:bookmarkEnd w:id="4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50" w:name="_Toc4196"/>
            <w:bookmarkStart w:id="51" w:name="_Toc8818"/>
            <w:r>
              <w:rPr>
                <w:rFonts w:hint="eastAsia" w:ascii="Times New Roman" w:hAnsi="Times New Roman" w:cs="Times New Roman"/>
                <w:color w:val="auto"/>
                <w:szCs w:val="21"/>
                <w:highlight w:val="none"/>
                <w:lang w:val="en-US" w:eastAsia="zh-CN"/>
              </w:rPr>
              <w:t>1.30</w:t>
            </w:r>
            <w:bookmarkEnd w:id="50"/>
            <w:bookmarkEnd w:id="5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52" w:name="_Toc1123"/>
            <w:bookmarkStart w:id="53" w:name="_Toc3008"/>
            <w:r>
              <w:rPr>
                <w:rFonts w:hint="eastAsia" w:ascii="Times New Roman" w:hAnsi="Times New Roman" w:cs="Times New Roman"/>
                <w:color w:val="auto"/>
                <w:szCs w:val="21"/>
                <w:highlight w:val="none"/>
                <w:lang w:val="en-US" w:eastAsia="zh-CN"/>
              </w:rPr>
              <w:t>1.24</w:t>
            </w:r>
            <w:bookmarkEnd w:id="52"/>
            <w:bookmarkEnd w:id="5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54" w:name="_Toc421"/>
            <w:bookmarkStart w:id="55" w:name="_Toc20566"/>
            <w:r>
              <w:rPr>
                <w:rFonts w:hint="eastAsia" w:ascii="Times New Roman" w:hAnsi="Times New Roman" w:cs="Times New Roman"/>
                <w:color w:val="auto"/>
                <w:szCs w:val="21"/>
                <w:highlight w:val="none"/>
                <w:lang w:val="en-US" w:eastAsia="zh-CN"/>
              </w:rPr>
              <w:t>1.32</w:t>
            </w:r>
            <w:bookmarkEnd w:id="54"/>
            <w:bookmarkEnd w:id="5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56" w:name="_Toc26257"/>
            <w:bookmarkStart w:id="57" w:name="_Toc29699"/>
            <w:r>
              <w:rPr>
                <w:rFonts w:hint="eastAsia" w:ascii="Times New Roman" w:hAnsi="Times New Roman" w:cs="Times New Roman"/>
                <w:color w:val="auto"/>
                <w:szCs w:val="21"/>
                <w:highlight w:val="none"/>
                <w:lang w:val="en-US" w:eastAsia="zh-CN"/>
              </w:rPr>
              <w:t>1.44</w:t>
            </w:r>
            <w:bookmarkEnd w:id="56"/>
            <w:bookmarkEnd w:id="5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58" w:name="_Toc10342"/>
            <w:bookmarkStart w:id="59" w:name="_Toc7134"/>
            <w:r>
              <w:rPr>
                <w:rFonts w:hint="eastAsia" w:ascii="Times New Roman" w:hAnsi="Times New Roman" w:cs="Times New Roman"/>
                <w:color w:val="auto"/>
                <w:szCs w:val="21"/>
                <w:highlight w:val="none"/>
                <w:lang w:val="en-US" w:eastAsia="zh-CN"/>
              </w:rPr>
              <w:t>1.26</w:t>
            </w:r>
            <w:bookmarkEnd w:id="58"/>
            <w:bookmarkEnd w:id="59"/>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60" w:name="_Toc15625"/>
            <w:bookmarkStart w:id="61" w:name="_Toc30236"/>
            <w:r>
              <w:rPr>
                <w:rFonts w:hint="eastAsia" w:ascii="Times New Roman" w:hAnsi="Times New Roman" w:cs="Times New Roman"/>
                <w:color w:val="auto"/>
                <w:szCs w:val="21"/>
                <w:highlight w:val="none"/>
                <w:lang w:val="en-US" w:eastAsia="zh-CN"/>
              </w:rPr>
              <w:t>1.22</w:t>
            </w:r>
            <w:bookmarkEnd w:id="60"/>
            <w:bookmarkEnd w:id="61"/>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仿宋" w:cs="仿宋"/>
                <w:snapToGrid w:val="0"/>
                <w:color w:val="auto"/>
                <w:kern w:val="0"/>
                <w:sz w:val="21"/>
                <w:szCs w:val="21"/>
                <w:highlight w:val="none"/>
                <w:lang w:val="en-US" w:eastAsia="zh-CN" w:bidi="ar-SA"/>
              </w:rPr>
            </w:pPr>
            <w:bookmarkStart w:id="62" w:name="_Toc4769"/>
            <w:bookmarkStart w:id="63" w:name="_Toc11499"/>
            <w:r>
              <w:rPr>
                <w:rFonts w:hint="eastAsia" w:ascii="仿宋" w:hAnsi="仿宋" w:eastAsia="仿宋" w:cs="仿宋"/>
                <w:color w:val="auto"/>
                <w:szCs w:val="21"/>
                <w:highlight w:val="none"/>
                <w:lang w:val="en-US" w:eastAsia="zh-CN"/>
              </w:rPr>
              <w:t>/</w:t>
            </w:r>
            <w:bookmarkEnd w:id="62"/>
            <w:bookmarkEnd w:id="63"/>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458"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64" w:name="_Toc24401"/>
            <w:bookmarkStart w:id="65" w:name="_Toc6470"/>
            <w:r>
              <w:rPr>
                <w:rFonts w:hint="eastAsia" w:ascii="Times New Roman" w:hAnsi="Times New Roman" w:cs="Times New Roman"/>
                <w:color w:val="auto"/>
                <w:szCs w:val="21"/>
                <w:highlight w:val="none"/>
                <w:lang w:val="en-US" w:eastAsia="zh-CN"/>
              </w:rPr>
              <w:t>Na</w:t>
            </w:r>
            <w:r>
              <w:rPr>
                <w:rFonts w:hint="eastAsia" w:ascii="Times New Roman" w:hAnsi="Times New Roman" w:cs="Times New Roman"/>
                <w:color w:val="auto"/>
                <w:szCs w:val="21"/>
                <w:highlight w:val="none"/>
                <w:vertAlign w:val="superscript"/>
                <w:lang w:val="en-US" w:eastAsia="zh-CN"/>
              </w:rPr>
              <w:t>+</w:t>
            </w:r>
            <w:bookmarkEnd w:id="64"/>
            <w:bookmarkEnd w:id="65"/>
          </w:p>
        </w:tc>
        <w:tc>
          <w:tcPr>
            <w:tcW w:w="276"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66" w:name="_Toc5868"/>
            <w:bookmarkStart w:id="67" w:name="_Toc24492"/>
            <w:r>
              <w:rPr>
                <w:rFonts w:hint="default" w:ascii="Times New Roman" w:hAnsi="Times New Roman" w:cs="Times New Roman"/>
                <w:color w:val="auto"/>
                <w:szCs w:val="21"/>
                <w:highlight w:val="none"/>
                <w:lang w:val="en-US" w:eastAsia="zh-CN"/>
              </w:rPr>
              <w:t>mg/L</w:t>
            </w:r>
            <w:bookmarkEnd w:id="66"/>
            <w:bookmarkEnd w:id="6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68" w:name="_Toc13995"/>
            <w:bookmarkStart w:id="69" w:name="_Toc32485"/>
            <w:r>
              <w:rPr>
                <w:rFonts w:hint="eastAsia" w:ascii="Times New Roman" w:hAnsi="Times New Roman" w:cs="Times New Roman"/>
                <w:color w:val="auto"/>
                <w:szCs w:val="21"/>
                <w:highlight w:val="none"/>
                <w:lang w:val="en-US" w:eastAsia="zh-CN"/>
              </w:rPr>
              <w:t>28.6</w:t>
            </w:r>
            <w:bookmarkEnd w:id="68"/>
            <w:bookmarkEnd w:id="6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70" w:name="_Toc19342"/>
            <w:bookmarkStart w:id="71" w:name="_Toc25863"/>
            <w:r>
              <w:rPr>
                <w:rFonts w:hint="eastAsia" w:ascii="Times New Roman" w:hAnsi="Times New Roman" w:cs="Times New Roman"/>
                <w:color w:val="auto"/>
                <w:szCs w:val="21"/>
                <w:highlight w:val="none"/>
                <w:lang w:val="en-US" w:eastAsia="zh-CN"/>
              </w:rPr>
              <w:t>37.3</w:t>
            </w:r>
            <w:bookmarkEnd w:id="70"/>
            <w:bookmarkEnd w:id="7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72" w:name="_Toc27159"/>
            <w:bookmarkStart w:id="73" w:name="_Toc1286"/>
            <w:r>
              <w:rPr>
                <w:rFonts w:hint="eastAsia" w:ascii="Times New Roman" w:hAnsi="Times New Roman" w:cs="Times New Roman"/>
                <w:color w:val="auto"/>
                <w:szCs w:val="21"/>
                <w:highlight w:val="none"/>
                <w:lang w:val="en-US" w:eastAsia="zh-CN"/>
              </w:rPr>
              <w:t>41.5</w:t>
            </w:r>
            <w:bookmarkEnd w:id="72"/>
            <w:bookmarkEnd w:id="7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74" w:name="_Toc16300"/>
            <w:bookmarkStart w:id="75" w:name="_Toc20475"/>
            <w:r>
              <w:rPr>
                <w:rFonts w:hint="eastAsia" w:ascii="Times New Roman" w:hAnsi="Times New Roman" w:cs="Times New Roman"/>
                <w:color w:val="auto"/>
                <w:szCs w:val="21"/>
                <w:highlight w:val="none"/>
                <w:lang w:val="en-US" w:eastAsia="zh-CN"/>
              </w:rPr>
              <w:t>39.1</w:t>
            </w:r>
            <w:bookmarkEnd w:id="74"/>
            <w:bookmarkEnd w:id="75"/>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76" w:name="_Toc4367"/>
            <w:bookmarkStart w:id="77" w:name="_Toc21367"/>
            <w:r>
              <w:rPr>
                <w:rFonts w:hint="eastAsia" w:ascii="Times New Roman" w:hAnsi="Times New Roman" w:cs="Times New Roman"/>
                <w:color w:val="auto"/>
                <w:szCs w:val="21"/>
                <w:highlight w:val="none"/>
                <w:lang w:val="en-US" w:eastAsia="zh-CN"/>
              </w:rPr>
              <w:t>48.2</w:t>
            </w:r>
            <w:bookmarkEnd w:id="76"/>
            <w:bookmarkEnd w:id="7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78" w:name="_Toc25910"/>
            <w:bookmarkStart w:id="79" w:name="_Toc27269"/>
            <w:r>
              <w:rPr>
                <w:rFonts w:hint="eastAsia" w:ascii="Times New Roman" w:hAnsi="Times New Roman" w:cs="Times New Roman"/>
                <w:color w:val="auto"/>
                <w:szCs w:val="21"/>
                <w:highlight w:val="none"/>
                <w:lang w:val="en-US" w:eastAsia="zh-CN"/>
              </w:rPr>
              <w:t>36.7</w:t>
            </w:r>
            <w:bookmarkEnd w:id="78"/>
            <w:bookmarkEnd w:id="7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80" w:name="_Toc31993"/>
            <w:bookmarkStart w:id="81" w:name="_Toc5055"/>
            <w:r>
              <w:rPr>
                <w:rFonts w:hint="eastAsia" w:ascii="Times New Roman" w:hAnsi="Times New Roman" w:cs="Times New Roman"/>
                <w:color w:val="auto"/>
                <w:szCs w:val="21"/>
                <w:highlight w:val="none"/>
                <w:lang w:val="en-US" w:eastAsia="zh-CN"/>
              </w:rPr>
              <w:t>38.5</w:t>
            </w:r>
            <w:bookmarkEnd w:id="80"/>
            <w:bookmarkEnd w:id="8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82" w:name="_Toc30710"/>
            <w:bookmarkStart w:id="83" w:name="_Toc15189"/>
            <w:r>
              <w:rPr>
                <w:rFonts w:hint="eastAsia" w:ascii="Times New Roman" w:hAnsi="Times New Roman" w:cs="Times New Roman"/>
                <w:color w:val="auto"/>
                <w:szCs w:val="21"/>
                <w:highlight w:val="none"/>
                <w:lang w:val="en-US" w:eastAsia="zh-CN"/>
              </w:rPr>
              <w:t>37.2</w:t>
            </w:r>
            <w:bookmarkEnd w:id="82"/>
            <w:bookmarkEnd w:id="8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84" w:name="_Toc1122"/>
            <w:bookmarkStart w:id="85" w:name="_Toc20078"/>
            <w:r>
              <w:rPr>
                <w:rFonts w:hint="eastAsia" w:ascii="Times New Roman" w:hAnsi="Times New Roman" w:cs="Times New Roman"/>
                <w:color w:val="auto"/>
                <w:szCs w:val="21"/>
                <w:highlight w:val="none"/>
                <w:lang w:val="en-US" w:eastAsia="zh-CN"/>
              </w:rPr>
              <w:t>42.9</w:t>
            </w:r>
            <w:bookmarkEnd w:id="84"/>
            <w:bookmarkEnd w:id="85"/>
          </w:p>
        </w:tc>
        <w:tc>
          <w:tcPr>
            <w:tcW w:w="1059"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86" w:name="_Toc19781"/>
            <w:bookmarkStart w:id="87" w:name="_Toc27050"/>
            <w:r>
              <w:rPr>
                <w:rFonts w:hint="eastAsia" w:ascii="Times New Roman" w:hAnsi="Times New Roman" w:cs="Times New Roman"/>
                <w:color w:val="auto"/>
                <w:szCs w:val="21"/>
                <w:highlight w:val="none"/>
                <w:lang w:val="en-US" w:eastAsia="zh-CN"/>
              </w:rPr>
              <w:t>48.7</w:t>
            </w:r>
            <w:bookmarkEnd w:id="86"/>
            <w:bookmarkEnd w:id="87"/>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宋体" w:cs="仿宋"/>
                <w:snapToGrid w:val="0"/>
                <w:color w:val="auto"/>
                <w:kern w:val="0"/>
                <w:sz w:val="21"/>
                <w:szCs w:val="21"/>
                <w:highlight w:val="none"/>
                <w:lang w:val="en-US" w:eastAsia="zh-CN" w:bidi="ar-SA"/>
              </w:rPr>
            </w:pPr>
            <w:bookmarkStart w:id="88" w:name="_Toc21018"/>
            <w:bookmarkStart w:id="89" w:name="_Toc26439"/>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2</w:t>
            </w:r>
            <w:r>
              <w:rPr>
                <w:rFonts w:hint="eastAsia" w:ascii="Times New Roman" w:hAnsi="Times New Roman" w:cs="Times New Roman"/>
                <w:color w:val="auto"/>
                <w:szCs w:val="21"/>
                <w:highlight w:val="none"/>
                <w:lang w:val="en-US" w:eastAsia="zh-CN"/>
              </w:rPr>
              <w:t>00</w:t>
            </w:r>
            <w:bookmarkEnd w:id="88"/>
            <w:bookmarkEnd w:id="89"/>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458"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90" w:name="_Toc22748"/>
            <w:bookmarkStart w:id="91" w:name="_Toc26656"/>
            <w:r>
              <w:rPr>
                <w:rFonts w:hint="default" w:ascii="Times New Roman" w:hAnsi="Times New Roman" w:cs="Times New Roman"/>
                <w:color w:val="auto"/>
                <w:szCs w:val="21"/>
                <w:highlight w:val="none"/>
                <w:lang w:val="en-US" w:eastAsia="zh-CN"/>
              </w:rPr>
              <w:t>Ca</w:t>
            </w:r>
            <w:r>
              <w:rPr>
                <w:rFonts w:hint="default" w:ascii="Times New Roman" w:hAnsi="Times New Roman" w:cs="Times New Roman"/>
                <w:color w:val="auto"/>
                <w:szCs w:val="21"/>
                <w:highlight w:val="none"/>
                <w:vertAlign w:val="superscript"/>
                <w:lang w:val="en-US" w:eastAsia="zh-CN"/>
              </w:rPr>
              <w:t>2+</w:t>
            </w:r>
            <w:bookmarkEnd w:id="90"/>
            <w:bookmarkEnd w:id="91"/>
          </w:p>
        </w:tc>
        <w:tc>
          <w:tcPr>
            <w:tcW w:w="276"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92" w:name="_Toc12153"/>
            <w:bookmarkStart w:id="93" w:name="_Toc31677"/>
            <w:r>
              <w:rPr>
                <w:rFonts w:hint="default" w:ascii="Times New Roman" w:hAnsi="Times New Roman" w:cs="Times New Roman"/>
                <w:color w:val="auto"/>
                <w:szCs w:val="21"/>
                <w:highlight w:val="none"/>
                <w:lang w:val="en-US" w:eastAsia="zh-CN"/>
              </w:rPr>
              <w:t>mg/L</w:t>
            </w:r>
            <w:bookmarkEnd w:id="92"/>
            <w:bookmarkEnd w:id="9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94" w:name="_Toc5856"/>
            <w:bookmarkStart w:id="95" w:name="_Toc18667"/>
            <w:r>
              <w:rPr>
                <w:rFonts w:hint="eastAsia" w:ascii="Times New Roman" w:hAnsi="Times New Roman" w:cs="Times New Roman"/>
                <w:color w:val="auto"/>
                <w:szCs w:val="21"/>
                <w:highlight w:val="none"/>
                <w:lang w:val="en-US" w:eastAsia="zh-CN"/>
              </w:rPr>
              <w:t>30.6</w:t>
            </w:r>
            <w:bookmarkEnd w:id="94"/>
            <w:bookmarkEnd w:id="9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96" w:name="_Toc23370"/>
            <w:bookmarkStart w:id="97" w:name="_Toc10717"/>
            <w:r>
              <w:rPr>
                <w:rFonts w:hint="eastAsia" w:ascii="Times New Roman" w:hAnsi="Times New Roman" w:cs="Times New Roman"/>
                <w:color w:val="auto"/>
                <w:szCs w:val="21"/>
                <w:highlight w:val="none"/>
                <w:lang w:val="en-US" w:eastAsia="zh-CN"/>
              </w:rPr>
              <w:t>32.5</w:t>
            </w:r>
            <w:bookmarkEnd w:id="96"/>
            <w:bookmarkEnd w:id="9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98" w:name="_Toc17755"/>
            <w:bookmarkStart w:id="99" w:name="_Toc12229"/>
            <w:r>
              <w:rPr>
                <w:rFonts w:hint="eastAsia" w:ascii="Times New Roman" w:hAnsi="Times New Roman" w:cs="Times New Roman"/>
                <w:color w:val="auto"/>
                <w:szCs w:val="21"/>
                <w:highlight w:val="none"/>
                <w:lang w:val="en-US" w:eastAsia="zh-CN"/>
              </w:rPr>
              <w:t>30.1</w:t>
            </w:r>
            <w:bookmarkEnd w:id="98"/>
            <w:bookmarkEnd w:id="9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00" w:name="_Toc23871"/>
            <w:bookmarkStart w:id="101" w:name="_Toc11178"/>
            <w:r>
              <w:rPr>
                <w:rFonts w:hint="eastAsia" w:ascii="Times New Roman" w:hAnsi="Times New Roman" w:cs="Times New Roman"/>
                <w:color w:val="auto"/>
                <w:szCs w:val="21"/>
                <w:highlight w:val="none"/>
                <w:lang w:val="en-US" w:eastAsia="zh-CN"/>
              </w:rPr>
              <w:t>31.1</w:t>
            </w:r>
            <w:bookmarkEnd w:id="100"/>
            <w:bookmarkEnd w:id="10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02" w:name="_Toc10991"/>
            <w:bookmarkStart w:id="103" w:name="_Toc27627"/>
            <w:r>
              <w:rPr>
                <w:rFonts w:hint="eastAsia" w:ascii="Times New Roman" w:hAnsi="Times New Roman" w:cs="Times New Roman"/>
                <w:color w:val="auto"/>
                <w:szCs w:val="21"/>
                <w:highlight w:val="none"/>
                <w:lang w:val="en-US" w:eastAsia="zh-CN"/>
              </w:rPr>
              <w:t>29.9</w:t>
            </w:r>
            <w:bookmarkEnd w:id="102"/>
            <w:bookmarkEnd w:id="10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04" w:name="_Toc28555"/>
            <w:bookmarkStart w:id="105" w:name="_Toc17530"/>
            <w:r>
              <w:rPr>
                <w:rFonts w:hint="eastAsia" w:ascii="Times New Roman" w:hAnsi="Times New Roman" w:cs="Times New Roman"/>
                <w:color w:val="auto"/>
                <w:szCs w:val="21"/>
                <w:highlight w:val="none"/>
                <w:lang w:val="en-US" w:eastAsia="zh-CN"/>
              </w:rPr>
              <w:t>31.7</w:t>
            </w:r>
            <w:bookmarkEnd w:id="104"/>
            <w:bookmarkEnd w:id="10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06" w:name="_Toc32176"/>
            <w:bookmarkStart w:id="107" w:name="_Toc8506"/>
            <w:r>
              <w:rPr>
                <w:rFonts w:hint="eastAsia" w:ascii="Times New Roman" w:hAnsi="Times New Roman" w:cs="Times New Roman"/>
                <w:color w:val="auto"/>
                <w:szCs w:val="21"/>
                <w:highlight w:val="none"/>
                <w:lang w:val="en-US" w:eastAsia="zh-CN"/>
              </w:rPr>
              <w:t>30.4</w:t>
            </w:r>
            <w:bookmarkEnd w:id="106"/>
            <w:bookmarkEnd w:id="10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08" w:name="_Toc15176"/>
            <w:bookmarkStart w:id="109" w:name="_Toc5539"/>
            <w:r>
              <w:rPr>
                <w:rFonts w:hint="eastAsia" w:ascii="Times New Roman" w:hAnsi="Times New Roman" w:cs="Times New Roman"/>
                <w:color w:val="auto"/>
                <w:szCs w:val="21"/>
                <w:highlight w:val="none"/>
                <w:lang w:val="en-US" w:eastAsia="zh-CN"/>
              </w:rPr>
              <w:t>31.8</w:t>
            </w:r>
            <w:bookmarkEnd w:id="108"/>
            <w:bookmarkEnd w:id="10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10" w:name="_Toc7763"/>
            <w:bookmarkStart w:id="111" w:name="_Toc5855"/>
            <w:r>
              <w:rPr>
                <w:rFonts w:hint="eastAsia" w:ascii="Times New Roman" w:hAnsi="Times New Roman" w:cs="Times New Roman"/>
                <w:color w:val="auto"/>
                <w:szCs w:val="21"/>
                <w:highlight w:val="none"/>
                <w:lang w:val="en-US" w:eastAsia="zh-CN"/>
              </w:rPr>
              <w:t>31.2</w:t>
            </w:r>
            <w:bookmarkEnd w:id="110"/>
            <w:bookmarkEnd w:id="111"/>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12" w:name="_Toc5825"/>
            <w:bookmarkStart w:id="113" w:name="_Toc2967"/>
            <w:r>
              <w:rPr>
                <w:rFonts w:hint="eastAsia" w:ascii="Times New Roman" w:hAnsi="Times New Roman" w:cs="Times New Roman"/>
                <w:color w:val="auto"/>
                <w:szCs w:val="21"/>
                <w:highlight w:val="none"/>
                <w:lang w:val="en-US" w:eastAsia="zh-CN"/>
              </w:rPr>
              <w:t>32.3</w:t>
            </w:r>
            <w:bookmarkEnd w:id="112"/>
            <w:bookmarkEnd w:id="113"/>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仿宋" w:cs="仿宋"/>
                <w:snapToGrid w:val="0"/>
                <w:color w:val="auto"/>
                <w:kern w:val="0"/>
                <w:sz w:val="21"/>
                <w:szCs w:val="21"/>
                <w:highlight w:val="none"/>
                <w:lang w:val="en-US" w:eastAsia="zh-CN" w:bidi="ar-SA"/>
              </w:rPr>
            </w:pPr>
            <w:bookmarkStart w:id="114" w:name="_Toc28506"/>
            <w:bookmarkStart w:id="115" w:name="_Toc768"/>
            <w:r>
              <w:rPr>
                <w:rFonts w:hint="eastAsia" w:ascii="仿宋" w:hAnsi="仿宋" w:eastAsia="仿宋" w:cs="仿宋"/>
                <w:color w:val="auto"/>
                <w:szCs w:val="21"/>
                <w:highlight w:val="none"/>
                <w:lang w:val="en-US" w:eastAsia="zh-CN"/>
              </w:rPr>
              <w:t>/</w:t>
            </w:r>
            <w:bookmarkEnd w:id="114"/>
            <w:bookmarkEnd w:id="115"/>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w:t>
            </w:r>
          </w:p>
        </w:tc>
        <w:tc>
          <w:tcPr>
            <w:tcW w:w="458"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16" w:name="_Toc8086"/>
            <w:bookmarkStart w:id="117" w:name="_Toc27719"/>
            <w:r>
              <w:rPr>
                <w:rFonts w:hint="eastAsia" w:ascii="Times New Roman" w:hAnsi="Times New Roman" w:cs="Times New Roman"/>
                <w:color w:val="auto"/>
                <w:szCs w:val="21"/>
                <w:highlight w:val="none"/>
                <w:lang w:val="en-US" w:eastAsia="zh-CN"/>
              </w:rPr>
              <w:t>Mg</w:t>
            </w:r>
            <w:r>
              <w:rPr>
                <w:rFonts w:hint="eastAsia" w:ascii="Times New Roman" w:hAnsi="Times New Roman" w:cs="Times New Roman"/>
                <w:color w:val="auto"/>
                <w:szCs w:val="21"/>
                <w:highlight w:val="none"/>
                <w:vertAlign w:val="superscript"/>
                <w:lang w:val="en-US" w:eastAsia="zh-CN"/>
              </w:rPr>
              <w:t>2+</w:t>
            </w:r>
            <w:bookmarkEnd w:id="116"/>
            <w:bookmarkEnd w:id="117"/>
          </w:p>
        </w:tc>
        <w:tc>
          <w:tcPr>
            <w:tcW w:w="276"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18" w:name="_Toc16405"/>
            <w:bookmarkStart w:id="119" w:name="_Toc29445"/>
            <w:r>
              <w:rPr>
                <w:rFonts w:hint="default" w:ascii="Times New Roman" w:hAnsi="Times New Roman" w:cs="Times New Roman"/>
                <w:color w:val="auto"/>
                <w:szCs w:val="21"/>
                <w:highlight w:val="none"/>
                <w:lang w:val="en-US" w:eastAsia="zh-CN"/>
              </w:rPr>
              <w:t>mg/L</w:t>
            </w:r>
            <w:bookmarkEnd w:id="118"/>
            <w:bookmarkEnd w:id="11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20" w:name="_Toc28969"/>
            <w:bookmarkStart w:id="121" w:name="_Toc16327"/>
            <w:r>
              <w:rPr>
                <w:rFonts w:hint="eastAsia" w:ascii="Times New Roman" w:hAnsi="Times New Roman" w:cs="Times New Roman"/>
                <w:color w:val="auto"/>
                <w:szCs w:val="21"/>
                <w:highlight w:val="none"/>
                <w:lang w:val="en-US" w:eastAsia="zh-CN"/>
              </w:rPr>
              <w:t>19.6</w:t>
            </w:r>
            <w:bookmarkEnd w:id="120"/>
            <w:bookmarkEnd w:id="12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22" w:name="_Toc4435"/>
            <w:bookmarkStart w:id="123" w:name="_Toc24275"/>
            <w:r>
              <w:rPr>
                <w:rFonts w:hint="eastAsia" w:ascii="Times New Roman" w:hAnsi="Times New Roman" w:cs="Times New Roman"/>
                <w:color w:val="auto"/>
                <w:szCs w:val="21"/>
                <w:highlight w:val="none"/>
                <w:lang w:val="en-US" w:eastAsia="zh-CN"/>
              </w:rPr>
              <w:t>19.1</w:t>
            </w:r>
            <w:bookmarkEnd w:id="122"/>
            <w:bookmarkEnd w:id="12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24" w:name="_Toc16387"/>
            <w:bookmarkStart w:id="125" w:name="_Toc3641"/>
            <w:r>
              <w:rPr>
                <w:rFonts w:hint="eastAsia" w:ascii="Times New Roman" w:hAnsi="Times New Roman" w:cs="Times New Roman"/>
                <w:color w:val="auto"/>
                <w:szCs w:val="21"/>
                <w:highlight w:val="none"/>
                <w:lang w:val="en-US" w:eastAsia="zh-CN"/>
              </w:rPr>
              <w:t>20.2</w:t>
            </w:r>
            <w:bookmarkEnd w:id="124"/>
            <w:bookmarkEnd w:id="12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26" w:name="_Toc13975"/>
            <w:bookmarkStart w:id="127" w:name="_Toc22680"/>
            <w:r>
              <w:rPr>
                <w:rFonts w:hint="eastAsia" w:ascii="Times New Roman" w:hAnsi="Times New Roman" w:cs="Times New Roman"/>
                <w:color w:val="auto"/>
                <w:szCs w:val="21"/>
                <w:highlight w:val="none"/>
                <w:lang w:val="en-US" w:eastAsia="zh-CN"/>
              </w:rPr>
              <w:t>19.6</w:t>
            </w:r>
            <w:bookmarkEnd w:id="126"/>
            <w:bookmarkEnd w:id="12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28" w:name="_Toc31326"/>
            <w:bookmarkStart w:id="129" w:name="_Toc13619"/>
            <w:r>
              <w:rPr>
                <w:rFonts w:hint="eastAsia" w:ascii="Times New Roman" w:hAnsi="Times New Roman" w:cs="Times New Roman"/>
                <w:color w:val="auto"/>
                <w:szCs w:val="21"/>
                <w:highlight w:val="none"/>
                <w:lang w:val="en-US" w:eastAsia="zh-CN"/>
              </w:rPr>
              <w:t>20.5</w:t>
            </w:r>
            <w:bookmarkEnd w:id="128"/>
            <w:bookmarkEnd w:id="12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30" w:name="_Toc12140"/>
            <w:bookmarkStart w:id="131" w:name="_Toc5811"/>
            <w:r>
              <w:rPr>
                <w:rFonts w:hint="eastAsia" w:ascii="Times New Roman" w:hAnsi="Times New Roman" w:cs="Times New Roman"/>
                <w:color w:val="auto"/>
                <w:szCs w:val="21"/>
                <w:highlight w:val="none"/>
                <w:lang w:val="en-US" w:eastAsia="zh-CN"/>
              </w:rPr>
              <w:t>22.1</w:t>
            </w:r>
            <w:bookmarkEnd w:id="130"/>
            <w:bookmarkEnd w:id="13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32" w:name="_Toc12325"/>
            <w:bookmarkStart w:id="133" w:name="_Toc1810"/>
            <w:r>
              <w:rPr>
                <w:rFonts w:hint="eastAsia" w:ascii="Times New Roman" w:hAnsi="Times New Roman" w:cs="Times New Roman"/>
                <w:color w:val="auto"/>
                <w:szCs w:val="21"/>
                <w:highlight w:val="none"/>
                <w:lang w:val="en-US" w:eastAsia="zh-CN"/>
              </w:rPr>
              <w:t>21.2</w:t>
            </w:r>
            <w:bookmarkEnd w:id="132"/>
            <w:bookmarkEnd w:id="13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34" w:name="_Toc26670"/>
            <w:bookmarkStart w:id="135" w:name="_Toc2530"/>
            <w:r>
              <w:rPr>
                <w:rFonts w:hint="eastAsia" w:ascii="Times New Roman" w:hAnsi="Times New Roman" w:cs="Times New Roman"/>
                <w:color w:val="auto"/>
                <w:szCs w:val="21"/>
                <w:highlight w:val="none"/>
                <w:lang w:val="en-US" w:eastAsia="zh-CN"/>
              </w:rPr>
              <w:t>20.7</w:t>
            </w:r>
            <w:bookmarkEnd w:id="134"/>
            <w:bookmarkEnd w:id="13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36" w:name="_Toc997"/>
            <w:bookmarkStart w:id="137" w:name="_Toc3611"/>
            <w:r>
              <w:rPr>
                <w:rFonts w:hint="eastAsia" w:ascii="Times New Roman" w:hAnsi="Times New Roman" w:cs="Times New Roman"/>
                <w:color w:val="auto"/>
                <w:szCs w:val="21"/>
                <w:highlight w:val="none"/>
                <w:lang w:val="en-US" w:eastAsia="zh-CN"/>
              </w:rPr>
              <w:t>21.6</w:t>
            </w:r>
            <w:bookmarkEnd w:id="136"/>
            <w:bookmarkEnd w:id="137"/>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38" w:name="_Toc7585"/>
            <w:bookmarkStart w:id="139" w:name="_Toc12923"/>
            <w:r>
              <w:rPr>
                <w:rFonts w:hint="eastAsia" w:ascii="Times New Roman" w:hAnsi="Times New Roman" w:cs="Times New Roman"/>
                <w:color w:val="auto"/>
                <w:szCs w:val="21"/>
                <w:highlight w:val="none"/>
                <w:lang w:val="en-US" w:eastAsia="zh-CN"/>
              </w:rPr>
              <w:t>20.0</w:t>
            </w:r>
            <w:bookmarkEnd w:id="138"/>
            <w:bookmarkEnd w:id="139"/>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仿宋" w:cs="仿宋"/>
                <w:snapToGrid w:val="0"/>
                <w:color w:val="auto"/>
                <w:kern w:val="0"/>
                <w:sz w:val="21"/>
                <w:szCs w:val="21"/>
                <w:highlight w:val="none"/>
                <w:lang w:val="en-US" w:eastAsia="zh-CN" w:bidi="ar-SA"/>
              </w:rPr>
            </w:pPr>
            <w:bookmarkStart w:id="140" w:name="_Toc5105"/>
            <w:bookmarkStart w:id="141" w:name="_Toc31223"/>
            <w:r>
              <w:rPr>
                <w:rFonts w:hint="eastAsia" w:ascii="仿宋" w:hAnsi="仿宋" w:eastAsia="仿宋" w:cs="仿宋"/>
                <w:color w:val="auto"/>
                <w:szCs w:val="21"/>
                <w:highlight w:val="none"/>
                <w:lang w:val="en-US" w:eastAsia="zh-CN"/>
              </w:rPr>
              <w:t>/</w:t>
            </w:r>
            <w:bookmarkEnd w:id="140"/>
            <w:bookmarkEnd w:id="141"/>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142" w:name="_Toc24697"/>
            <w:bookmarkStart w:id="143" w:name="_Toc5644"/>
            <w:r>
              <w:rPr>
                <w:rFonts w:hint="default" w:ascii="Times New Roman" w:hAnsi="Times New Roman" w:eastAsia="宋体" w:cs="Times New Roman"/>
                <w:bCs/>
                <w:color w:val="auto"/>
                <w:kern w:val="2"/>
                <w:sz w:val="21"/>
                <w:szCs w:val="21"/>
                <w:highlight w:val="none"/>
                <w:lang w:val="en-US" w:eastAsia="zh-CN" w:bidi="ar-SA"/>
              </w:rPr>
              <w:t>CO</w:t>
            </w:r>
            <w:r>
              <w:rPr>
                <w:rFonts w:hint="default" w:ascii="Times New Roman" w:hAnsi="Times New Roman" w:eastAsia="宋体" w:cs="Times New Roman"/>
                <w:bCs/>
                <w:color w:val="auto"/>
                <w:kern w:val="2"/>
                <w:sz w:val="21"/>
                <w:szCs w:val="21"/>
                <w:highlight w:val="none"/>
                <w:vertAlign w:val="subscript"/>
                <w:lang w:val="en-US" w:eastAsia="zh-CN" w:bidi="ar-SA"/>
              </w:rPr>
              <w:t>3</w:t>
            </w:r>
            <w:r>
              <w:rPr>
                <w:rFonts w:hint="default" w:ascii="Times New Roman" w:hAnsi="Times New Roman" w:eastAsia="宋体" w:cs="Times New Roman"/>
                <w:bCs/>
                <w:color w:val="auto"/>
                <w:kern w:val="2"/>
                <w:sz w:val="21"/>
                <w:szCs w:val="21"/>
                <w:highlight w:val="none"/>
                <w:vertAlign w:val="superscript"/>
                <w:lang w:val="en-US" w:eastAsia="zh-CN" w:bidi="ar-SA"/>
              </w:rPr>
              <w:t>2-</w:t>
            </w:r>
            <w:bookmarkEnd w:id="142"/>
            <w:bookmarkEnd w:id="143"/>
          </w:p>
        </w:tc>
        <w:tc>
          <w:tcPr>
            <w:tcW w:w="276" w:type="pct"/>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0"/>
                <w:szCs w:val="21"/>
                <w:highlight w:val="none"/>
                <w:vertAlign w:val="baseline"/>
                <w:lang w:val="en-US" w:eastAsia="zh-CN"/>
              </w:rPr>
              <w:t>mg/L</w:t>
            </w:r>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44" w:name="_Toc4607"/>
            <w:bookmarkStart w:id="145" w:name="_Toc9606"/>
            <w:r>
              <w:rPr>
                <w:rFonts w:hint="eastAsia" w:ascii="Times New Roman" w:hAnsi="Times New Roman" w:eastAsia="宋体" w:cs="Times New Roman"/>
                <w:color w:val="auto"/>
                <w:szCs w:val="21"/>
                <w:highlight w:val="none"/>
                <w:lang w:val="en-US" w:eastAsia="zh-CN"/>
              </w:rPr>
              <w:t>未检出</w:t>
            </w:r>
            <w:bookmarkEnd w:id="144"/>
            <w:bookmarkEnd w:id="14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46" w:name="_Toc14965"/>
            <w:bookmarkStart w:id="147" w:name="_Toc9961"/>
            <w:r>
              <w:rPr>
                <w:rFonts w:hint="eastAsia" w:ascii="Times New Roman" w:hAnsi="Times New Roman" w:eastAsia="宋体" w:cs="Times New Roman"/>
                <w:color w:val="auto"/>
                <w:szCs w:val="21"/>
                <w:highlight w:val="none"/>
                <w:lang w:val="en-US" w:eastAsia="zh-CN"/>
              </w:rPr>
              <w:t>未检出</w:t>
            </w:r>
            <w:bookmarkEnd w:id="146"/>
            <w:bookmarkEnd w:id="14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48" w:name="_Toc1387"/>
            <w:bookmarkStart w:id="149" w:name="_Toc32702"/>
            <w:r>
              <w:rPr>
                <w:rFonts w:hint="eastAsia" w:ascii="Times New Roman" w:hAnsi="Times New Roman" w:eastAsia="宋体" w:cs="Times New Roman"/>
                <w:color w:val="auto"/>
                <w:szCs w:val="21"/>
                <w:highlight w:val="none"/>
                <w:lang w:val="en-US" w:eastAsia="zh-CN"/>
              </w:rPr>
              <w:t>未检出</w:t>
            </w:r>
            <w:bookmarkEnd w:id="148"/>
            <w:bookmarkEnd w:id="14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50" w:name="_Toc9523"/>
            <w:bookmarkStart w:id="151" w:name="_Toc29224"/>
            <w:r>
              <w:rPr>
                <w:rFonts w:hint="eastAsia" w:ascii="Times New Roman" w:hAnsi="Times New Roman" w:eastAsia="宋体" w:cs="Times New Roman"/>
                <w:color w:val="auto"/>
                <w:szCs w:val="21"/>
                <w:highlight w:val="none"/>
                <w:lang w:val="en-US" w:eastAsia="zh-CN"/>
              </w:rPr>
              <w:t>未检出</w:t>
            </w:r>
            <w:bookmarkEnd w:id="150"/>
            <w:bookmarkEnd w:id="15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52" w:name="_Toc2103"/>
            <w:bookmarkStart w:id="153" w:name="_Toc6865"/>
            <w:r>
              <w:rPr>
                <w:rFonts w:hint="eastAsia" w:ascii="Times New Roman" w:hAnsi="Times New Roman" w:eastAsia="宋体" w:cs="Times New Roman"/>
                <w:color w:val="auto"/>
                <w:szCs w:val="21"/>
                <w:highlight w:val="none"/>
                <w:lang w:val="en-US" w:eastAsia="zh-CN"/>
              </w:rPr>
              <w:t>未检出</w:t>
            </w:r>
            <w:bookmarkEnd w:id="152"/>
            <w:bookmarkEnd w:id="15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54" w:name="_Toc28788"/>
            <w:bookmarkStart w:id="155" w:name="_Toc30280"/>
            <w:r>
              <w:rPr>
                <w:rFonts w:hint="eastAsia" w:ascii="Times New Roman" w:hAnsi="Times New Roman" w:eastAsia="宋体" w:cs="Times New Roman"/>
                <w:color w:val="auto"/>
                <w:szCs w:val="21"/>
                <w:highlight w:val="none"/>
                <w:lang w:val="en-US" w:eastAsia="zh-CN"/>
              </w:rPr>
              <w:t>未检出</w:t>
            </w:r>
            <w:bookmarkEnd w:id="154"/>
            <w:bookmarkEnd w:id="15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56" w:name="_Toc15711"/>
            <w:bookmarkStart w:id="157" w:name="_Toc2609"/>
            <w:r>
              <w:rPr>
                <w:rFonts w:hint="eastAsia" w:ascii="Times New Roman" w:hAnsi="Times New Roman" w:eastAsia="宋体" w:cs="Times New Roman"/>
                <w:color w:val="auto"/>
                <w:szCs w:val="21"/>
                <w:highlight w:val="none"/>
                <w:lang w:val="en-US" w:eastAsia="zh-CN"/>
              </w:rPr>
              <w:t>未检出</w:t>
            </w:r>
            <w:bookmarkEnd w:id="156"/>
            <w:bookmarkEnd w:id="15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58" w:name="_Toc28754"/>
            <w:bookmarkStart w:id="159" w:name="_Toc4233"/>
            <w:r>
              <w:rPr>
                <w:rFonts w:hint="eastAsia" w:ascii="Times New Roman" w:hAnsi="Times New Roman" w:eastAsia="宋体" w:cs="Times New Roman"/>
                <w:color w:val="auto"/>
                <w:szCs w:val="21"/>
                <w:highlight w:val="none"/>
                <w:lang w:val="en-US" w:eastAsia="zh-CN"/>
              </w:rPr>
              <w:t>未检出</w:t>
            </w:r>
            <w:bookmarkEnd w:id="158"/>
            <w:bookmarkEnd w:id="15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60" w:name="_Toc25094"/>
            <w:bookmarkStart w:id="161" w:name="_Toc16577"/>
            <w:r>
              <w:rPr>
                <w:rFonts w:hint="eastAsia" w:ascii="Times New Roman" w:hAnsi="Times New Roman" w:eastAsia="宋体" w:cs="Times New Roman"/>
                <w:color w:val="auto"/>
                <w:szCs w:val="21"/>
                <w:highlight w:val="none"/>
                <w:lang w:val="en-US" w:eastAsia="zh-CN"/>
              </w:rPr>
              <w:t>未检出</w:t>
            </w:r>
            <w:bookmarkEnd w:id="160"/>
            <w:bookmarkEnd w:id="161"/>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62" w:name="_Toc25198"/>
            <w:bookmarkStart w:id="163" w:name="_Toc19914"/>
            <w:r>
              <w:rPr>
                <w:rFonts w:hint="eastAsia" w:ascii="Times New Roman" w:hAnsi="Times New Roman" w:eastAsia="宋体" w:cs="Times New Roman"/>
                <w:color w:val="auto"/>
                <w:szCs w:val="21"/>
                <w:highlight w:val="none"/>
                <w:lang w:val="en-US" w:eastAsia="zh-CN"/>
              </w:rPr>
              <w:t>未检出</w:t>
            </w:r>
            <w:bookmarkEnd w:id="162"/>
            <w:bookmarkEnd w:id="163"/>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仿宋" w:cs="仿宋"/>
                <w:snapToGrid w:val="0"/>
                <w:color w:val="auto"/>
                <w:kern w:val="0"/>
                <w:sz w:val="21"/>
                <w:szCs w:val="21"/>
                <w:highlight w:val="none"/>
                <w:lang w:val="en-US" w:eastAsia="zh-CN" w:bidi="ar-SA"/>
              </w:rPr>
            </w:pPr>
            <w:bookmarkStart w:id="164" w:name="_Toc23372"/>
            <w:bookmarkStart w:id="165" w:name="_Toc15647"/>
            <w:r>
              <w:rPr>
                <w:rFonts w:hint="eastAsia" w:ascii="仿宋" w:hAnsi="仿宋" w:eastAsia="仿宋" w:cs="仿宋"/>
                <w:color w:val="auto"/>
                <w:szCs w:val="21"/>
                <w:highlight w:val="none"/>
                <w:lang w:val="en-US" w:eastAsia="zh-CN"/>
              </w:rPr>
              <w:t>/</w:t>
            </w:r>
            <w:bookmarkEnd w:id="164"/>
            <w:bookmarkEnd w:id="165"/>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166" w:name="_Toc14210"/>
            <w:bookmarkStart w:id="167" w:name="_Toc14436"/>
            <w:r>
              <w:rPr>
                <w:rFonts w:hint="default" w:ascii="Times New Roman" w:hAnsi="Times New Roman" w:eastAsia="宋体" w:cs="Times New Roman"/>
                <w:bCs/>
                <w:color w:val="auto"/>
                <w:kern w:val="2"/>
                <w:sz w:val="21"/>
                <w:szCs w:val="21"/>
                <w:highlight w:val="none"/>
                <w:lang w:val="en-US" w:eastAsia="zh-CN" w:bidi="ar-SA"/>
              </w:rPr>
              <w:t>HCO</w:t>
            </w:r>
            <w:r>
              <w:rPr>
                <w:rFonts w:hint="default" w:ascii="Times New Roman" w:hAnsi="Times New Roman" w:eastAsia="宋体" w:cs="Times New Roman"/>
                <w:bCs/>
                <w:color w:val="auto"/>
                <w:kern w:val="2"/>
                <w:sz w:val="21"/>
                <w:szCs w:val="21"/>
                <w:highlight w:val="none"/>
                <w:vertAlign w:val="subscript"/>
                <w:lang w:val="en-US" w:eastAsia="zh-CN" w:bidi="ar-SA"/>
              </w:rPr>
              <w:t>3</w:t>
            </w:r>
            <w:r>
              <w:rPr>
                <w:rFonts w:hint="default" w:ascii="Times New Roman" w:hAnsi="Times New Roman" w:eastAsia="宋体" w:cs="Times New Roman"/>
                <w:bCs/>
                <w:color w:val="auto"/>
                <w:kern w:val="2"/>
                <w:sz w:val="21"/>
                <w:szCs w:val="21"/>
                <w:highlight w:val="none"/>
                <w:vertAlign w:val="superscript"/>
                <w:lang w:val="en-US" w:eastAsia="zh-CN" w:bidi="ar-SA"/>
              </w:rPr>
              <w:t>-</w:t>
            </w:r>
            <w:bookmarkEnd w:id="166"/>
            <w:bookmarkEnd w:id="167"/>
          </w:p>
        </w:tc>
        <w:tc>
          <w:tcPr>
            <w:tcW w:w="276"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68" w:name="_Toc3107"/>
            <w:bookmarkStart w:id="169" w:name="_Toc26677"/>
            <w:r>
              <w:rPr>
                <w:rFonts w:hint="default" w:ascii="Times New Roman" w:hAnsi="Times New Roman" w:cs="Times New Roman"/>
                <w:color w:val="auto"/>
                <w:szCs w:val="21"/>
                <w:highlight w:val="none"/>
                <w:lang w:val="en-US" w:eastAsia="zh-CN"/>
              </w:rPr>
              <w:t>mg/L</w:t>
            </w:r>
            <w:bookmarkEnd w:id="168"/>
            <w:bookmarkEnd w:id="16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70" w:name="_Toc11285"/>
            <w:bookmarkStart w:id="171" w:name="_Toc26850"/>
            <w:r>
              <w:rPr>
                <w:rFonts w:hint="eastAsia" w:ascii="Times New Roman" w:hAnsi="Times New Roman" w:eastAsia="宋体" w:cs="Times New Roman"/>
                <w:color w:val="auto"/>
                <w:szCs w:val="21"/>
                <w:highlight w:val="none"/>
                <w:lang w:val="en-US" w:eastAsia="zh-CN"/>
              </w:rPr>
              <w:t>191</w:t>
            </w:r>
            <w:bookmarkEnd w:id="170"/>
            <w:bookmarkEnd w:id="17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72" w:name="_Toc30508"/>
            <w:bookmarkStart w:id="173" w:name="_Toc17964"/>
            <w:r>
              <w:rPr>
                <w:rFonts w:hint="eastAsia" w:ascii="Times New Roman" w:hAnsi="Times New Roman" w:eastAsia="宋体" w:cs="Times New Roman"/>
                <w:color w:val="auto"/>
                <w:szCs w:val="21"/>
                <w:highlight w:val="none"/>
                <w:lang w:val="en-US" w:eastAsia="zh-CN"/>
              </w:rPr>
              <w:t>243</w:t>
            </w:r>
            <w:bookmarkEnd w:id="172"/>
            <w:bookmarkEnd w:id="17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74" w:name="_Toc8525"/>
            <w:bookmarkStart w:id="175" w:name="_Toc18385"/>
            <w:r>
              <w:rPr>
                <w:rFonts w:hint="eastAsia" w:ascii="Times New Roman" w:hAnsi="Times New Roman" w:eastAsia="宋体" w:cs="Times New Roman"/>
                <w:color w:val="auto"/>
                <w:szCs w:val="21"/>
                <w:highlight w:val="none"/>
                <w:lang w:val="en-US" w:eastAsia="zh-CN"/>
              </w:rPr>
              <w:t>268</w:t>
            </w:r>
            <w:bookmarkEnd w:id="174"/>
            <w:bookmarkEnd w:id="175"/>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76" w:name="_Toc26645"/>
            <w:bookmarkStart w:id="177" w:name="_Toc17430"/>
            <w:r>
              <w:rPr>
                <w:rFonts w:hint="eastAsia" w:ascii="Times New Roman" w:hAnsi="Times New Roman" w:eastAsia="宋体" w:cs="Times New Roman"/>
                <w:color w:val="auto"/>
                <w:szCs w:val="21"/>
                <w:highlight w:val="none"/>
                <w:lang w:val="en-US" w:eastAsia="zh-CN"/>
              </w:rPr>
              <w:t>236</w:t>
            </w:r>
            <w:bookmarkEnd w:id="176"/>
            <w:bookmarkEnd w:id="17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78" w:name="_Toc22443"/>
            <w:bookmarkStart w:id="179" w:name="_Toc6365"/>
            <w:r>
              <w:rPr>
                <w:rFonts w:hint="eastAsia" w:ascii="Times New Roman" w:hAnsi="Times New Roman" w:eastAsia="宋体" w:cs="Times New Roman"/>
                <w:color w:val="auto"/>
                <w:szCs w:val="21"/>
                <w:highlight w:val="none"/>
                <w:lang w:val="en-US" w:eastAsia="zh-CN"/>
              </w:rPr>
              <w:t>152</w:t>
            </w:r>
            <w:bookmarkEnd w:id="178"/>
            <w:bookmarkEnd w:id="17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80" w:name="_Toc8147"/>
            <w:bookmarkStart w:id="181" w:name="_Toc14652"/>
            <w:r>
              <w:rPr>
                <w:rFonts w:hint="eastAsia" w:ascii="Times New Roman" w:hAnsi="Times New Roman" w:eastAsia="宋体" w:cs="Times New Roman"/>
                <w:color w:val="auto"/>
                <w:szCs w:val="21"/>
                <w:highlight w:val="none"/>
                <w:lang w:val="en-US" w:eastAsia="zh-CN"/>
              </w:rPr>
              <w:t>240</w:t>
            </w:r>
            <w:bookmarkEnd w:id="180"/>
            <w:bookmarkEnd w:id="18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82" w:name="_Toc18860"/>
            <w:bookmarkStart w:id="183" w:name="_Toc6807"/>
            <w:r>
              <w:rPr>
                <w:rFonts w:hint="eastAsia" w:ascii="Times New Roman" w:hAnsi="Times New Roman" w:eastAsia="宋体" w:cs="Times New Roman"/>
                <w:color w:val="auto"/>
                <w:szCs w:val="21"/>
                <w:highlight w:val="none"/>
                <w:lang w:val="en-US" w:eastAsia="zh-CN"/>
              </w:rPr>
              <w:t>262</w:t>
            </w:r>
            <w:bookmarkEnd w:id="182"/>
            <w:bookmarkEnd w:id="18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84" w:name="_Toc26279"/>
            <w:bookmarkStart w:id="185" w:name="_Toc23746"/>
            <w:r>
              <w:rPr>
                <w:rFonts w:hint="eastAsia" w:ascii="Times New Roman" w:hAnsi="Times New Roman" w:eastAsia="宋体" w:cs="Times New Roman"/>
                <w:color w:val="auto"/>
                <w:szCs w:val="21"/>
                <w:highlight w:val="none"/>
                <w:lang w:val="en-US" w:eastAsia="zh-CN"/>
              </w:rPr>
              <w:t>257</w:t>
            </w:r>
            <w:bookmarkEnd w:id="184"/>
            <w:bookmarkEnd w:id="18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86" w:name="_Toc14923"/>
            <w:bookmarkStart w:id="187" w:name="_Toc31745"/>
            <w:r>
              <w:rPr>
                <w:rFonts w:hint="eastAsia" w:ascii="Times New Roman" w:hAnsi="Times New Roman" w:eastAsia="宋体" w:cs="Times New Roman"/>
                <w:color w:val="auto"/>
                <w:szCs w:val="21"/>
                <w:highlight w:val="none"/>
                <w:lang w:val="en-US" w:eastAsia="zh-CN"/>
              </w:rPr>
              <w:t>271</w:t>
            </w:r>
            <w:bookmarkEnd w:id="186"/>
            <w:bookmarkEnd w:id="187"/>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88" w:name="_Toc17224"/>
            <w:bookmarkStart w:id="189" w:name="_Toc12673"/>
            <w:r>
              <w:rPr>
                <w:rFonts w:hint="eastAsia" w:ascii="Times New Roman" w:hAnsi="Times New Roman" w:eastAsia="宋体" w:cs="Times New Roman"/>
                <w:color w:val="auto"/>
                <w:szCs w:val="21"/>
                <w:highlight w:val="none"/>
                <w:lang w:val="en-US" w:eastAsia="zh-CN"/>
              </w:rPr>
              <w:t>256</w:t>
            </w:r>
            <w:bookmarkEnd w:id="188"/>
            <w:bookmarkEnd w:id="189"/>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仿宋" w:cs="仿宋"/>
                <w:snapToGrid w:val="0"/>
                <w:color w:val="auto"/>
                <w:kern w:val="0"/>
                <w:sz w:val="21"/>
                <w:szCs w:val="21"/>
                <w:highlight w:val="none"/>
                <w:lang w:val="en-US" w:eastAsia="zh-CN" w:bidi="ar-SA"/>
              </w:rPr>
            </w:pPr>
            <w:bookmarkStart w:id="190" w:name="_Toc23157"/>
            <w:bookmarkStart w:id="191" w:name="_Toc16650"/>
            <w:r>
              <w:rPr>
                <w:rFonts w:hint="eastAsia" w:ascii="仿宋" w:hAnsi="仿宋" w:eastAsia="仿宋" w:cs="仿宋"/>
                <w:color w:val="auto"/>
                <w:szCs w:val="21"/>
                <w:highlight w:val="none"/>
                <w:lang w:val="en-US" w:eastAsia="zh-CN"/>
              </w:rPr>
              <w:t>/</w:t>
            </w:r>
            <w:bookmarkEnd w:id="190"/>
            <w:bookmarkEnd w:id="191"/>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192" w:name="_Toc4160"/>
            <w:bookmarkStart w:id="193" w:name="_Toc31151"/>
            <w:r>
              <w:rPr>
                <w:rFonts w:hint="eastAsia" w:ascii="Times New Roman" w:hAnsi="Times New Roman" w:cs="Times New Roman"/>
                <w:color w:val="auto"/>
                <w:szCs w:val="21"/>
                <w:highlight w:val="none"/>
                <w:lang w:val="en-US" w:eastAsia="zh-CN"/>
              </w:rPr>
              <w:t>氯化物</w:t>
            </w:r>
            <w:bookmarkEnd w:id="192"/>
            <w:bookmarkEnd w:id="193"/>
          </w:p>
        </w:tc>
        <w:tc>
          <w:tcPr>
            <w:tcW w:w="276"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194" w:name="_Toc16223"/>
            <w:bookmarkStart w:id="195" w:name="_Toc15408"/>
            <w:r>
              <w:rPr>
                <w:rFonts w:hint="default" w:ascii="Times New Roman" w:hAnsi="Times New Roman" w:cs="Times New Roman"/>
                <w:color w:val="auto"/>
                <w:szCs w:val="21"/>
                <w:highlight w:val="none"/>
                <w:lang w:val="en-US" w:eastAsia="zh-CN"/>
              </w:rPr>
              <w:t>mg/L</w:t>
            </w:r>
            <w:bookmarkEnd w:id="194"/>
            <w:bookmarkEnd w:id="19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96" w:name="_Toc22830"/>
            <w:bookmarkStart w:id="197" w:name="_Toc26836"/>
            <w:r>
              <w:rPr>
                <w:rFonts w:hint="eastAsia" w:ascii="Times New Roman" w:hAnsi="Times New Roman" w:eastAsia="宋体" w:cs="Times New Roman"/>
                <w:color w:val="auto"/>
                <w:szCs w:val="21"/>
                <w:highlight w:val="none"/>
                <w:lang w:val="en-US" w:eastAsia="zh-CN"/>
              </w:rPr>
              <w:t>34.0</w:t>
            </w:r>
            <w:bookmarkEnd w:id="196"/>
            <w:bookmarkEnd w:id="19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98" w:name="_Toc18527"/>
            <w:bookmarkStart w:id="199" w:name="_Toc24039"/>
            <w:r>
              <w:rPr>
                <w:rFonts w:hint="eastAsia" w:ascii="Times New Roman" w:hAnsi="Times New Roman" w:eastAsia="宋体" w:cs="Times New Roman"/>
                <w:color w:val="auto"/>
                <w:szCs w:val="21"/>
                <w:highlight w:val="none"/>
                <w:lang w:val="en-US" w:eastAsia="zh-CN"/>
              </w:rPr>
              <w:t>9.06</w:t>
            </w:r>
            <w:bookmarkEnd w:id="198"/>
            <w:bookmarkEnd w:id="19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00" w:name="_Toc16957"/>
            <w:bookmarkStart w:id="201" w:name="_Toc29572"/>
            <w:r>
              <w:rPr>
                <w:rFonts w:hint="eastAsia" w:ascii="Times New Roman" w:hAnsi="Times New Roman" w:eastAsia="宋体" w:cs="Times New Roman"/>
                <w:color w:val="auto"/>
                <w:szCs w:val="21"/>
                <w:highlight w:val="none"/>
                <w:lang w:val="en-US" w:eastAsia="zh-CN"/>
              </w:rPr>
              <w:t>12.2</w:t>
            </w:r>
            <w:bookmarkEnd w:id="200"/>
            <w:bookmarkEnd w:id="20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02" w:name="_Toc26166"/>
            <w:bookmarkStart w:id="203" w:name="_Toc17133"/>
            <w:r>
              <w:rPr>
                <w:rFonts w:hint="eastAsia" w:ascii="Times New Roman" w:hAnsi="Times New Roman" w:eastAsia="宋体" w:cs="Times New Roman"/>
                <w:color w:val="auto"/>
                <w:szCs w:val="21"/>
                <w:highlight w:val="none"/>
                <w:lang w:val="en-US" w:eastAsia="zh-CN"/>
              </w:rPr>
              <w:t>12.1</w:t>
            </w:r>
            <w:bookmarkEnd w:id="202"/>
            <w:bookmarkEnd w:id="20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04" w:name="_Toc32113"/>
            <w:bookmarkStart w:id="205" w:name="_Toc26680"/>
            <w:r>
              <w:rPr>
                <w:rFonts w:hint="eastAsia" w:ascii="Times New Roman" w:hAnsi="Times New Roman" w:eastAsia="宋体" w:cs="Times New Roman"/>
                <w:color w:val="auto"/>
                <w:szCs w:val="21"/>
                <w:highlight w:val="none"/>
                <w:lang w:val="en-US" w:eastAsia="zh-CN"/>
              </w:rPr>
              <w:t>77.0</w:t>
            </w:r>
            <w:bookmarkEnd w:id="204"/>
            <w:bookmarkEnd w:id="20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06" w:name="_Toc12532"/>
            <w:bookmarkStart w:id="207" w:name="_Toc18104"/>
            <w:r>
              <w:rPr>
                <w:rFonts w:hint="eastAsia" w:ascii="Times New Roman" w:hAnsi="Times New Roman" w:eastAsia="宋体" w:cs="Times New Roman"/>
                <w:color w:val="auto"/>
                <w:szCs w:val="21"/>
                <w:highlight w:val="none"/>
                <w:lang w:val="en-US" w:eastAsia="zh-CN"/>
              </w:rPr>
              <w:t>19.6</w:t>
            </w:r>
            <w:bookmarkEnd w:id="206"/>
            <w:bookmarkEnd w:id="20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08" w:name="_Toc26411"/>
            <w:bookmarkStart w:id="209" w:name="_Toc24794"/>
            <w:r>
              <w:rPr>
                <w:rFonts w:hint="eastAsia" w:ascii="Times New Roman" w:hAnsi="Times New Roman" w:eastAsia="宋体" w:cs="Times New Roman"/>
                <w:color w:val="auto"/>
                <w:szCs w:val="21"/>
                <w:highlight w:val="none"/>
                <w:lang w:val="en-US" w:eastAsia="zh-CN"/>
              </w:rPr>
              <w:t>14.4</w:t>
            </w:r>
            <w:bookmarkEnd w:id="208"/>
            <w:bookmarkEnd w:id="20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10" w:name="_Toc21870"/>
            <w:bookmarkStart w:id="211" w:name="_Toc22278"/>
            <w:r>
              <w:rPr>
                <w:rFonts w:hint="eastAsia" w:ascii="Times New Roman" w:hAnsi="Times New Roman" w:eastAsia="宋体" w:cs="Times New Roman"/>
                <w:color w:val="auto"/>
                <w:szCs w:val="21"/>
                <w:highlight w:val="none"/>
                <w:lang w:val="en-US" w:eastAsia="zh-CN"/>
              </w:rPr>
              <w:t>11.3</w:t>
            </w:r>
            <w:bookmarkEnd w:id="210"/>
            <w:bookmarkEnd w:id="21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12" w:name="_Toc3712"/>
            <w:bookmarkStart w:id="213" w:name="_Toc13913"/>
            <w:r>
              <w:rPr>
                <w:rFonts w:hint="eastAsia" w:ascii="Times New Roman" w:hAnsi="Times New Roman" w:eastAsia="宋体" w:cs="Times New Roman"/>
                <w:color w:val="auto"/>
                <w:szCs w:val="21"/>
                <w:highlight w:val="none"/>
                <w:lang w:val="en-US" w:eastAsia="zh-CN"/>
              </w:rPr>
              <w:t>14.6</w:t>
            </w:r>
            <w:bookmarkEnd w:id="212"/>
            <w:bookmarkEnd w:id="213"/>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14" w:name="_Toc16301"/>
            <w:bookmarkStart w:id="215" w:name="_Toc6285"/>
            <w:r>
              <w:rPr>
                <w:rFonts w:hint="eastAsia" w:ascii="Times New Roman" w:hAnsi="Times New Roman" w:eastAsia="宋体" w:cs="Times New Roman"/>
                <w:color w:val="auto"/>
                <w:szCs w:val="21"/>
                <w:highlight w:val="none"/>
                <w:lang w:val="en-US" w:eastAsia="zh-CN"/>
              </w:rPr>
              <w:t>15.2</w:t>
            </w:r>
            <w:bookmarkEnd w:id="214"/>
            <w:bookmarkEnd w:id="215"/>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bidi="ar-SA"/>
              </w:rPr>
            </w:pPr>
            <w:bookmarkStart w:id="216" w:name="_Toc24662"/>
            <w:bookmarkStart w:id="217" w:name="_Toc7976"/>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250</w:t>
            </w:r>
            <w:bookmarkEnd w:id="216"/>
            <w:bookmarkEnd w:id="21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9</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218" w:name="_Toc20254"/>
            <w:bookmarkStart w:id="219" w:name="_Toc12545"/>
            <w:r>
              <w:rPr>
                <w:rFonts w:hint="default" w:ascii="Times New Roman" w:hAnsi="Times New Roman" w:cs="Times New Roman"/>
                <w:color w:val="auto"/>
                <w:szCs w:val="21"/>
                <w:highlight w:val="none"/>
              </w:rPr>
              <w:t>硫酸</w:t>
            </w:r>
            <w:r>
              <w:rPr>
                <w:rFonts w:hint="eastAsia" w:ascii="Times New Roman" w:hAnsi="Times New Roman" w:cs="Times New Roman"/>
                <w:color w:val="auto"/>
                <w:szCs w:val="21"/>
                <w:highlight w:val="none"/>
                <w:lang w:val="en-US" w:eastAsia="zh-CN"/>
              </w:rPr>
              <w:t>盐</w:t>
            </w:r>
            <w:bookmarkEnd w:id="218"/>
            <w:bookmarkEnd w:id="219"/>
          </w:p>
        </w:tc>
        <w:tc>
          <w:tcPr>
            <w:tcW w:w="276"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220" w:name="_Toc7610"/>
            <w:bookmarkStart w:id="221" w:name="_Toc11611"/>
            <w:r>
              <w:rPr>
                <w:rFonts w:hint="default" w:ascii="Times New Roman" w:hAnsi="Times New Roman" w:cs="Times New Roman"/>
                <w:color w:val="auto"/>
                <w:szCs w:val="21"/>
                <w:highlight w:val="none"/>
                <w:lang w:val="en-US" w:eastAsia="zh-CN"/>
              </w:rPr>
              <w:t>mg/L</w:t>
            </w:r>
            <w:bookmarkEnd w:id="220"/>
            <w:bookmarkEnd w:id="22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22" w:name="_Toc31072"/>
            <w:bookmarkStart w:id="223" w:name="_Toc31211"/>
            <w:r>
              <w:rPr>
                <w:rFonts w:hint="eastAsia" w:ascii="Times New Roman" w:hAnsi="Times New Roman" w:eastAsia="宋体" w:cs="Times New Roman"/>
                <w:color w:val="auto"/>
                <w:szCs w:val="21"/>
                <w:highlight w:val="none"/>
                <w:lang w:val="en-US" w:eastAsia="zh-CN"/>
              </w:rPr>
              <w:t>38.2</w:t>
            </w:r>
            <w:bookmarkEnd w:id="222"/>
            <w:bookmarkEnd w:id="22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24" w:name="_Toc10026"/>
            <w:bookmarkStart w:id="225" w:name="_Toc26962"/>
            <w:r>
              <w:rPr>
                <w:rFonts w:hint="eastAsia" w:ascii="Times New Roman" w:hAnsi="Times New Roman" w:eastAsia="宋体" w:cs="Times New Roman"/>
                <w:color w:val="auto"/>
                <w:szCs w:val="21"/>
                <w:highlight w:val="none"/>
                <w:lang w:val="en-US" w:eastAsia="zh-CN"/>
              </w:rPr>
              <w:t>31.7</w:t>
            </w:r>
            <w:bookmarkEnd w:id="224"/>
            <w:bookmarkEnd w:id="225"/>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26" w:name="_Toc3592"/>
            <w:bookmarkStart w:id="227" w:name="_Toc22024"/>
            <w:r>
              <w:rPr>
                <w:rFonts w:hint="eastAsia" w:ascii="Times New Roman" w:hAnsi="Times New Roman" w:eastAsia="宋体" w:cs="Times New Roman"/>
                <w:color w:val="auto"/>
                <w:szCs w:val="21"/>
                <w:highlight w:val="none"/>
                <w:lang w:val="en-US" w:eastAsia="zh-CN"/>
              </w:rPr>
              <w:t>34.6</w:t>
            </w:r>
            <w:bookmarkEnd w:id="226"/>
            <w:bookmarkEnd w:id="22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28" w:name="_Toc29033"/>
            <w:bookmarkStart w:id="229" w:name="_Toc12435"/>
            <w:r>
              <w:rPr>
                <w:rFonts w:hint="eastAsia" w:ascii="Times New Roman" w:hAnsi="Times New Roman" w:eastAsia="宋体" w:cs="Times New Roman"/>
                <w:color w:val="auto"/>
                <w:szCs w:val="21"/>
                <w:highlight w:val="none"/>
                <w:lang w:val="en-US" w:eastAsia="zh-CN"/>
              </w:rPr>
              <w:t>42.8</w:t>
            </w:r>
            <w:bookmarkEnd w:id="228"/>
            <w:bookmarkEnd w:id="22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30" w:name="_Toc30022"/>
            <w:bookmarkStart w:id="231" w:name="_Toc6811"/>
            <w:r>
              <w:rPr>
                <w:rFonts w:hint="eastAsia" w:ascii="Times New Roman" w:hAnsi="Times New Roman" w:eastAsia="宋体" w:cs="Times New Roman"/>
                <w:color w:val="auto"/>
                <w:szCs w:val="21"/>
                <w:highlight w:val="none"/>
                <w:lang w:val="en-US" w:eastAsia="zh-CN"/>
              </w:rPr>
              <w:t>49.7</w:t>
            </w:r>
            <w:bookmarkEnd w:id="230"/>
            <w:bookmarkEnd w:id="23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32" w:name="_Toc7291"/>
            <w:bookmarkStart w:id="233" w:name="_Toc15840"/>
            <w:r>
              <w:rPr>
                <w:rFonts w:hint="eastAsia" w:ascii="Times New Roman" w:hAnsi="Times New Roman" w:eastAsia="宋体" w:cs="Times New Roman"/>
                <w:color w:val="auto"/>
                <w:szCs w:val="21"/>
                <w:highlight w:val="none"/>
                <w:lang w:val="en-US" w:eastAsia="zh-CN"/>
              </w:rPr>
              <w:t>41.9</w:t>
            </w:r>
            <w:bookmarkEnd w:id="232"/>
            <w:bookmarkEnd w:id="23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34" w:name="_Toc30759"/>
            <w:bookmarkStart w:id="235" w:name="_Toc9455"/>
            <w:r>
              <w:rPr>
                <w:rFonts w:hint="eastAsia" w:ascii="Times New Roman" w:hAnsi="Times New Roman" w:eastAsia="宋体" w:cs="Times New Roman"/>
                <w:color w:val="auto"/>
                <w:szCs w:val="21"/>
                <w:highlight w:val="none"/>
                <w:lang w:val="en-US" w:eastAsia="zh-CN"/>
              </w:rPr>
              <w:t>29.7</w:t>
            </w:r>
            <w:bookmarkEnd w:id="234"/>
            <w:bookmarkEnd w:id="235"/>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36" w:name="_Toc7596"/>
            <w:bookmarkStart w:id="237" w:name="_Toc13528"/>
            <w:r>
              <w:rPr>
                <w:rFonts w:hint="eastAsia" w:ascii="Times New Roman" w:hAnsi="Times New Roman" w:eastAsia="宋体" w:cs="Times New Roman"/>
                <w:color w:val="auto"/>
                <w:szCs w:val="21"/>
                <w:highlight w:val="none"/>
                <w:lang w:val="en-US" w:eastAsia="zh-CN"/>
              </w:rPr>
              <w:t>26.5</w:t>
            </w:r>
            <w:bookmarkEnd w:id="236"/>
            <w:bookmarkEnd w:id="23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38" w:name="_Toc24269"/>
            <w:bookmarkStart w:id="239" w:name="_Toc11822"/>
            <w:r>
              <w:rPr>
                <w:rFonts w:hint="eastAsia" w:ascii="Times New Roman" w:hAnsi="Times New Roman" w:eastAsia="宋体" w:cs="Times New Roman"/>
                <w:color w:val="auto"/>
                <w:szCs w:val="21"/>
                <w:highlight w:val="none"/>
                <w:lang w:val="en-US" w:eastAsia="zh-CN"/>
              </w:rPr>
              <w:t>36.5</w:t>
            </w:r>
            <w:bookmarkEnd w:id="238"/>
            <w:bookmarkEnd w:id="239"/>
          </w:p>
        </w:tc>
        <w:tc>
          <w:tcPr>
            <w:tcW w:w="1059"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40" w:name="_Toc14696"/>
            <w:bookmarkStart w:id="241" w:name="_Toc6414"/>
            <w:r>
              <w:rPr>
                <w:rFonts w:hint="eastAsia" w:ascii="Times New Roman" w:hAnsi="Times New Roman" w:eastAsia="宋体" w:cs="Times New Roman"/>
                <w:color w:val="auto"/>
                <w:szCs w:val="21"/>
                <w:highlight w:val="none"/>
                <w:lang w:val="en-US" w:eastAsia="zh-CN"/>
              </w:rPr>
              <w:t>37.1</w:t>
            </w:r>
            <w:bookmarkEnd w:id="240"/>
            <w:bookmarkEnd w:id="241"/>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bidi="ar-SA"/>
              </w:rPr>
            </w:pPr>
            <w:bookmarkStart w:id="242" w:name="_Toc24996"/>
            <w:bookmarkStart w:id="243" w:name="_Toc12888"/>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250</w:t>
            </w:r>
            <w:bookmarkEnd w:id="242"/>
            <w:bookmarkEnd w:id="243"/>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11</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snapToGrid w:val="0"/>
                <w:color w:val="auto"/>
                <w:kern w:val="0"/>
                <w:sz w:val="21"/>
                <w:szCs w:val="21"/>
                <w:highlight w:val="none"/>
                <w:lang w:val="en-US" w:eastAsia="zh-CN"/>
              </w:rPr>
            </w:pPr>
            <w:bookmarkStart w:id="244" w:name="_Toc32008"/>
            <w:bookmarkStart w:id="245" w:name="_Toc19110"/>
            <w:r>
              <w:rPr>
                <w:rFonts w:hint="default" w:ascii="Times New Roman" w:hAnsi="Times New Roman" w:cs="Times New Roman"/>
                <w:color w:val="auto"/>
                <w:szCs w:val="21"/>
                <w:highlight w:val="none"/>
              </w:rPr>
              <w:t>pH</w:t>
            </w:r>
            <w:bookmarkEnd w:id="244"/>
            <w:bookmarkEnd w:id="245"/>
          </w:p>
        </w:tc>
        <w:tc>
          <w:tcPr>
            <w:tcW w:w="276"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246" w:name="_Toc27699"/>
            <w:bookmarkStart w:id="247" w:name="_Toc19779"/>
            <w:r>
              <w:rPr>
                <w:rFonts w:hint="default" w:ascii="Times New Roman" w:hAnsi="Times New Roman" w:cs="Times New Roman"/>
                <w:color w:val="auto"/>
                <w:szCs w:val="21"/>
                <w:highlight w:val="none"/>
                <w:lang w:val="en-US" w:eastAsia="zh-CN"/>
              </w:rPr>
              <w:t>无量纲</w:t>
            </w:r>
            <w:bookmarkEnd w:id="246"/>
            <w:bookmarkEnd w:id="24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48" w:name="_Toc12256"/>
            <w:bookmarkStart w:id="249" w:name="_Toc11461"/>
            <w:r>
              <w:rPr>
                <w:rFonts w:hint="eastAsia" w:ascii="Times New Roman" w:hAnsi="Times New Roman" w:eastAsia="宋体" w:cs="Times New Roman"/>
                <w:color w:val="auto"/>
                <w:szCs w:val="21"/>
                <w:highlight w:val="none"/>
                <w:lang w:val="en-US" w:eastAsia="zh-CN"/>
              </w:rPr>
              <w:t>7.1</w:t>
            </w:r>
            <w:bookmarkEnd w:id="248"/>
            <w:bookmarkEnd w:id="24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50" w:name="_Toc2703"/>
            <w:bookmarkStart w:id="251" w:name="_Toc8590"/>
            <w:r>
              <w:rPr>
                <w:rFonts w:hint="eastAsia" w:ascii="Times New Roman" w:hAnsi="Times New Roman" w:eastAsia="宋体" w:cs="Times New Roman"/>
                <w:color w:val="auto"/>
                <w:szCs w:val="21"/>
                <w:highlight w:val="none"/>
                <w:lang w:val="en-US" w:eastAsia="zh-CN"/>
              </w:rPr>
              <w:t>7.0</w:t>
            </w:r>
            <w:bookmarkEnd w:id="250"/>
            <w:bookmarkEnd w:id="25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52" w:name="_Toc9501"/>
            <w:bookmarkStart w:id="253" w:name="_Toc1444"/>
            <w:r>
              <w:rPr>
                <w:rFonts w:hint="eastAsia" w:ascii="Times New Roman" w:hAnsi="Times New Roman" w:eastAsia="宋体" w:cs="Times New Roman"/>
                <w:color w:val="auto"/>
                <w:szCs w:val="21"/>
                <w:highlight w:val="none"/>
                <w:lang w:val="en-US" w:eastAsia="zh-CN"/>
              </w:rPr>
              <w:t>8.0</w:t>
            </w:r>
            <w:bookmarkEnd w:id="252"/>
            <w:bookmarkEnd w:id="25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54" w:name="_Toc23795"/>
            <w:bookmarkStart w:id="255" w:name="_Toc16994"/>
            <w:r>
              <w:rPr>
                <w:rFonts w:hint="eastAsia" w:ascii="Times New Roman" w:hAnsi="Times New Roman" w:eastAsia="宋体" w:cs="Times New Roman"/>
                <w:color w:val="auto"/>
                <w:szCs w:val="21"/>
                <w:highlight w:val="none"/>
                <w:lang w:val="en-US" w:eastAsia="zh-CN"/>
              </w:rPr>
              <w:t>8.4</w:t>
            </w:r>
            <w:bookmarkEnd w:id="254"/>
            <w:bookmarkEnd w:id="25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56" w:name="_Toc18866"/>
            <w:bookmarkStart w:id="257" w:name="_Toc32638"/>
            <w:r>
              <w:rPr>
                <w:rFonts w:hint="eastAsia" w:ascii="Times New Roman" w:hAnsi="Times New Roman" w:eastAsia="宋体" w:cs="Times New Roman"/>
                <w:color w:val="auto"/>
                <w:szCs w:val="21"/>
                <w:highlight w:val="none"/>
                <w:lang w:val="en-US" w:eastAsia="zh-CN"/>
              </w:rPr>
              <w:t>7.2</w:t>
            </w:r>
            <w:bookmarkEnd w:id="256"/>
            <w:bookmarkEnd w:id="25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58" w:name="_Toc25753"/>
            <w:bookmarkStart w:id="259" w:name="_Toc17640"/>
            <w:r>
              <w:rPr>
                <w:rFonts w:hint="eastAsia" w:ascii="Times New Roman" w:hAnsi="Times New Roman" w:eastAsia="宋体" w:cs="Times New Roman"/>
                <w:color w:val="auto"/>
                <w:szCs w:val="21"/>
                <w:highlight w:val="none"/>
                <w:lang w:val="en-US" w:eastAsia="zh-CN"/>
              </w:rPr>
              <w:t>7.5</w:t>
            </w:r>
            <w:bookmarkEnd w:id="258"/>
            <w:bookmarkEnd w:id="25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60" w:name="_Toc22223"/>
            <w:bookmarkStart w:id="261" w:name="_Toc14903"/>
            <w:r>
              <w:rPr>
                <w:rFonts w:hint="eastAsia" w:ascii="Times New Roman" w:hAnsi="Times New Roman" w:eastAsia="宋体" w:cs="Times New Roman"/>
                <w:color w:val="auto"/>
                <w:szCs w:val="21"/>
                <w:highlight w:val="none"/>
                <w:lang w:val="en-US" w:eastAsia="zh-CN"/>
              </w:rPr>
              <w:t>7.3</w:t>
            </w:r>
            <w:bookmarkEnd w:id="260"/>
            <w:bookmarkEnd w:id="26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62" w:name="_Toc25489"/>
            <w:bookmarkStart w:id="263" w:name="_Toc30490"/>
            <w:r>
              <w:rPr>
                <w:rFonts w:hint="eastAsia" w:ascii="Times New Roman" w:hAnsi="Times New Roman" w:eastAsia="宋体" w:cs="Times New Roman"/>
                <w:color w:val="auto"/>
                <w:szCs w:val="21"/>
                <w:highlight w:val="none"/>
                <w:lang w:val="en-US" w:eastAsia="zh-CN"/>
              </w:rPr>
              <w:t>7.2</w:t>
            </w:r>
            <w:bookmarkEnd w:id="262"/>
            <w:bookmarkEnd w:id="26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64" w:name="_Toc12902"/>
            <w:bookmarkStart w:id="265" w:name="_Toc32224"/>
            <w:r>
              <w:rPr>
                <w:rFonts w:hint="eastAsia" w:ascii="Times New Roman" w:hAnsi="Times New Roman" w:eastAsia="宋体" w:cs="Times New Roman"/>
                <w:color w:val="auto"/>
                <w:szCs w:val="21"/>
                <w:highlight w:val="none"/>
                <w:lang w:val="en-US" w:eastAsia="zh-CN"/>
              </w:rPr>
              <w:t>7.3</w:t>
            </w:r>
            <w:bookmarkEnd w:id="264"/>
            <w:bookmarkEnd w:id="265"/>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66" w:name="_Toc5454"/>
            <w:bookmarkStart w:id="267" w:name="_Toc26922"/>
            <w:r>
              <w:rPr>
                <w:rFonts w:hint="eastAsia" w:ascii="Times New Roman" w:hAnsi="Times New Roman" w:eastAsia="宋体" w:cs="Times New Roman"/>
                <w:color w:val="auto"/>
                <w:szCs w:val="21"/>
                <w:highlight w:val="none"/>
                <w:lang w:val="en-US" w:eastAsia="zh-CN"/>
              </w:rPr>
              <w:t>7.4</w:t>
            </w:r>
            <w:bookmarkEnd w:id="266"/>
            <w:bookmarkEnd w:id="267"/>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Arial" w:cs="Times New Roman"/>
                <w:snapToGrid w:val="0"/>
                <w:color w:val="auto"/>
                <w:kern w:val="0"/>
                <w:sz w:val="21"/>
                <w:szCs w:val="21"/>
                <w:highlight w:val="none"/>
                <w:lang w:val="en-US" w:eastAsia="zh-CN" w:bidi="ar-SA"/>
              </w:rPr>
            </w:pPr>
            <w:bookmarkStart w:id="268" w:name="_Toc24477"/>
            <w:bookmarkStart w:id="269" w:name="_Toc4953"/>
            <w:r>
              <w:rPr>
                <w:rFonts w:hint="default" w:ascii="Times New Roman" w:hAnsi="Times New Roman" w:cs="Times New Roman"/>
                <w:color w:val="auto"/>
                <w:szCs w:val="21"/>
                <w:highlight w:val="none"/>
              </w:rPr>
              <w:t>6.5</w:t>
            </w:r>
            <w:r>
              <w:rPr>
                <w:rFonts w:hint="eastAsia" w:ascii="宋体" w:hAnsi="宋体" w:eastAsia="宋体" w:cs="宋体"/>
                <w:color w:val="auto"/>
                <w:szCs w:val="21"/>
                <w:highlight w:val="none"/>
              </w:rPr>
              <w:t>≤</w:t>
            </w:r>
            <w:r>
              <w:rPr>
                <w:rFonts w:hint="default" w:ascii="Times New Roman" w:hAnsi="Times New Roman" w:cs="Times New Roman"/>
                <w:color w:val="auto"/>
                <w:szCs w:val="21"/>
                <w:highlight w:val="none"/>
              </w:rPr>
              <w:t>pH</w:t>
            </w:r>
            <w:r>
              <w:rPr>
                <w:rFonts w:hint="eastAsia" w:ascii="宋体" w:hAnsi="宋体" w:eastAsia="宋体" w:cs="宋体"/>
                <w:color w:val="auto"/>
                <w:szCs w:val="21"/>
                <w:highlight w:val="none"/>
              </w:rPr>
              <w:t>≤</w:t>
            </w:r>
            <w:r>
              <w:rPr>
                <w:rFonts w:hint="default" w:ascii="Times New Roman" w:hAnsi="Times New Roman" w:cs="Times New Roman"/>
                <w:color w:val="auto"/>
                <w:szCs w:val="21"/>
                <w:highlight w:val="none"/>
              </w:rPr>
              <w:t>8.5</w:t>
            </w:r>
            <w:bookmarkEnd w:id="268"/>
            <w:bookmarkEnd w:id="269"/>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270" w:name="_Toc20494"/>
            <w:bookmarkStart w:id="271" w:name="_Toc17368"/>
            <w:r>
              <w:rPr>
                <w:rFonts w:hint="default" w:ascii="Times New Roman" w:hAnsi="Times New Roman" w:cs="Times New Roman"/>
                <w:color w:val="auto"/>
                <w:szCs w:val="21"/>
                <w:highlight w:val="none"/>
              </w:rPr>
              <w:t>总硬度</w:t>
            </w:r>
            <w:bookmarkEnd w:id="270"/>
            <w:bookmarkEnd w:id="271"/>
          </w:p>
        </w:tc>
        <w:tc>
          <w:tcPr>
            <w:tcW w:w="276"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272" w:name="_Toc12004"/>
            <w:bookmarkStart w:id="273" w:name="_Toc13336"/>
            <w:r>
              <w:rPr>
                <w:rFonts w:hint="default" w:ascii="Times New Roman" w:hAnsi="Times New Roman" w:cs="Times New Roman"/>
                <w:color w:val="auto"/>
                <w:szCs w:val="21"/>
                <w:highlight w:val="none"/>
                <w:lang w:val="en-US" w:eastAsia="zh-CN"/>
              </w:rPr>
              <w:t>mg/L</w:t>
            </w:r>
            <w:bookmarkEnd w:id="272"/>
            <w:bookmarkEnd w:id="27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74" w:name="_Toc5549"/>
            <w:bookmarkStart w:id="275" w:name="_Toc17146"/>
            <w:r>
              <w:rPr>
                <w:rFonts w:hint="eastAsia" w:ascii="Times New Roman" w:hAnsi="Times New Roman" w:eastAsia="宋体" w:cs="Times New Roman"/>
                <w:color w:val="auto"/>
                <w:szCs w:val="21"/>
                <w:highlight w:val="none"/>
                <w:lang w:val="en-US" w:eastAsia="zh-CN"/>
              </w:rPr>
              <w:t>115</w:t>
            </w:r>
            <w:bookmarkEnd w:id="274"/>
            <w:bookmarkEnd w:id="27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76" w:name="_Toc29505"/>
            <w:bookmarkStart w:id="277" w:name="_Toc29112"/>
            <w:r>
              <w:rPr>
                <w:rFonts w:hint="eastAsia" w:ascii="Times New Roman" w:hAnsi="Times New Roman" w:eastAsia="宋体" w:cs="Times New Roman"/>
                <w:color w:val="auto"/>
                <w:szCs w:val="21"/>
                <w:highlight w:val="none"/>
                <w:lang w:val="en-US" w:eastAsia="zh-CN"/>
              </w:rPr>
              <w:t>123</w:t>
            </w:r>
            <w:bookmarkEnd w:id="276"/>
            <w:bookmarkEnd w:id="27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78" w:name="_Toc3998"/>
            <w:bookmarkStart w:id="279" w:name="_Toc4411"/>
            <w:r>
              <w:rPr>
                <w:rFonts w:hint="eastAsia" w:ascii="Times New Roman" w:hAnsi="Times New Roman" w:eastAsia="宋体" w:cs="Times New Roman"/>
                <w:color w:val="auto"/>
                <w:szCs w:val="21"/>
                <w:highlight w:val="none"/>
                <w:lang w:val="en-US" w:eastAsia="zh-CN"/>
              </w:rPr>
              <w:t>107</w:t>
            </w:r>
            <w:bookmarkEnd w:id="278"/>
            <w:bookmarkEnd w:id="27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80" w:name="_Toc6687"/>
            <w:bookmarkStart w:id="281" w:name="_Toc17276"/>
            <w:r>
              <w:rPr>
                <w:rFonts w:hint="eastAsia" w:ascii="Times New Roman" w:hAnsi="Times New Roman" w:eastAsia="宋体" w:cs="Times New Roman"/>
                <w:color w:val="auto"/>
                <w:szCs w:val="21"/>
                <w:highlight w:val="none"/>
                <w:lang w:val="en-US" w:eastAsia="zh-CN"/>
              </w:rPr>
              <w:t>98</w:t>
            </w:r>
            <w:bookmarkEnd w:id="280"/>
            <w:bookmarkEnd w:id="28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82" w:name="_Toc559"/>
            <w:bookmarkStart w:id="283" w:name="_Toc2404"/>
            <w:r>
              <w:rPr>
                <w:rFonts w:hint="eastAsia" w:ascii="Times New Roman" w:hAnsi="Times New Roman" w:eastAsia="宋体" w:cs="Times New Roman"/>
                <w:color w:val="auto"/>
                <w:szCs w:val="21"/>
                <w:highlight w:val="none"/>
                <w:lang w:val="en-US" w:eastAsia="zh-CN"/>
              </w:rPr>
              <w:t>102</w:t>
            </w:r>
            <w:bookmarkEnd w:id="282"/>
            <w:bookmarkEnd w:id="28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84" w:name="_Toc3607"/>
            <w:bookmarkStart w:id="285" w:name="_Toc57"/>
            <w:r>
              <w:rPr>
                <w:rFonts w:hint="eastAsia" w:ascii="Times New Roman" w:hAnsi="Times New Roman" w:eastAsia="宋体" w:cs="Times New Roman"/>
                <w:color w:val="auto"/>
                <w:szCs w:val="21"/>
                <w:highlight w:val="none"/>
                <w:lang w:val="en-US" w:eastAsia="zh-CN"/>
              </w:rPr>
              <w:t>116</w:t>
            </w:r>
            <w:bookmarkEnd w:id="284"/>
            <w:bookmarkEnd w:id="28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86" w:name="_Toc26653"/>
            <w:bookmarkStart w:id="287" w:name="_Toc19439"/>
            <w:r>
              <w:rPr>
                <w:rFonts w:hint="eastAsia" w:ascii="Times New Roman" w:hAnsi="Times New Roman" w:eastAsia="宋体" w:cs="Times New Roman"/>
                <w:color w:val="auto"/>
                <w:szCs w:val="21"/>
                <w:highlight w:val="none"/>
                <w:lang w:val="en-US" w:eastAsia="zh-CN"/>
              </w:rPr>
              <w:t>121</w:t>
            </w:r>
            <w:bookmarkEnd w:id="286"/>
            <w:bookmarkEnd w:id="28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88" w:name="_Toc15448"/>
            <w:bookmarkStart w:id="289" w:name="_Toc257"/>
            <w:r>
              <w:rPr>
                <w:rFonts w:hint="eastAsia" w:ascii="Times New Roman" w:hAnsi="Times New Roman" w:eastAsia="宋体" w:cs="Times New Roman"/>
                <w:color w:val="auto"/>
                <w:szCs w:val="21"/>
                <w:highlight w:val="none"/>
                <w:lang w:val="en-US" w:eastAsia="zh-CN"/>
              </w:rPr>
              <w:t>126</w:t>
            </w:r>
            <w:bookmarkEnd w:id="288"/>
            <w:bookmarkEnd w:id="28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90" w:name="_Toc17960"/>
            <w:bookmarkStart w:id="291" w:name="_Toc24236"/>
            <w:r>
              <w:rPr>
                <w:rFonts w:hint="eastAsia" w:ascii="Times New Roman" w:hAnsi="Times New Roman" w:eastAsia="宋体" w:cs="Times New Roman"/>
                <w:color w:val="auto"/>
                <w:szCs w:val="21"/>
                <w:highlight w:val="none"/>
                <w:lang w:val="en-US" w:eastAsia="zh-CN"/>
              </w:rPr>
              <w:t>299</w:t>
            </w:r>
            <w:bookmarkEnd w:id="290"/>
            <w:bookmarkEnd w:id="291"/>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292" w:name="_Toc13561"/>
            <w:bookmarkStart w:id="293" w:name="_Toc22178"/>
            <w:r>
              <w:rPr>
                <w:rFonts w:hint="eastAsia" w:ascii="Times New Roman" w:hAnsi="Times New Roman" w:eastAsia="宋体" w:cs="Times New Roman"/>
                <w:color w:val="auto"/>
                <w:szCs w:val="21"/>
                <w:highlight w:val="none"/>
                <w:lang w:val="en-US" w:eastAsia="zh-CN"/>
              </w:rPr>
              <w:t>215</w:t>
            </w:r>
            <w:bookmarkEnd w:id="292"/>
            <w:bookmarkEnd w:id="293"/>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bidi="ar-SA"/>
              </w:rPr>
            </w:pPr>
            <w:bookmarkStart w:id="294" w:name="_Toc5922"/>
            <w:bookmarkStart w:id="295" w:name="_Toc29273"/>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450</w:t>
            </w:r>
            <w:bookmarkEnd w:id="294"/>
            <w:bookmarkEnd w:id="295"/>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13</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snapToGrid w:val="0"/>
                <w:color w:val="auto"/>
                <w:kern w:val="0"/>
                <w:sz w:val="21"/>
                <w:szCs w:val="21"/>
                <w:highlight w:val="none"/>
                <w:lang w:val="en-US" w:eastAsia="zh-CN"/>
              </w:rPr>
            </w:pPr>
            <w:bookmarkStart w:id="296" w:name="_Toc19656"/>
            <w:bookmarkStart w:id="297" w:name="_Toc3796"/>
            <w:r>
              <w:rPr>
                <w:rFonts w:hint="default" w:ascii="Times New Roman" w:hAnsi="Times New Roman" w:cs="Times New Roman"/>
                <w:color w:val="auto"/>
                <w:szCs w:val="21"/>
                <w:highlight w:val="none"/>
              </w:rPr>
              <w:t>氨氮</w:t>
            </w:r>
            <w:bookmarkEnd w:id="296"/>
            <w:bookmarkEnd w:id="297"/>
          </w:p>
        </w:tc>
        <w:tc>
          <w:tcPr>
            <w:tcW w:w="276"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298" w:name="_Toc15166"/>
            <w:bookmarkStart w:id="299" w:name="_Toc8088"/>
            <w:r>
              <w:rPr>
                <w:rFonts w:hint="default" w:ascii="Times New Roman" w:hAnsi="Times New Roman" w:cs="Times New Roman"/>
                <w:color w:val="auto"/>
                <w:szCs w:val="21"/>
                <w:highlight w:val="none"/>
                <w:lang w:val="en-US" w:eastAsia="zh-CN"/>
              </w:rPr>
              <w:t>mg/L</w:t>
            </w:r>
            <w:bookmarkEnd w:id="298"/>
            <w:bookmarkEnd w:id="29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00" w:name="_Toc29023"/>
            <w:bookmarkStart w:id="301" w:name="_Toc80"/>
            <w:r>
              <w:rPr>
                <w:rFonts w:hint="eastAsia" w:ascii="Times New Roman" w:hAnsi="Times New Roman" w:eastAsia="宋体" w:cs="Times New Roman"/>
                <w:color w:val="auto"/>
                <w:szCs w:val="21"/>
                <w:highlight w:val="none"/>
                <w:lang w:val="en-US" w:eastAsia="zh-CN"/>
              </w:rPr>
              <w:t>0.069</w:t>
            </w:r>
            <w:bookmarkEnd w:id="300"/>
            <w:bookmarkEnd w:id="30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02" w:name="_Toc6673"/>
            <w:bookmarkStart w:id="303" w:name="_Toc30047"/>
            <w:r>
              <w:rPr>
                <w:rFonts w:hint="eastAsia" w:ascii="Times New Roman" w:hAnsi="Times New Roman" w:eastAsia="宋体" w:cs="Times New Roman"/>
                <w:color w:val="auto"/>
                <w:szCs w:val="21"/>
                <w:highlight w:val="none"/>
                <w:lang w:val="en-US" w:eastAsia="zh-CN"/>
              </w:rPr>
              <w:t>0.683</w:t>
            </w:r>
            <w:bookmarkEnd w:id="302"/>
            <w:bookmarkEnd w:id="30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04" w:name="_Toc10370"/>
            <w:bookmarkStart w:id="305" w:name="_Toc1829"/>
            <w:r>
              <w:rPr>
                <w:rFonts w:hint="eastAsia" w:ascii="Times New Roman" w:hAnsi="Times New Roman" w:eastAsia="宋体" w:cs="Times New Roman"/>
                <w:color w:val="auto"/>
                <w:szCs w:val="21"/>
                <w:highlight w:val="none"/>
                <w:lang w:val="en-US" w:eastAsia="zh-CN"/>
              </w:rPr>
              <w:t>0.442</w:t>
            </w:r>
            <w:bookmarkEnd w:id="304"/>
            <w:bookmarkEnd w:id="305"/>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06" w:name="_Toc28956"/>
            <w:bookmarkStart w:id="307" w:name="_Toc4182"/>
            <w:r>
              <w:rPr>
                <w:rFonts w:hint="eastAsia" w:ascii="Times New Roman" w:hAnsi="Times New Roman" w:eastAsia="宋体" w:cs="Times New Roman"/>
                <w:color w:val="auto"/>
                <w:szCs w:val="21"/>
                <w:highlight w:val="none"/>
                <w:lang w:val="en-US" w:eastAsia="zh-CN"/>
              </w:rPr>
              <w:t>0.467</w:t>
            </w:r>
            <w:bookmarkEnd w:id="306"/>
            <w:bookmarkEnd w:id="30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08" w:name="_Toc27789"/>
            <w:bookmarkStart w:id="309" w:name="_Toc11153"/>
            <w:r>
              <w:rPr>
                <w:rFonts w:hint="eastAsia" w:ascii="Times New Roman" w:hAnsi="Times New Roman" w:eastAsia="宋体" w:cs="Times New Roman"/>
                <w:color w:val="auto"/>
                <w:szCs w:val="21"/>
                <w:highlight w:val="none"/>
                <w:lang w:val="en-US" w:eastAsia="zh-CN"/>
              </w:rPr>
              <w:t>0.657</w:t>
            </w:r>
            <w:bookmarkEnd w:id="308"/>
            <w:bookmarkEnd w:id="30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10" w:name="_Toc12118"/>
            <w:bookmarkStart w:id="311" w:name="_Toc5761"/>
            <w:r>
              <w:rPr>
                <w:rFonts w:hint="eastAsia" w:ascii="Times New Roman" w:hAnsi="Times New Roman" w:eastAsia="宋体" w:cs="Times New Roman"/>
                <w:color w:val="auto"/>
                <w:szCs w:val="21"/>
                <w:highlight w:val="none"/>
                <w:lang w:val="en-US" w:eastAsia="zh-CN"/>
              </w:rPr>
              <w:t>0.326</w:t>
            </w:r>
            <w:bookmarkEnd w:id="310"/>
            <w:bookmarkEnd w:id="31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12" w:name="_Toc30218"/>
            <w:bookmarkStart w:id="313" w:name="_Toc12235"/>
            <w:r>
              <w:rPr>
                <w:rFonts w:hint="eastAsia" w:ascii="Times New Roman" w:hAnsi="Times New Roman" w:eastAsia="宋体" w:cs="Times New Roman"/>
                <w:color w:val="auto"/>
                <w:szCs w:val="21"/>
                <w:highlight w:val="none"/>
                <w:lang w:val="en-US" w:eastAsia="zh-CN"/>
              </w:rPr>
              <w:t>0.407</w:t>
            </w:r>
            <w:bookmarkEnd w:id="312"/>
            <w:bookmarkEnd w:id="31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14" w:name="_Toc10645"/>
            <w:bookmarkStart w:id="315" w:name="_Toc26021"/>
            <w:r>
              <w:rPr>
                <w:rFonts w:hint="eastAsia" w:ascii="Times New Roman" w:hAnsi="Times New Roman" w:eastAsia="宋体" w:cs="Times New Roman"/>
                <w:color w:val="auto"/>
                <w:szCs w:val="21"/>
                <w:highlight w:val="none"/>
                <w:lang w:val="en-US" w:eastAsia="zh-CN"/>
              </w:rPr>
              <w:t>0.380</w:t>
            </w:r>
            <w:bookmarkEnd w:id="314"/>
            <w:bookmarkEnd w:id="315"/>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16" w:name="_Toc16117"/>
            <w:bookmarkStart w:id="317" w:name="_Toc10592"/>
            <w:r>
              <w:rPr>
                <w:rFonts w:hint="eastAsia" w:ascii="Times New Roman" w:hAnsi="Times New Roman" w:eastAsia="宋体" w:cs="Times New Roman"/>
                <w:color w:val="auto"/>
                <w:szCs w:val="21"/>
                <w:highlight w:val="none"/>
                <w:lang w:val="en-US" w:eastAsia="zh-CN"/>
              </w:rPr>
              <w:t>0.352</w:t>
            </w:r>
            <w:bookmarkEnd w:id="316"/>
            <w:bookmarkEnd w:id="317"/>
          </w:p>
        </w:tc>
        <w:tc>
          <w:tcPr>
            <w:tcW w:w="1059"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18" w:name="_Toc23042"/>
            <w:bookmarkStart w:id="319" w:name="_Toc12039"/>
            <w:r>
              <w:rPr>
                <w:rFonts w:hint="eastAsia" w:ascii="Times New Roman" w:hAnsi="Times New Roman" w:eastAsia="宋体" w:cs="Times New Roman"/>
                <w:color w:val="auto"/>
                <w:szCs w:val="21"/>
                <w:highlight w:val="none"/>
                <w:lang w:val="en-US" w:eastAsia="zh-CN"/>
              </w:rPr>
              <w:t>0.217</w:t>
            </w:r>
            <w:bookmarkEnd w:id="318"/>
            <w:bookmarkEnd w:id="319"/>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bidi="ar-SA"/>
              </w:rPr>
            </w:pPr>
            <w:bookmarkStart w:id="320" w:name="_Toc27005"/>
            <w:bookmarkStart w:id="321" w:name="_Toc30147"/>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0.50</w:t>
            </w:r>
            <w:bookmarkEnd w:id="320"/>
            <w:bookmarkEnd w:id="321"/>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14</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322" w:name="_Toc24073"/>
            <w:bookmarkStart w:id="323" w:name="_Toc8308"/>
            <w:r>
              <w:rPr>
                <w:rFonts w:hint="default" w:ascii="Times New Roman" w:hAnsi="Times New Roman" w:cs="Times New Roman"/>
                <w:color w:val="auto"/>
                <w:szCs w:val="21"/>
                <w:highlight w:val="none"/>
              </w:rPr>
              <w:t>氰化物</w:t>
            </w:r>
            <w:bookmarkEnd w:id="322"/>
            <w:bookmarkEnd w:id="323"/>
          </w:p>
        </w:tc>
        <w:tc>
          <w:tcPr>
            <w:tcW w:w="276" w:type="pct"/>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0"/>
                <w:szCs w:val="21"/>
                <w:highlight w:val="none"/>
                <w:vertAlign w:val="baseline"/>
                <w:lang w:val="en-US" w:eastAsia="zh-CN"/>
              </w:rPr>
              <w:t>mg/L</w:t>
            </w:r>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24" w:name="_Toc6263"/>
            <w:bookmarkStart w:id="325" w:name="_Toc16911"/>
            <w:r>
              <w:rPr>
                <w:rFonts w:hint="eastAsia" w:ascii="Times New Roman" w:hAnsi="Times New Roman" w:eastAsia="宋体" w:cs="Times New Roman"/>
                <w:color w:val="auto"/>
                <w:szCs w:val="21"/>
                <w:highlight w:val="none"/>
                <w:lang w:val="en-US" w:eastAsia="zh-CN"/>
              </w:rPr>
              <w:t>未检出</w:t>
            </w:r>
            <w:bookmarkEnd w:id="324"/>
            <w:bookmarkEnd w:id="32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26" w:name="_Toc2223"/>
            <w:bookmarkStart w:id="327" w:name="_Toc12895"/>
            <w:r>
              <w:rPr>
                <w:rFonts w:hint="eastAsia" w:ascii="Times New Roman" w:hAnsi="Times New Roman" w:eastAsia="宋体" w:cs="Times New Roman"/>
                <w:color w:val="auto"/>
                <w:szCs w:val="21"/>
                <w:highlight w:val="none"/>
                <w:lang w:val="en-US" w:eastAsia="zh-CN"/>
              </w:rPr>
              <w:t>未检出</w:t>
            </w:r>
            <w:bookmarkEnd w:id="326"/>
            <w:bookmarkEnd w:id="32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28" w:name="_Toc30121"/>
            <w:bookmarkStart w:id="329" w:name="_Toc24642"/>
            <w:r>
              <w:rPr>
                <w:rFonts w:hint="eastAsia" w:ascii="Times New Roman" w:hAnsi="Times New Roman" w:eastAsia="宋体" w:cs="Times New Roman"/>
                <w:color w:val="auto"/>
                <w:szCs w:val="21"/>
                <w:highlight w:val="none"/>
                <w:lang w:val="en-US" w:eastAsia="zh-CN"/>
              </w:rPr>
              <w:t>未检出</w:t>
            </w:r>
            <w:bookmarkEnd w:id="328"/>
            <w:bookmarkEnd w:id="32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30" w:name="_Toc24921"/>
            <w:bookmarkStart w:id="331" w:name="_Toc8055"/>
            <w:r>
              <w:rPr>
                <w:rFonts w:hint="eastAsia" w:ascii="Times New Roman" w:hAnsi="Times New Roman" w:eastAsia="宋体" w:cs="Times New Roman"/>
                <w:color w:val="auto"/>
                <w:szCs w:val="21"/>
                <w:highlight w:val="none"/>
                <w:lang w:val="en-US" w:eastAsia="zh-CN"/>
              </w:rPr>
              <w:t>未检出</w:t>
            </w:r>
            <w:bookmarkEnd w:id="330"/>
            <w:bookmarkEnd w:id="33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32" w:name="_Toc5165"/>
            <w:bookmarkStart w:id="333" w:name="_Toc26338"/>
            <w:r>
              <w:rPr>
                <w:rFonts w:hint="eastAsia" w:ascii="Times New Roman" w:hAnsi="Times New Roman" w:eastAsia="宋体" w:cs="Times New Roman"/>
                <w:color w:val="auto"/>
                <w:szCs w:val="21"/>
                <w:highlight w:val="none"/>
                <w:lang w:val="en-US" w:eastAsia="zh-CN"/>
              </w:rPr>
              <w:t>未检出</w:t>
            </w:r>
            <w:bookmarkEnd w:id="332"/>
            <w:bookmarkEnd w:id="33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34" w:name="_Toc6958"/>
            <w:bookmarkStart w:id="335" w:name="_Toc14395"/>
            <w:r>
              <w:rPr>
                <w:rFonts w:hint="eastAsia" w:ascii="Times New Roman" w:hAnsi="Times New Roman" w:eastAsia="宋体" w:cs="Times New Roman"/>
                <w:color w:val="auto"/>
                <w:szCs w:val="21"/>
                <w:highlight w:val="none"/>
                <w:lang w:val="en-US" w:eastAsia="zh-CN"/>
              </w:rPr>
              <w:t>未检出</w:t>
            </w:r>
            <w:bookmarkEnd w:id="334"/>
            <w:bookmarkEnd w:id="33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36" w:name="_Toc4992"/>
            <w:bookmarkStart w:id="337" w:name="_Toc14827"/>
            <w:r>
              <w:rPr>
                <w:rFonts w:hint="eastAsia" w:ascii="Times New Roman" w:hAnsi="Times New Roman" w:eastAsia="宋体" w:cs="Times New Roman"/>
                <w:color w:val="auto"/>
                <w:szCs w:val="21"/>
                <w:highlight w:val="none"/>
                <w:lang w:val="en-US" w:eastAsia="zh-CN"/>
              </w:rPr>
              <w:t>未检出</w:t>
            </w:r>
            <w:bookmarkEnd w:id="336"/>
            <w:bookmarkEnd w:id="33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38" w:name="_Toc32532"/>
            <w:bookmarkStart w:id="339" w:name="_Toc19970"/>
            <w:r>
              <w:rPr>
                <w:rFonts w:hint="eastAsia" w:ascii="Times New Roman" w:hAnsi="Times New Roman" w:eastAsia="宋体" w:cs="Times New Roman"/>
                <w:color w:val="auto"/>
                <w:szCs w:val="21"/>
                <w:highlight w:val="none"/>
                <w:lang w:val="en-US" w:eastAsia="zh-CN"/>
              </w:rPr>
              <w:t>未检出</w:t>
            </w:r>
            <w:bookmarkEnd w:id="338"/>
            <w:bookmarkEnd w:id="33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40" w:name="_Toc16938"/>
            <w:bookmarkStart w:id="341" w:name="_Toc24123"/>
            <w:r>
              <w:rPr>
                <w:rFonts w:hint="eastAsia" w:ascii="Times New Roman" w:hAnsi="Times New Roman" w:eastAsia="宋体" w:cs="Times New Roman"/>
                <w:color w:val="auto"/>
                <w:szCs w:val="21"/>
                <w:highlight w:val="none"/>
                <w:lang w:val="en-US" w:eastAsia="zh-CN"/>
              </w:rPr>
              <w:t>未检出</w:t>
            </w:r>
            <w:bookmarkEnd w:id="340"/>
            <w:bookmarkEnd w:id="341"/>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42" w:name="_Toc7460"/>
            <w:bookmarkStart w:id="343" w:name="_Toc16447"/>
            <w:r>
              <w:rPr>
                <w:rFonts w:hint="eastAsia" w:ascii="Times New Roman" w:hAnsi="Times New Roman" w:eastAsia="宋体" w:cs="Times New Roman"/>
                <w:color w:val="auto"/>
                <w:szCs w:val="21"/>
                <w:highlight w:val="none"/>
                <w:lang w:val="en-US" w:eastAsia="zh-CN"/>
              </w:rPr>
              <w:t>未检出</w:t>
            </w:r>
            <w:bookmarkEnd w:id="342"/>
            <w:bookmarkEnd w:id="343"/>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bidi="ar-SA"/>
              </w:rPr>
            </w:pPr>
            <w:bookmarkStart w:id="344" w:name="_Toc15988"/>
            <w:bookmarkStart w:id="345" w:name="_Toc14744"/>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0.05</w:t>
            </w:r>
            <w:bookmarkEnd w:id="344"/>
            <w:bookmarkEnd w:id="345"/>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346" w:name="_Toc9976"/>
            <w:bookmarkStart w:id="347" w:name="_Toc10517"/>
            <w:r>
              <w:rPr>
                <w:rFonts w:hint="default" w:ascii="Times New Roman" w:hAnsi="Times New Roman" w:cs="Times New Roman"/>
                <w:color w:val="auto"/>
                <w:szCs w:val="21"/>
                <w:highlight w:val="none"/>
              </w:rPr>
              <w:t>挥发</w:t>
            </w:r>
            <w:r>
              <w:rPr>
                <w:rFonts w:hint="eastAsia" w:ascii="Times New Roman" w:hAnsi="Times New Roman" w:cs="Times New Roman"/>
                <w:color w:val="auto"/>
                <w:szCs w:val="21"/>
                <w:highlight w:val="none"/>
                <w:lang w:val="en-US" w:eastAsia="zh-CN"/>
              </w:rPr>
              <w:t>性</w:t>
            </w:r>
            <w:r>
              <w:rPr>
                <w:rFonts w:hint="default" w:ascii="Times New Roman" w:hAnsi="Times New Roman" w:cs="Times New Roman"/>
                <w:color w:val="auto"/>
                <w:szCs w:val="21"/>
                <w:highlight w:val="none"/>
              </w:rPr>
              <w:t>酚</w:t>
            </w:r>
            <w:r>
              <w:rPr>
                <w:rFonts w:hint="eastAsia" w:ascii="Times New Roman" w:hAnsi="Times New Roman" w:cs="Times New Roman"/>
                <w:color w:val="auto"/>
                <w:szCs w:val="21"/>
                <w:highlight w:val="none"/>
                <w:lang w:val="en-US" w:eastAsia="zh-CN"/>
              </w:rPr>
              <w:t>类</w:t>
            </w:r>
            <w:bookmarkEnd w:id="346"/>
            <w:bookmarkEnd w:id="347"/>
          </w:p>
        </w:tc>
        <w:tc>
          <w:tcPr>
            <w:tcW w:w="276" w:type="pct"/>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0"/>
                <w:szCs w:val="21"/>
                <w:highlight w:val="none"/>
                <w:vertAlign w:val="baseline"/>
                <w:lang w:val="en-US" w:eastAsia="zh-CN"/>
              </w:rPr>
              <w:t>mg/L</w:t>
            </w:r>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48" w:name="_Toc23285"/>
            <w:bookmarkStart w:id="349" w:name="_Toc7810"/>
            <w:r>
              <w:rPr>
                <w:rFonts w:hint="eastAsia" w:ascii="Times New Roman" w:hAnsi="Times New Roman" w:eastAsia="宋体" w:cs="Times New Roman"/>
                <w:color w:val="auto"/>
                <w:szCs w:val="21"/>
                <w:highlight w:val="none"/>
                <w:lang w:val="en-US" w:eastAsia="zh-CN"/>
              </w:rPr>
              <w:t>未检出</w:t>
            </w:r>
            <w:bookmarkEnd w:id="348"/>
            <w:bookmarkEnd w:id="34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50" w:name="_Toc8527"/>
            <w:bookmarkStart w:id="351" w:name="_Toc19324"/>
            <w:r>
              <w:rPr>
                <w:rFonts w:hint="eastAsia" w:ascii="Times New Roman" w:hAnsi="Times New Roman" w:eastAsia="宋体" w:cs="Times New Roman"/>
                <w:color w:val="auto"/>
                <w:szCs w:val="21"/>
                <w:highlight w:val="none"/>
                <w:lang w:val="en-US" w:eastAsia="zh-CN"/>
              </w:rPr>
              <w:t>未检出</w:t>
            </w:r>
            <w:bookmarkEnd w:id="350"/>
            <w:bookmarkEnd w:id="35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52" w:name="_Toc9882"/>
            <w:bookmarkStart w:id="353" w:name="_Toc4576"/>
            <w:r>
              <w:rPr>
                <w:rFonts w:hint="eastAsia" w:ascii="Times New Roman" w:hAnsi="Times New Roman" w:eastAsia="宋体" w:cs="Times New Roman"/>
                <w:color w:val="auto"/>
                <w:szCs w:val="21"/>
                <w:highlight w:val="none"/>
                <w:lang w:val="en-US" w:eastAsia="zh-CN"/>
              </w:rPr>
              <w:t>未检出</w:t>
            </w:r>
            <w:bookmarkEnd w:id="352"/>
            <w:bookmarkEnd w:id="35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54" w:name="_Toc14204"/>
            <w:bookmarkStart w:id="355" w:name="_Toc20433"/>
            <w:r>
              <w:rPr>
                <w:rFonts w:hint="eastAsia" w:ascii="Times New Roman" w:hAnsi="Times New Roman" w:eastAsia="宋体" w:cs="Times New Roman"/>
                <w:color w:val="auto"/>
                <w:szCs w:val="21"/>
                <w:highlight w:val="none"/>
                <w:lang w:val="en-US" w:eastAsia="zh-CN"/>
              </w:rPr>
              <w:t>未检出</w:t>
            </w:r>
            <w:bookmarkEnd w:id="354"/>
            <w:bookmarkEnd w:id="35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56" w:name="_Toc23108"/>
            <w:bookmarkStart w:id="357" w:name="_Toc16981"/>
            <w:r>
              <w:rPr>
                <w:rFonts w:hint="eastAsia" w:ascii="Times New Roman" w:hAnsi="Times New Roman" w:eastAsia="宋体" w:cs="Times New Roman"/>
                <w:color w:val="auto"/>
                <w:szCs w:val="21"/>
                <w:highlight w:val="none"/>
                <w:lang w:val="en-US" w:eastAsia="zh-CN"/>
              </w:rPr>
              <w:t>未检出</w:t>
            </w:r>
            <w:bookmarkEnd w:id="356"/>
            <w:bookmarkEnd w:id="35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58" w:name="_Toc32071"/>
            <w:bookmarkStart w:id="359" w:name="_Toc5119"/>
            <w:r>
              <w:rPr>
                <w:rFonts w:hint="eastAsia" w:ascii="Times New Roman" w:hAnsi="Times New Roman" w:eastAsia="宋体" w:cs="Times New Roman"/>
                <w:color w:val="auto"/>
                <w:szCs w:val="21"/>
                <w:highlight w:val="none"/>
                <w:lang w:val="en-US" w:eastAsia="zh-CN"/>
              </w:rPr>
              <w:t>未检出</w:t>
            </w:r>
            <w:bookmarkEnd w:id="358"/>
            <w:bookmarkEnd w:id="35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60" w:name="_Toc24473"/>
            <w:bookmarkStart w:id="361" w:name="_Toc2131"/>
            <w:r>
              <w:rPr>
                <w:rFonts w:hint="eastAsia" w:ascii="Times New Roman" w:hAnsi="Times New Roman" w:eastAsia="宋体" w:cs="Times New Roman"/>
                <w:color w:val="auto"/>
                <w:szCs w:val="21"/>
                <w:highlight w:val="none"/>
                <w:lang w:val="en-US" w:eastAsia="zh-CN"/>
              </w:rPr>
              <w:t>未检出</w:t>
            </w:r>
            <w:bookmarkEnd w:id="360"/>
            <w:bookmarkEnd w:id="36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62" w:name="_Toc144"/>
            <w:bookmarkStart w:id="363" w:name="_Toc20037"/>
            <w:r>
              <w:rPr>
                <w:rFonts w:hint="eastAsia" w:ascii="Times New Roman" w:hAnsi="Times New Roman" w:eastAsia="宋体" w:cs="Times New Roman"/>
                <w:color w:val="auto"/>
                <w:szCs w:val="21"/>
                <w:highlight w:val="none"/>
                <w:lang w:val="en-US" w:eastAsia="zh-CN"/>
              </w:rPr>
              <w:t>未检出</w:t>
            </w:r>
            <w:bookmarkEnd w:id="362"/>
            <w:bookmarkEnd w:id="36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64" w:name="_Toc9376"/>
            <w:bookmarkStart w:id="365" w:name="_Toc6731"/>
            <w:r>
              <w:rPr>
                <w:rFonts w:hint="eastAsia" w:ascii="Times New Roman" w:hAnsi="Times New Roman" w:eastAsia="宋体" w:cs="Times New Roman"/>
                <w:color w:val="auto"/>
                <w:szCs w:val="21"/>
                <w:highlight w:val="none"/>
                <w:lang w:val="en-US" w:eastAsia="zh-CN"/>
              </w:rPr>
              <w:t>未检出</w:t>
            </w:r>
            <w:bookmarkEnd w:id="364"/>
            <w:bookmarkEnd w:id="365"/>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66" w:name="_Toc9031"/>
            <w:bookmarkStart w:id="367" w:name="_Toc11466"/>
            <w:r>
              <w:rPr>
                <w:rFonts w:hint="eastAsia" w:ascii="Times New Roman" w:hAnsi="Times New Roman" w:eastAsia="宋体" w:cs="Times New Roman"/>
                <w:color w:val="auto"/>
                <w:szCs w:val="21"/>
                <w:highlight w:val="none"/>
                <w:lang w:val="en-US" w:eastAsia="zh-CN"/>
              </w:rPr>
              <w:t>未检出</w:t>
            </w:r>
            <w:bookmarkEnd w:id="366"/>
            <w:bookmarkEnd w:id="367"/>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bidi="ar-SA"/>
              </w:rPr>
            </w:pPr>
            <w:bookmarkStart w:id="368" w:name="_Toc24987"/>
            <w:bookmarkStart w:id="369" w:name="_Toc10027"/>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0.002</w:t>
            </w:r>
            <w:bookmarkEnd w:id="368"/>
            <w:bookmarkEnd w:id="369"/>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370" w:name="_Toc31095"/>
            <w:bookmarkStart w:id="371" w:name="_Toc28572"/>
            <w:r>
              <w:rPr>
                <w:rFonts w:hint="eastAsia" w:ascii="Times New Roman" w:hAnsi="Times New Roman" w:cs="Times New Roman"/>
                <w:color w:val="auto"/>
                <w:szCs w:val="21"/>
                <w:highlight w:val="none"/>
                <w:lang w:val="en-US" w:eastAsia="zh-CN"/>
              </w:rPr>
              <w:t>16</w:t>
            </w:r>
            <w:bookmarkEnd w:id="370"/>
            <w:bookmarkEnd w:id="371"/>
          </w:p>
        </w:tc>
        <w:tc>
          <w:tcPr>
            <w:tcW w:w="458"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default" w:ascii="Times New Roman" w:hAnsi="Times New Roman" w:cs="Times New Roman"/>
                <w:color w:val="auto"/>
                <w:szCs w:val="21"/>
                <w:highlight w:val="none"/>
                <w:lang w:val="en-US" w:eastAsia="zh-CN"/>
              </w:rPr>
            </w:pPr>
            <w:bookmarkStart w:id="372" w:name="_Toc23882"/>
            <w:bookmarkStart w:id="373" w:name="_Toc24313"/>
            <w:r>
              <w:rPr>
                <w:rFonts w:hint="default" w:ascii="Times New Roman" w:hAnsi="Times New Roman" w:cs="Times New Roman"/>
                <w:color w:val="auto"/>
                <w:szCs w:val="21"/>
                <w:highlight w:val="none"/>
                <w:lang w:val="en-US" w:eastAsia="zh-CN"/>
              </w:rPr>
              <w:t>耗氧量</w:t>
            </w:r>
            <w:bookmarkEnd w:id="372"/>
            <w:bookmarkEnd w:id="373"/>
          </w:p>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374" w:name="_Toc972"/>
            <w:bookmarkStart w:id="375" w:name="_Toc10368"/>
            <w:r>
              <w:rPr>
                <w:rFonts w:hint="default" w:ascii="Times New Roman" w:hAnsi="Times New Roman" w:cs="Times New Roman"/>
                <w:color w:val="auto"/>
                <w:szCs w:val="21"/>
                <w:highlight w:val="none"/>
                <w:lang w:val="en-US" w:eastAsia="zh-CN"/>
              </w:rPr>
              <w:t>（以O</w:t>
            </w:r>
            <w:r>
              <w:rPr>
                <w:rFonts w:hint="default" w:ascii="Times New Roman" w:hAnsi="Times New Roman" w:cs="Times New Roman"/>
                <w:color w:val="auto"/>
                <w:szCs w:val="21"/>
                <w:highlight w:val="none"/>
                <w:vertAlign w:val="subscript"/>
                <w:lang w:val="en-US" w:eastAsia="zh-CN"/>
              </w:rPr>
              <w:t>2</w:t>
            </w:r>
            <w:r>
              <w:rPr>
                <w:rFonts w:hint="default" w:ascii="Times New Roman" w:hAnsi="Times New Roman" w:cs="Times New Roman"/>
                <w:color w:val="auto"/>
                <w:szCs w:val="21"/>
                <w:highlight w:val="none"/>
                <w:lang w:val="en-US" w:eastAsia="zh-CN"/>
              </w:rPr>
              <w:t>计）</w:t>
            </w:r>
            <w:bookmarkEnd w:id="374"/>
            <w:bookmarkEnd w:id="375"/>
          </w:p>
        </w:tc>
        <w:tc>
          <w:tcPr>
            <w:tcW w:w="276"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376" w:name="_Toc28673"/>
            <w:bookmarkStart w:id="377" w:name="_Toc24007"/>
            <w:r>
              <w:rPr>
                <w:rFonts w:hint="default" w:ascii="Times New Roman" w:hAnsi="Times New Roman" w:cs="Times New Roman"/>
                <w:color w:val="auto"/>
                <w:szCs w:val="21"/>
                <w:highlight w:val="none"/>
                <w:lang w:val="en-US" w:eastAsia="zh-CN"/>
              </w:rPr>
              <w:t>mg/L</w:t>
            </w:r>
            <w:bookmarkEnd w:id="376"/>
            <w:bookmarkEnd w:id="37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78" w:name="_Toc11373"/>
            <w:bookmarkStart w:id="379" w:name="_Toc23809"/>
            <w:r>
              <w:rPr>
                <w:rFonts w:hint="eastAsia" w:ascii="Times New Roman" w:hAnsi="Times New Roman" w:eastAsia="宋体" w:cs="Times New Roman"/>
                <w:color w:val="auto"/>
                <w:szCs w:val="21"/>
                <w:highlight w:val="none"/>
                <w:lang w:val="en-US" w:eastAsia="zh-CN"/>
              </w:rPr>
              <w:t>2.1</w:t>
            </w:r>
            <w:bookmarkEnd w:id="378"/>
            <w:bookmarkEnd w:id="37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80" w:name="_Toc209"/>
            <w:bookmarkStart w:id="381" w:name="_Toc5826"/>
            <w:r>
              <w:rPr>
                <w:rFonts w:hint="eastAsia" w:ascii="Times New Roman" w:hAnsi="Times New Roman" w:eastAsia="宋体" w:cs="Times New Roman"/>
                <w:color w:val="auto"/>
                <w:szCs w:val="21"/>
                <w:highlight w:val="none"/>
                <w:lang w:val="en-US" w:eastAsia="zh-CN"/>
              </w:rPr>
              <w:t>1.9</w:t>
            </w:r>
            <w:bookmarkEnd w:id="380"/>
            <w:bookmarkEnd w:id="38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82" w:name="_Toc26210"/>
            <w:bookmarkStart w:id="383" w:name="_Toc24418"/>
            <w:r>
              <w:rPr>
                <w:rFonts w:hint="eastAsia" w:ascii="Times New Roman" w:hAnsi="Times New Roman" w:eastAsia="宋体" w:cs="Times New Roman"/>
                <w:color w:val="auto"/>
                <w:szCs w:val="21"/>
                <w:highlight w:val="none"/>
                <w:lang w:val="en-US" w:eastAsia="zh-CN"/>
              </w:rPr>
              <w:t>1.8</w:t>
            </w:r>
            <w:bookmarkEnd w:id="382"/>
            <w:bookmarkEnd w:id="38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84" w:name="_Toc22344"/>
            <w:bookmarkStart w:id="385" w:name="_Toc1641"/>
            <w:r>
              <w:rPr>
                <w:rFonts w:hint="eastAsia" w:ascii="Times New Roman" w:hAnsi="Times New Roman" w:eastAsia="宋体" w:cs="Times New Roman"/>
                <w:color w:val="auto"/>
                <w:szCs w:val="21"/>
                <w:highlight w:val="none"/>
                <w:lang w:val="en-US" w:eastAsia="zh-CN"/>
              </w:rPr>
              <w:t>1.7</w:t>
            </w:r>
            <w:bookmarkEnd w:id="384"/>
            <w:bookmarkEnd w:id="385"/>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86" w:name="_Toc1878"/>
            <w:bookmarkStart w:id="387" w:name="_Toc8689"/>
            <w:r>
              <w:rPr>
                <w:rFonts w:hint="eastAsia" w:ascii="Times New Roman" w:hAnsi="Times New Roman" w:eastAsia="宋体" w:cs="Times New Roman"/>
                <w:color w:val="auto"/>
                <w:szCs w:val="21"/>
                <w:highlight w:val="none"/>
                <w:lang w:val="en-US" w:eastAsia="zh-CN"/>
              </w:rPr>
              <w:t>2.0</w:t>
            </w:r>
            <w:bookmarkEnd w:id="386"/>
            <w:bookmarkEnd w:id="38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88" w:name="_Toc29658"/>
            <w:bookmarkStart w:id="389" w:name="_Toc10230"/>
            <w:r>
              <w:rPr>
                <w:rFonts w:hint="eastAsia" w:ascii="Times New Roman" w:hAnsi="Times New Roman" w:eastAsia="宋体" w:cs="Times New Roman"/>
                <w:color w:val="auto"/>
                <w:szCs w:val="21"/>
                <w:highlight w:val="none"/>
                <w:lang w:val="en-US" w:eastAsia="zh-CN"/>
              </w:rPr>
              <w:t>2.1</w:t>
            </w:r>
            <w:bookmarkEnd w:id="388"/>
            <w:bookmarkEnd w:id="38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90" w:name="_Toc2727"/>
            <w:bookmarkStart w:id="391" w:name="_Toc2958"/>
            <w:r>
              <w:rPr>
                <w:rFonts w:hint="eastAsia" w:ascii="Times New Roman" w:hAnsi="Times New Roman" w:eastAsia="宋体" w:cs="Times New Roman"/>
                <w:color w:val="auto"/>
                <w:szCs w:val="21"/>
                <w:highlight w:val="none"/>
                <w:lang w:val="en-US" w:eastAsia="zh-CN"/>
              </w:rPr>
              <w:t>1.8</w:t>
            </w:r>
            <w:bookmarkEnd w:id="390"/>
            <w:bookmarkEnd w:id="39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92" w:name="_Toc16718"/>
            <w:bookmarkStart w:id="393" w:name="_Toc31257"/>
            <w:r>
              <w:rPr>
                <w:rFonts w:hint="eastAsia" w:ascii="Times New Roman" w:hAnsi="Times New Roman" w:eastAsia="宋体" w:cs="Times New Roman"/>
                <w:color w:val="auto"/>
                <w:szCs w:val="21"/>
                <w:highlight w:val="none"/>
                <w:lang w:val="en-US" w:eastAsia="zh-CN"/>
              </w:rPr>
              <w:t>1.9</w:t>
            </w:r>
            <w:bookmarkEnd w:id="392"/>
            <w:bookmarkEnd w:id="39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94" w:name="_Toc17382"/>
            <w:bookmarkStart w:id="395" w:name="_Toc11170"/>
            <w:r>
              <w:rPr>
                <w:rFonts w:hint="eastAsia" w:ascii="Times New Roman" w:hAnsi="Times New Roman" w:eastAsia="宋体" w:cs="Times New Roman"/>
                <w:color w:val="auto"/>
                <w:szCs w:val="21"/>
                <w:highlight w:val="none"/>
                <w:lang w:val="en-US" w:eastAsia="zh-CN"/>
              </w:rPr>
              <w:t>2.2</w:t>
            </w:r>
            <w:bookmarkEnd w:id="394"/>
            <w:bookmarkEnd w:id="395"/>
          </w:p>
        </w:tc>
        <w:tc>
          <w:tcPr>
            <w:tcW w:w="1059"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396" w:name="_Toc603"/>
            <w:bookmarkStart w:id="397" w:name="_Toc17153"/>
            <w:r>
              <w:rPr>
                <w:rFonts w:hint="eastAsia" w:ascii="Times New Roman" w:hAnsi="Times New Roman" w:eastAsia="宋体" w:cs="Times New Roman"/>
                <w:color w:val="auto"/>
                <w:szCs w:val="21"/>
                <w:highlight w:val="none"/>
                <w:lang w:val="en-US" w:eastAsia="zh-CN"/>
              </w:rPr>
              <w:t>1.8</w:t>
            </w:r>
            <w:bookmarkEnd w:id="396"/>
            <w:bookmarkEnd w:id="397"/>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仿宋" w:cs="仿宋"/>
                <w:snapToGrid w:val="0"/>
                <w:color w:val="auto"/>
                <w:kern w:val="0"/>
                <w:sz w:val="21"/>
                <w:szCs w:val="21"/>
                <w:highlight w:val="none"/>
                <w:lang w:val="en-US" w:eastAsia="zh-CN" w:bidi="ar-SA"/>
              </w:rPr>
            </w:pPr>
            <w:bookmarkStart w:id="398" w:name="_Toc21438"/>
            <w:bookmarkStart w:id="399" w:name="_Toc345"/>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3.0</w:t>
            </w:r>
            <w:bookmarkEnd w:id="398"/>
            <w:bookmarkEnd w:id="399"/>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400" w:name="_Toc23260"/>
            <w:bookmarkStart w:id="401" w:name="_Toc24519"/>
            <w:r>
              <w:rPr>
                <w:rFonts w:hint="eastAsia" w:ascii="Times New Roman" w:hAnsi="Times New Roman" w:cs="Times New Roman"/>
                <w:color w:val="auto"/>
                <w:szCs w:val="21"/>
                <w:highlight w:val="none"/>
                <w:lang w:val="en-US" w:eastAsia="zh-CN"/>
              </w:rPr>
              <w:t>17</w:t>
            </w:r>
            <w:bookmarkEnd w:id="400"/>
            <w:bookmarkEnd w:id="401"/>
          </w:p>
        </w:tc>
        <w:tc>
          <w:tcPr>
            <w:tcW w:w="458"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402" w:name="_Toc21192"/>
            <w:bookmarkStart w:id="403" w:name="_Toc8163"/>
            <w:r>
              <w:rPr>
                <w:rFonts w:hint="default" w:ascii="Times New Roman" w:hAnsi="Times New Roman" w:cs="Times New Roman"/>
                <w:color w:val="auto"/>
                <w:szCs w:val="21"/>
                <w:highlight w:val="none"/>
                <w:lang w:val="en-US" w:eastAsia="zh-CN"/>
              </w:rPr>
              <w:t>氟化物</w:t>
            </w:r>
            <w:bookmarkEnd w:id="402"/>
            <w:bookmarkEnd w:id="403"/>
          </w:p>
        </w:tc>
        <w:tc>
          <w:tcPr>
            <w:tcW w:w="276"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cs="Times New Roman"/>
                <w:color w:val="auto"/>
                <w:szCs w:val="21"/>
                <w:highlight w:val="none"/>
                <w:lang w:val="en-US" w:eastAsia="zh-CN"/>
              </w:rPr>
            </w:pPr>
            <w:bookmarkStart w:id="404" w:name="_Toc32469"/>
            <w:bookmarkStart w:id="405" w:name="_Toc7452"/>
            <w:r>
              <w:rPr>
                <w:rFonts w:hint="default" w:ascii="Times New Roman" w:hAnsi="Times New Roman" w:cs="Times New Roman"/>
                <w:color w:val="auto"/>
                <w:szCs w:val="21"/>
                <w:highlight w:val="none"/>
                <w:lang w:val="en-US" w:eastAsia="zh-CN"/>
              </w:rPr>
              <w:t>mg/L</w:t>
            </w:r>
            <w:bookmarkEnd w:id="404"/>
            <w:bookmarkEnd w:id="40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06" w:name="_Toc28210"/>
            <w:bookmarkStart w:id="407" w:name="_Toc7091"/>
            <w:r>
              <w:rPr>
                <w:rFonts w:hint="eastAsia" w:ascii="Times New Roman" w:hAnsi="Times New Roman" w:eastAsia="宋体" w:cs="Times New Roman"/>
                <w:color w:val="auto"/>
                <w:szCs w:val="21"/>
                <w:highlight w:val="none"/>
                <w:lang w:val="en-US" w:eastAsia="zh-CN"/>
              </w:rPr>
              <w:t>0.211</w:t>
            </w:r>
            <w:bookmarkEnd w:id="406"/>
            <w:bookmarkEnd w:id="40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08" w:name="_Toc4473"/>
            <w:bookmarkStart w:id="409" w:name="_Toc22428"/>
            <w:r>
              <w:rPr>
                <w:rFonts w:hint="eastAsia" w:ascii="Times New Roman" w:hAnsi="Times New Roman" w:eastAsia="宋体" w:cs="Times New Roman"/>
                <w:color w:val="auto"/>
                <w:szCs w:val="21"/>
                <w:highlight w:val="none"/>
                <w:lang w:val="en-US" w:eastAsia="zh-CN"/>
              </w:rPr>
              <w:t>0.109</w:t>
            </w:r>
            <w:bookmarkEnd w:id="408"/>
            <w:bookmarkEnd w:id="40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10" w:name="_Toc8327"/>
            <w:bookmarkStart w:id="411" w:name="_Toc31926"/>
            <w:r>
              <w:rPr>
                <w:rFonts w:hint="eastAsia" w:ascii="Times New Roman" w:hAnsi="Times New Roman" w:eastAsia="宋体" w:cs="Times New Roman"/>
                <w:color w:val="auto"/>
                <w:szCs w:val="21"/>
                <w:highlight w:val="none"/>
                <w:lang w:val="en-US" w:eastAsia="zh-CN"/>
              </w:rPr>
              <w:t>0.250</w:t>
            </w:r>
            <w:bookmarkEnd w:id="410"/>
            <w:bookmarkEnd w:id="41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12" w:name="_Toc67"/>
            <w:bookmarkStart w:id="413" w:name="_Toc9405"/>
            <w:r>
              <w:rPr>
                <w:rFonts w:hint="eastAsia" w:ascii="Times New Roman" w:hAnsi="Times New Roman" w:eastAsia="宋体" w:cs="Times New Roman"/>
                <w:color w:val="auto"/>
                <w:szCs w:val="21"/>
                <w:highlight w:val="none"/>
                <w:lang w:val="en-US" w:eastAsia="zh-CN"/>
              </w:rPr>
              <w:t>0.248</w:t>
            </w:r>
            <w:bookmarkEnd w:id="412"/>
            <w:bookmarkEnd w:id="41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14" w:name="_Toc25850"/>
            <w:bookmarkStart w:id="415" w:name="_Toc28651"/>
            <w:r>
              <w:rPr>
                <w:rFonts w:hint="eastAsia" w:ascii="Times New Roman" w:hAnsi="Times New Roman" w:eastAsia="宋体" w:cs="Times New Roman"/>
                <w:color w:val="auto"/>
                <w:szCs w:val="21"/>
                <w:highlight w:val="none"/>
                <w:lang w:val="en-US" w:eastAsia="zh-CN"/>
              </w:rPr>
              <w:t>0.619</w:t>
            </w:r>
            <w:bookmarkEnd w:id="414"/>
            <w:bookmarkEnd w:id="41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16" w:name="_Toc27437"/>
            <w:bookmarkStart w:id="417" w:name="_Toc26849"/>
            <w:r>
              <w:rPr>
                <w:rFonts w:hint="eastAsia" w:ascii="Times New Roman" w:hAnsi="Times New Roman" w:eastAsia="宋体" w:cs="Times New Roman"/>
                <w:color w:val="auto"/>
                <w:szCs w:val="21"/>
                <w:highlight w:val="none"/>
                <w:lang w:val="en-US" w:eastAsia="zh-CN"/>
              </w:rPr>
              <w:t>0.296</w:t>
            </w:r>
            <w:bookmarkEnd w:id="416"/>
            <w:bookmarkEnd w:id="41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18" w:name="_Toc29760"/>
            <w:bookmarkStart w:id="419" w:name="_Toc2220"/>
            <w:r>
              <w:rPr>
                <w:rFonts w:hint="eastAsia" w:ascii="Times New Roman" w:hAnsi="Times New Roman" w:eastAsia="宋体" w:cs="Times New Roman"/>
                <w:color w:val="auto"/>
                <w:szCs w:val="21"/>
                <w:highlight w:val="none"/>
                <w:lang w:val="en-US" w:eastAsia="zh-CN"/>
              </w:rPr>
              <w:t>0.389</w:t>
            </w:r>
            <w:bookmarkEnd w:id="418"/>
            <w:bookmarkEnd w:id="41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20" w:name="_Toc31411"/>
            <w:bookmarkStart w:id="421" w:name="_Toc7152"/>
            <w:r>
              <w:rPr>
                <w:rFonts w:hint="eastAsia" w:ascii="Times New Roman" w:hAnsi="Times New Roman" w:eastAsia="宋体" w:cs="Times New Roman"/>
                <w:color w:val="auto"/>
                <w:szCs w:val="21"/>
                <w:highlight w:val="none"/>
                <w:lang w:val="en-US" w:eastAsia="zh-CN"/>
              </w:rPr>
              <w:t>0.344</w:t>
            </w:r>
            <w:bookmarkEnd w:id="420"/>
            <w:bookmarkEnd w:id="42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22" w:name="_Toc7194"/>
            <w:bookmarkStart w:id="423" w:name="_Toc23123"/>
            <w:r>
              <w:rPr>
                <w:rFonts w:hint="eastAsia" w:ascii="Times New Roman" w:hAnsi="Times New Roman" w:eastAsia="宋体" w:cs="Times New Roman"/>
                <w:color w:val="auto"/>
                <w:szCs w:val="21"/>
                <w:highlight w:val="none"/>
                <w:lang w:val="en-US" w:eastAsia="zh-CN"/>
              </w:rPr>
              <w:t>0.425</w:t>
            </w:r>
            <w:bookmarkEnd w:id="422"/>
            <w:bookmarkEnd w:id="423"/>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24" w:name="_Toc20068"/>
            <w:bookmarkStart w:id="425" w:name="_Toc17476"/>
            <w:r>
              <w:rPr>
                <w:rFonts w:hint="eastAsia" w:ascii="Times New Roman" w:hAnsi="Times New Roman" w:eastAsia="宋体" w:cs="Times New Roman"/>
                <w:color w:val="auto"/>
                <w:szCs w:val="21"/>
                <w:highlight w:val="none"/>
                <w:lang w:val="en-US" w:eastAsia="zh-CN"/>
              </w:rPr>
              <w:t>0.534</w:t>
            </w:r>
            <w:bookmarkEnd w:id="424"/>
            <w:bookmarkEnd w:id="425"/>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仿宋" w:cs="仿宋"/>
                <w:snapToGrid w:val="0"/>
                <w:color w:val="auto"/>
                <w:kern w:val="0"/>
                <w:sz w:val="21"/>
                <w:szCs w:val="21"/>
                <w:highlight w:val="none"/>
                <w:lang w:val="en-US" w:eastAsia="zh-CN" w:bidi="ar-SA"/>
              </w:rPr>
            </w:pPr>
            <w:bookmarkStart w:id="426" w:name="_Toc1751"/>
            <w:bookmarkStart w:id="427" w:name="_Toc15670"/>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1.0</w:t>
            </w:r>
            <w:bookmarkEnd w:id="426"/>
            <w:bookmarkEnd w:id="42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18</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428" w:name="_Toc17445"/>
            <w:bookmarkStart w:id="429" w:name="_Toc11992"/>
            <w:r>
              <w:rPr>
                <w:rFonts w:hint="default" w:ascii="Times New Roman" w:hAnsi="Times New Roman" w:cs="Times New Roman"/>
                <w:color w:val="auto"/>
                <w:szCs w:val="21"/>
                <w:highlight w:val="none"/>
              </w:rPr>
              <w:t>汞</w:t>
            </w:r>
            <w:bookmarkEnd w:id="428"/>
            <w:bookmarkEnd w:id="429"/>
          </w:p>
        </w:tc>
        <w:tc>
          <w:tcPr>
            <w:tcW w:w="276" w:type="pct"/>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0"/>
                <w:szCs w:val="21"/>
                <w:highlight w:val="none"/>
                <w:vertAlign w:val="baseline"/>
                <w:lang w:val="en-US" w:eastAsia="zh-CN"/>
              </w:rPr>
              <w:t>mg/L</w:t>
            </w:r>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30" w:name="_Toc21719"/>
            <w:bookmarkStart w:id="431" w:name="_Toc18392"/>
            <w:r>
              <w:rPr>
                <w:rFonts w:hint="eastAsia" w:ascii="Times New Roman" w:hAnsi="Times New Roman" w:eastAsia="宋体" w:cs="Times New Roman"/>
                <w:color w:val="auto"/>
                <w:szCs w:val="21"/>
                <w:highlight w:val="none"/>
                <w:lang w:val="en-US" w:eastAsia="zh-CN"/>
              </w:rPr>
              <w:t>未检出</w:t>
            </w:r>
            <w:bookmarkEnd w:id="430"/>
            <w:bookmarkEnd w:id="43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32" w:name="_Toc31531"/>
            <w:bookmarkStart w:id="433" w:name="_Toc321"/>
            <w:r>
              <w:rPr>
                <w:rFonts w:hint="eastAsia" w:ascii="Times New Roman" w:hAnsi="Times New Roman" w:eastAsia="宋体" w:cs="Times New Roman"/>
                <w:color w:val="auto"/>
                <w:szCs w:val="21"/>
                <w:highlight w:val="none"/>
                <w:lang w:val="en-US" w:eastAsia="zh-CN"/>
              </w:rPr>
              <w:t>未检出</w:t>
            </w:r>
            <w:bookmarkEnd w:id="432"/>
            <w:bookmarkEnd w:id="43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34" w:name="_Toc19998"/>
            <w:bookmarkStart w:id="435" w:name="_Toc30593"/>
            <w:r>
              <w:rPr>
                <w:rFonts w:hint="eastAsia" w:ascii="Times New Roman" w:hAnsi="Times New Roman" w:eastAsia="宋体" w:cs="Times New Roman"/>
                <w:color w:val="auto"/>
                <w:szCs w:val="21"/>
                <w:highlight w:val="none"/>
                <w:lang w:val="en-US" w:eastAsia="zh-CN"/>
              </w:rPr>
              <w:t>未检出</w:t>
            </w:r>
            <w:bookmarkEnd w:id="434"/>
            <w:bookmarkEnd w:id="43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36" w:name="_Toc24118"/>
            <w:bookmarkStart w:id="437" w:name="_Toc22003"/>
            <w:r>
              <w:rPr>
                <w:rFonts w:hint="eastAsia" w:ascii="Times New Roman" w:hAnsi="Times New Roman" w:eastAsia="宋体" w:cs="Times New Roman"/>
                <w:color w:val="auto"/>
                <w:szCs w:val="21"/>
                <w:highlight w:val="none"/>
                <w:lang w:val="en-US" w:eastAsia="zh-CN"/>
              </w:rPr>
              <w:t>未检出</w:t>
            </w:r>
            <w:bookmarkEnd w:id="436"/>
            <w:bookmarkEnd w:id="43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38" w:name="_Toc9751"/>
            <w:bookmarkStart w:id="439" w:name="_Toc23017"/>
            <w:r>
              <w:rPr>
                <w:rFonts w:hint="eastAsia" w:ascii="Times New Roman" w:hAnsi="Times New Roman" w:eastAsia="宋体" w:cs="Times New Roman"/>
                <w:color w:val="auto"/>
                <w:szCs w:val="21"/>
                <w:highlight w:val="none"/>
                <w:lang w:val="en-US" w:eastAsia="zh-CN"/>
              </w:rPr>
              <w:t>未检出</w:t>
            </w:r>
            <w:bookmarkEnd w:id="438"/>
            <w:bookmarkEnd w:id="43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40" w:name="_Toc431"/>
            <w:bookmarkStart w:id="441" w:name="_Toc29390"/>
            <w:r>
              <w:rPr>
                <w:rFonts w:hint="eastAsia" w:ascii="Times New Roman" w:hAnsi="Times New Roman" w:eastAsia="宋体" w:cs="Times New Roman"/>
                <w:color w:val="auto"/>
                <w:szCs w:val="21"/>
                <w:highlight w:val="none"/>
                <w:lang w:val="en-US" w:eastAsia="zh-CN"/>
              </w:rPr>
              <w:t>未检出</w:t>
            </w:r>
            <w:bookmarkEnd w:id="440"/>
            <w:bookmarkEnd w:id="44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42" w:name="_Toc16908"/>
            <w:bookmarkStart w:id="443" w:name="_Toc29138"/>
            <w:r>
              <w:rPr>
                <w:rFonts w:hint="eastAsia" w:ascii="Times New Roman" w:hAnsi="Times New Roman" w:eastAsia="宋体" w:cs="Times New Roman"/>
                <w:color w:val="auto"/>
                <w:szCs w:val="21"/>
                <w:highlight w:val="none"/>
                <w:lang w:val="en-US" w:eastAsia="zh-CN"/>
              </w:rPr>
              <w:t>未检出</w:t>
            </w:r>
            <w:bookmarkEnd w:id="442"/>
            <w:bookmarkEnd w:id="44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44" w:name="_Toc8696"/>
            <w:bookmarkStart w:id="445" w:name="_Toc3747"/>
            <w:r>
              <w:rPr>
                <w:rFonts w:hint="eastAsia" w:ascii="Times New Roman" w:hAnsi="Times New Roman" w:eastAsia="宋体" w:cs="Times New Roman"/>
                <w:color w:val="auto"/>
                <w:szCs w:val="21"/>
                <w:highlight w:val="none"/>
                <w:lang w:val="en-US" w:eastAsia="zh-CN"/>
              </w:rPr>
              <w:t>未检出</w:t>
            </w:r>
            <w:bookmarkEnd w:id="444"/>
            <w:bookmarkEnd w:id="44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46" w:name="_Toc17863"/>
            <w:bookmarkStart w:id="447" w:name="_Toc4057"/>
            <w:r>
              <w:rPr>
                <w:rFonts w:hint="eastAsia" w:ascii="Times New Roman" w:hAnsi="Times New Roman" w:eastAsia="宋体" w:cs="Times New Roman"/>
                <w:color w:val="auto"/>
                <w:szCs w:val="21"/>
                <w:highlight w:val="none"/>
                <w:lang w:val="en-US" w:eastAsia="zh-CN"/>
              </w:rPr>
              <w:t>未检出</w:t>
            </w:r>
            <w:bookmarkEnd w:id="446"/>
            <w:bookmarkEnd w:id="447"/>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48" w:name="_Toc9728"/>
            <w:bookmarkStart w:id="449" w:name="_Toc2877"/>
            <w:r>
              <w:rPr>
                <w:rFonts w:hint="eastAsia" w:ascii="Times New Roman" w:hAnsi="Times New Roman" w:eastAsia="宋体" w:cs="Times New Roman"/>
                <w:color w:val="auto"/>
                <w:szCs w:val="21"/>
                <w:highlight w:val="none"/>
                <w:lang w:val="en-US" w:eastAsia="zh-CN"/>
              </w:rPr>
              <w:t>未检出</w:t>
            </w:r>
            <w:bookmarkEnd w:id="448"/>
            <w:bookmarkEnd w:id="449"/>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仿宋" w:cs="仿宋"/>
                <w:snapToGrid w:val="0"/>
                <w:color w:val="auto"/>
                <w:kern w:val="0"/>
                <w:sz w:val="21"/>
                <w:szCs w:val="21"/>
                <w:highlight w:val="none"/>
                <w:lang w:val="en-US" w:eastAsia="zh-CN" w:bidi="ar-SA"/>
              </w:rPr>
            </w:pPr>
            <w:bookmarkStart w:id="450" w:name="_Toc10519"/>
            <w:bookmarkStart w:id="451" w:name="_Toc16425"/>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0.001</w:t>
            </w:r>
            <w:bookmarkEnd w:id="450"/>
            <w:bookmarkEnd w:id="451"/>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19</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452" w:name="_Toc2444"/>
            <w:bookmarkStart w:id="453" w:name="_Toc22145"/>
            <w:r>
              <w:rPr>
                <w:rFonts w:hint="default" w:ascii="Times New Roman" w:hAnsi="Times New Roman" w:cs="Times New Roman"/>
                <w:color w:val="auto"/>
                <w:szCs w:val="21"/>
                <w:highlight w:val="none"/>
              </w:rPr>
              <w:t>砷</w:t>
            </w:r>
            <w:bookmarkEnd w:id="452"/>
            <w:bookmarkEnd w:id="453"/>
          </w:p>
        </w:tc>
        <w:tc>
          <w:tcPr>
            <w:tcW w:w="276" w:type="pct"/>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0"/>
                <w:szCs w:val="21"/>
                <w:highlight w:val="none"/>
                <w:vertAlign w:val="baseline"/>
                <w:lang w:val="en-US" w:eastAsia="zh-CN"/>
              </w:rPr>
              <w:t>mg/L</w:t>
            </w:r>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54" w:name="_Toc1120"/>
            <w:bookmarkStart w:id="455" w:name="_Toc7328"/>
            <w:r>
              <w:rPr>
                <w:rFonts w:hint="eastAsia" w:ascii="Times New Roman" w:hAnsi="Times New Roman" w:eastAsia="宋体" w:cs="Times New Roman"/>
                <w:color w:val="auto"/>
                <w:szCs w:val="21"/>
                <w:highlight w:val="none"/>
                <w:lang w:val="en-US" w:eastAsia="zh-CN"/>
              </w:rPr>
              <w:t>未检出</w:t>
            </w:r>
            <w:bookmarkEnd w:id="454"/>
            <w:bookmarkEnd w:id="45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56" w:name="_Toc24221"/>
            <w:bookmarkStart w:id="457" w:name="_Toc2523"/>
            <w:r>
              <w:rPr>
                <w:rFonts w:hint="eastAsia" w:ascii="Times New Roman" w:hAnsi="Times New Roman" w:eastAsia="宋体" w:cs="Times New Roman"/>
                <w:color w:val="auto"/>
                <w:szCs w:val="21"/>
                <w:highlight w:val="none"/>
                <w:lang w:val="en-US" w:eastAsia="zh-CN"/>
              </w:rPr>
              <w:t>未检出</w:t>
            </w:r>
            <w:bookmarkEnd w:id="456"/>
            <w:bookmarkEnd w:id="45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58" w:name="_Toc30676"/>
            <w:bookmarkStart w:id="459" w:name="_Toc3118"/>
            <w:r>
              <w:rPr>
                <w:rFonts w:hint="eastAsia" w:ascii="Times New Roman" w:hAnsi="Times New Roman" w:eastAsia="宋体" w:cs="Times New Roman"/>
                <w:color w:val="auto"/>
                <w:szCs w:val="21"/>
                <w:highlight w:val="none"/>
                <w:lang w:val="en-US" w:eastAsia="zh-CN"/>
              </w:rPr>
              <w:t>未检出</w:t>
            </w:r>
            <w:bookmarkEnd w:id="458"/>
            <w:bookmarkEnd w:id="45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60" w:name="_Toc14669"/>
            <w:bookmarkStart w:id="461" w:name="_Toc28570"/>
            <w:r>
              <w:rPr>
                <w:rFonts w:hint="eastAsia" w:ascii="Times New Roman" w:hAnsi="Times New Roman" w:eastAsia="宋体" w:cs="Times New Roman"/>
                <w:color w:val="auto"/>
                <w:szCs w:val="21"/>
                <w:highlight w:val="none"/>
                <w:lang w:val="en-US" w:eastAsia="zh-CN"/>
              </w:rPr>
              <w:t>未检出</w:t>
            </w:r>
            <w:bookmarkEnd w:id="460"/>
            <w:bookmarkEnd w:id="46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62" w:name="_Toc3609"/>
            <w:bookmarkStart w:id="463" w:name="_Toc7973"/>
            <w:r>
              <w:rPr>
                <w:rFonts w:hint="eastAsia" w:ascii="Times New Roman" w:hAnsi="Times New Roman" w:eastAsia="宋体" w:cs="Times New Roman"/>
                <w:color w:val="auto"/>
                <w:szCs w:val="21"/>
                <w:highlight w:val="none"/>
                <w:lang w:val="en-US" w:eastAsia="zh-CN"/>
              </w:rPr>
              <w:t>未检出</w:t>
            </w:r>
            <w:bookmarkEnd w:id="462"/>
            <w:bookmarkEnd w:id="46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64" w:name="_Toc4977"/>
            <w:bookmarkStart w:id="465" w:name="_Toc14834"/>
            <w:r>
              <w:rPr>
                <w:rFonts w:hint="eastAsia" w:ascii="Times New Roman" w:hAnsi="Times New Roman" w:eastAsia="宋体" w:cs="Times New Roman"/>
                <w:color w:val="auto"/>
                <w:szCs w:val="21"/>
                <w:highlight w:val="none"/>
                <w:lang w:val="en-US" w:eastAsia="zh-CN"/>
              </w:rPr>
              <w:t>未检出</w:t>
            </w:r>
            <w:bookmarkEnd w:id="464"/>
            <w:bookmarkEnd w:id="46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66" w:name="_Toc2242"/>
            <w:bookmarkStart w:id="467" w:name="_Toc27653"/>
            <w:r>
              <w:rPr>
                <w:rFonts w:hint="eastAsia" w:ascii="Times New Roman" w:hAnsi="Times New Roman" w:eastAsia="宋体" w:cs="Times New Roman"/>
                <w:color w:val="auto"/>
                <w:szCs w:val="21"/>
                <w:highlight w:val="none"/>
                <w:lang w:val="en-US" w:eastAsia="zh-CN"/>
              </w:rPr>
              <w:t>未检出</w:t>
            </w:r>
            <w:bookmarkEnd w:id="466"/>
            <w:bookmarkEnd w:id="46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68" w:name="_Toc29216"/>
            <w:bookmarkStart w:id="469" w:name="_Toc4259"/>
            <w:r>
              <w:rPr>
                <w:rFonts w:hint="eastAsia" w:ascii="Times New Roman" w:hAnsi="Times New Roman" w:eastAsia="宋体" w:cs="Times New Roman"/>
                <w:color w:val="auto"/>
                <w:szCs w:val="21"/>
                <w:highlight w:val="none"/>
                <w:lang w:val="en-US" w:eastAsia="zh-CN"/>
              </w:rPr>
              <w:t>未检出</w:t>
            </w:r>
            <w:bookmarkEnd w:id="468"/>
            <w:bookmarkEnd w:id="46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70" w:name="_Toc23116"/>
            <w:bookmarkStart w:id="471" w:name="_Toc7975"/>
            <w:r>
              <w:rPr>
                <w:rFonts w:hint="eastAsia" w:ascii="Times New Roman" w:hAnsi="Times New Roman" w:eastAsia="宋体" w:cs="Times New Roman"/>
                <w:color w:val="auto"/>
                <w:szCs w:val="21"/>
                <w:highlight w:val="none"/>
                <w:lang w:val="en-US" w:eastAsia="zh-CN"/>
              </w:rPr>
              <w:t>未检出</w:t>
            </w:r>
            <w:bookmarkEnd w:id="470"/>
            <w:bookmarkEnd w:id="471"/>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72" w:name="_Toc993"/>
            <w:bookmarkStart w:id="473" w:name="_Toc10288"/>
            <w:r>
              <w:rPr>
                <w:rFonts w:hint="eastAsia" w:ascii="Times New Roman" w:hAnsi="Times New Roman" w:eastAsia="宋体" w:cs="Times New Roman"/>
                <w:color w:val="auto"/>
                <w:szCs w:val="21"/>
                <w:highlight w:val="none"/>
                <w:lang w:val="en-US" w:eastAsia="zh-CN"/>
              </w:rPr>
              <w:t>未检出</w:t>
            </w:r>
            <w:bookmarkEnd w:id="472"/>
            <w:bookmarkEnd w:id="473"/>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仿宋" w:cs="仿宋"/>
                <w:snapToGrid w:val="0"/>
                <w:color w:val="auto"/>
                <w:kern w:val="0"/>
                <w:sz w:val="21"/>
                <w:szCs w:val="21"/>
                <w:highlight w:val="none"/>
                <w:lang w:val="en-US" w:eastAsia="zh-CN" w:bidi="ar-SA"/>
              </w:rPr>
            </w:pPr>
            <w:bookmarkStart w:id="474" w:name="_Toc13314"/>
            <w:bookmarkStart w:id="475" w:name="_Toc12874"/>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0.01</w:t>
            </w:r>
            <w:bookmarkEnd w:id="474"/>
            <w:bookmarkEnd w:id="475"/>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476" w:name="_Toc7056"/>
            <w:bookmarkStart w:id="477" w:name="_Toc25458"/>
            <w:r>
              <w:rPr>
                <w:rFonts w:hint="default" w:ascii="Times New Roman" w:hAnsi="Times New Roman" w:cs="Times New Roman"/>
                <w:color w:val="auto"/>
                <w:szCs w:val="21"/>
                <w:highlight w:val="none"/>
              </w:rPr>
              <w:t>镉</w:t>
            </w:r>
            <w:bookmarkEnd w:id="476"/>
            <w:bookmarkEnd w:id="477"/>
          </w:p>
        </w:tc>
        <w:tc>
          <w:tcPr>
            <w:tcW w:w="276" w:type="pct"/>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0"/>
                <w:szCs w:val="21"/>
                <w:highlight w:val="none"/>
                <w:vertAlign w:val="baseline"/>
                <w:lang w:val="en-US" w:eastAsia="zh-CN"/>
              </w:rPr>
              <w:t>mg/L</w:t>
            </w:r>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78" w:name="_Toc600"/>
            <w:bookmarkStart w:id="479" w:name="_Toc9073"/>
            <w:r>
              <w:rPr>
                <w:rFonts w:hint="eastAsia" w:ascii="Times New Roman" w:hAnsi="Times New Roman" w:eastAsia="宋体" w:cs="Times New Roman"/>
                <w:color w:val="auto"/>
                <w:szCs w:val="21"/>
                <w:highlight w:val="none"/>
                <w:lang w:val="en-US" w:eastAsia="zh-CN"/>
              </w:rPr>
              <w:t>未检出</w:t>
            </w:r>
            <w:bookmarkEnd w:id="478"/>
            <w:bookmarkEnd w:id="47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80" w:name="_Toc29026"/>
            <w:bookmarkStart w:id="481" w:name="_Toc6133"/>
            <w:r>
              <w:rPr>
                <w:rFonts w:hint="eastAsia" w:ascii="Times New Roman" w:hAnsi="Times New Roman" w:eastAsia="宋体" w:cs="Times New Roman"/>
                <w:color w:val="auto"/>
                <w:szCs w:val="21"/>
                <w:highlight w:val="none"/>
                <w:lang w:val="en-US" w:eastAsia="zh-CN"/>
              </w:rPr>
              <w:t>未检出</w:t>
            </w:r>
            <w:bookmarkEnd w:id="480"/>
            <w:bookmarkEnd w:id="48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82" w:name="_Toc1221"/>
            <w:bookmarkStart w:id="483" w:name="_Toc21089"/>
            <w:r>
              <w:rPr>
                <w:rFonts w:hint="eastAsia" w:ascii="Times New Roman" w:hAnsi="Times New Roman" w:eastAsia="宋体" w:cs="Times New Roman"/>
                <w:color w:val="auto"/>
                <w:szCs w:val="21"/>
                <w:highlight w:val="none"/>
                <w:lang w:val="en-US" w:eastAsia="zh-CN"/>
              </w:rPr>
              <w:t>未检出</w:t>
            </w:r>
            <w:bookmarkEnd w:id="482"/>
            <w:bookmarkEnd w:id="48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84" w:name="_Toc31428"/>
            <w:bookmarkStart w:id="485" w:name="_Toc2340"/>
            <w:r>
              <w:rPr>
                <w:rFonts w:hint="eastAsia" w:ascii="Times New Roman" w:hAnsi="Times New Roman" w:eastAsia="宋体" w:cs="Times New Roman"/>
                <w:color w:val="auto"/>
                <w:szCs w:val="21"/>
                <w:highlight w:val="none"/>
                <w:lang w:val="en-US" w:eastAsia="zh-CN"/>
              </w:rPr>
              <w:t>未检出</w:t>
            </w:r>
            <w:bookmarkEnd w:id="484"/>
            <w:bookmarkEnd w:id="48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86" w:name="_Toc24155"/>
            <w:bookmarkStart w:id="487" w:name="_Toc24031"/>
            <w:r>
              <w:rPr>
                <w:rFonts w:hint="eastAsia" w:ascii="Times New Roman" w:hAnsi="Times New Roman" w:eastAsia="宋体" w:cs="Times New Roman"/>
                <w:color w:val="auto"/>
                <w:szCs w:val="21"/>
                <w:highlight w:val="none"/>
                <w:lang w:val="en-US" w:eastAsia="zh-CN"/>
              </w:rPr>
              <w:t>未检出</w:t>
            </w:r>
            <w:bookmarkEnd w:id="486"/>
            <w:bookmarkEnd w:id="48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88" w:name="_Toc12866"/>
            <w:bookmarkStart w:id="489" w:name="_Toc8667"/>
            <w:r>
              <w:rPr>
                <w:rFonts w:hint="eastAsia" w:ascii="Times New Roman" w:hAnsi="Times New Roman" w:eastAsia="宋体" w:cs="Times New Roman"/>
                <w:color w:val="auto"/>
                <w:szCs w:val="21"/>
                <w:highlight w:val="none"/>
                <w:lang w:val="en-US" w:eastAsia="zh-CN"/>
              </w:rPr>
              <w:t>未检出</w:t>
            </w:r>
            <w:bookmarkEnd w:id="488"/>
            <w:bookmarkEnd w:id="48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90" w:name="_Toc15282"/>
            <w:bookmarkStart w:id="491" w:name="_Toc6224"/>
            <w:r>
              <w:rPr>
                <w:rFonts w:hint="eastAsia" w:ascii="Times New Roman" w:hAnsi="Times New Roman" w:eastAsia="宋体" w:cs="Times New Roman"/>
                <w:color w:val="auto"/>
                <w:szCs w:val="21"/>
                <w:highlight w:val="none"/>
                <w:lang w:val="en-US" w:eastAsia="zh-CN"/>
              </w:rPr>
              <w:t>未检出</w:t>
            </w:r>
            <w:bookmarkEnd w:id="490"/>
            <w:bookmarkEnd w:id="49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92" w:name="_Toc19558"/>
            <w:bookmarkStart w:id="493" w:name="_Toc4842"/>
            <w:r>
              <w:rPr>
                <w:rFonts w:hint="eastAsia" w:ascii="Times New Roman" w:hAnsi="Times New Roman" w:eastAsia="宋体" w:cs="Times New Roman"/>
                <w:color w:val="auto"/>
                <w:szCs w:val="21"/>
                <w:highlight w:val="none"/>
                <w:lang w:val="en-US" w:eastAsia="zh-CN"/>
              </w:rPr>
              <w:t>未检出</w:t>
            </w:r>
            <w:bookmarkEnd w:id="492"/>
            <w:bookmarkEnd w:id="49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94" w:name="_Toc22943"/>
            <w:bookmarkStart w:id="495" w:name="_Toc7665"/>
            <w:r>
              <w:rPr>
                <w:rFonts w:hint="eastAsia" w:ascii="Times New Roman" w:hAnsi="Times New Roman" w:eastAsia="宋体" w:cs="Times New Roman"/>
                <w:color w:val="auto"/>
                <w:szCs w:val="21"/>
                <w:highlight w:val="none"/>
                <w:lang w:val="en-US" w:eastAsia="zh-CN"/>
              </w:rPr>
              <w:t>未检出</w:t>
            </w:r>
            <w:bookmarkEnd w:id="494"/>
            <w:bookmarkEnd w:id="495"/>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496" w:name="_Toc12451"/>
            <w:bookmarkStart w:id="497" w:name="_Toc15945"/>
            <w:r>
              <w:rPr>
                <w:rFonts w:hint="eastAsia" w:ascii="Times New Roman" w:hAnsi="Times New Roman" w:eastAsia="宋体" w:cs="Times New Roman"/>
                <w:color w:val="auto"/>
                <w:szCs w:val="21"/>
                <w:highlight w:val="none"/>
                <w:lang w:val="en-US" w:eastAsia="zh-CN"/>
              </w:rPr>
              <w:t>未检出</w:t>
            </w:r>
            <w:bookmarkEnd w:id="496"/>
            <w:bookmarkEnd w:id="497"/>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仿宋" w:cs="仿宋"/>
                <w:snapToGrid w:val="0"/>
                <w:color w:val="auto"/>
                <w:kern w:val="0"/>
                <w:sz w:val="21"/>
                <w:szCs w:val="21"/>
                <w:highlight w:val="none"/>
                <w:lang w:val="en-US" w:eastAsia="zh-CN" w:bidi="ar-SA"/>
              </w:rPr>
            </w:pPr>
            <w:bookmarkStart w:id="498" w:name="_Toc32387"/>
            <w:bookmarkStart w:id="499" w:name="_Toc32284"/>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0.005</w:t>
            </w:r>
            <w:bookmarkEnd w:id="498"/>
            <w:bookmarkEnd w:id="499"/>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21</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500" w:name="_Toc25174"/>
            <w:bookmarkStart w:id="501" w:name="_Toc31106"/>
            <w:r>
              <w:rPr>
                <w:rFonts w:hint="default" w:ascii="Times New Roman" w:hAnsi="Times New Roman" w:cs="Times New Roman"/>
                <w:color w:val="auto"/>
                <w:szCs w:val="21"/>
                <w:highlight w:val="none"/>
                <w:lang w:eastAsia="zh-CN"/>
              </w:rPr>
              <w:t>六价</w:t>
            </w:r>
            <w:r>
              <w:rPr>
                <w:rFonts w:hint="default" w:ascii="Times New Roman" w:hAnsi="Times New Roman" w:cs="Times New Roman"/>
                <w:color w:val="auto"/>
                <w:szCs w:val="21"/>
                <w:highlight w:val="none"/>
              </w:rPr>
              <w:t>铬</w:t>
            </w:r>
            <w:bookmarkEnd w:id="500"/>
            <w:bookmarkEnd w:id="501"/>
          </w:p>
        </w:tc>
        <w:tc>
          <w:tcPr>
            <w:tcW w:w="276" w:type="pct"/>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0"/>
                <w:szCs w:val="21"/>
                <w:highlight w:val="none"/>
                <w:vertAlign w:val="baseline"/>
                <w:lang w:val="en-US" w:eastAsia="zh-CN"/>
              </w:rPr>
              <w:t>mg/L</w:t>
            </w:r>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02" w:name="_Toc17190"/>
            <w:bookmarkStart w:id="503" w:name="_Toc14126"/>
            <w:r>
              <w:rPr>
                <w:rFonts w:hint="eastAsia" w:ascii="Times New Roman" w:hAnsi="Times New Roman" w:eastAsia="宋体" w:cs="Times New Roman"/>
                <w:color w:val="auto"/>
                <w:szCs w:val="21"/>
                <w:highlight w:val="none"/>
                <w:lang w:val="en-US" w:eastAsia="zh-CN"/>
              </w:rPr>
              <w:t>未检出</w:t>
            </w:r>
            <w:bookmarkEnd w:id="502"/>
            <w:bookmarkEnd w:id="50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04" w:name="_Toc24046"/>
            <w:bookmarkStart w:id="505" w:name="_Toc3356"/>
            <w:r>
              <w:rPr>
                <w:rFonts w:hint="eastAsia" w:ascii="Times New Roman" w:hAnsi="Times New Roman" w:eastAsia="宋体" w:cs="Times New Roman"/>
                <w:color w:val="auto"/>
                <w:szCs w:val="21"/>
                <w:highlight w:val="none"/>
                <w:lang w:val="en-US" w:eastAsia="zh-CN"/>
              </w:rPr>
              <w:t>未检出</w:t>
            </w:r>
            <w:bookmarkEnd w:id="504"/>
            <w:bookmarkEnd w:id="50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06" w:name="_Toc25824"/>
            <w:bookmarkStart w:id="507" w:name="_Toc19885"/>
            <w:r>
              <w:rPr>
                <w:rFonts w:hint="eastAsia" w:ascii="Times New Roman" w:hAnsi="Times New Roman" w:eastAsia="宋体" w:cs="Times New Roman"/>
                <w:color w:val="auto"/>
                <w:szCs w:val="21"/>
                <w:highlight w:val="none"/>
                <w:lang w:val="en-US" w:eastAsia="zh-CN"/>
              </w:rPr>
              <w:t>未检出</w:t>
            </w:r>
            <w:bookmarkEnd w:id="506"/>
            <w:bookmarkEnd w:id="50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08" w:name="_Toc14173"/>
            <w:bookmarkStart w:id="509" w:name="_Toc23897"/>
            <w:r>
              <w:rPr>
                <w:rFonts w:hint="eastAsia" w:ascii="Times New Roman" w:hAnsi="Times New Roman" w:eastAsia="宋体" w:cs="Times New Roman"/>
                <w:color w:val="auto"/>
                <w:szCs w:val="21"/>
                <w:highlight w:val="none"/>
                <w:lang w:val="en-US" w:eastAsia="zh-CN"/>
              </w:rPr>
              <w:t>未检出</w:t>
            </w:r>
            <w:bookmarkEnd w:id="508"/>
            <w:bookmarkEnd w:id="50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10" w:name="_Toc24789"/>
            <w:bookmarkStart w:id="511" w:name="_Toc21105"/>
            <w:r>
              <w:rPr>
                <w:rFonts w:hint="eastAsia" w:ascii="Times New Roman" w:hAnsi="Times New Roman" w:eastAsia="宋体" w:cs="Times New Roman"/>
                <w:color w:val="auto"/>
                <w:szCs w:val="21"/>
                <w:highlight w:val="none"/>
                <w:lang w:val="en-US" w:eastAsia="zh-CN"/>
              </w:rPr>
              <w:t>未检出</w:t>
            </w:r>
            <w:bookmarkEnd w:id="510"/>
            <w:bookmarkEnd w:id="51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12" w:name="_Toc14019"/>
            <w:bookmarkStart w:id="513" w:name="_Toc1102"/>
            <w:r>
              <w:rPr>
                <w:rFonts w:hint="eastAsia" w:ascii="Times New Roman" w:hAnsi="Times New Roman" w:eastAsia="宋体" w:cs="Times New Roman"/>
                <w:color w:val="auto"/>
                <w:szCs w:val="21"/>
                <w:highlight w:val="none"/>
                <w:lang w:val="en-US" w:eastAsia="zh-CN"/>
              </w:rPr>
              <w:t>未检出</w:t>
            </w:r>
            <w:bookmarkEnd w:id="512"/>
            <w:bookmarkEnd w:id="51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14" w:name="_Toc27689"/>
            <w:bookmarkStart w:id="515" w:name="_Toc30006"/>
            <w:r>
              <w:rPr>
                <w:rFonts w:hint="eastAsia" w:ascii="Times New Roman" w:hAnsi="Times New Roman" w:eastAsia="宋体" w:cs="Times New Roman"/>
                <w:color w:val="auto"/>
                <w:szCs w:val="21"/>
                <w:highlight w:val="none"/>
                <w:lang w:val="en-US" w:eastAsia="zh-CN"/>
              </w:rPr>
              <w:t>未检出</w:t>
            </w:r>
            <w:bookmarkEnd w:id="514"/>
            <w:bookmarkEnd w:id="51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16" w:name="_Toc8499"/>
            <w:bookmarkStart w:id="517" w:name="_Toc23514"/>
            <w:r>
              <w:rPr>
                <w:rFonts w:hint="eastAsia" w:ascii="Times New Roman" w:hAnsi="Times New Roman" w:eastAsia="宋体" w:cs="Times New Roman"/>
                <w:color w:val="auto"/>
                <w:szCs w:val="21"/>
                <w:highlight w:val="none"/>
                <w:lang w:val="en-US" w:eastAsia="zh-CN"/>
              </w:rPr>
              <w:t>未检出</w:t>
            </w:r>
            <w:bookmarkEnd w:id="516"/>
            <w:bookmarkEnd w:id="51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18" w:name="_Toc31947"/>
            <w:bookmarkStart w:id="519" w:name="_Toc10897"/>
            <w:r>
              <w:rPr>
                <w:rFonts w:hint="eastAsia" w:ascii="Times New Roman" w:hAnsi="Times New Roman" w:eastAsia="宋体" w:cs="Times New Roman"/>
                <w:color w:val="auto"/>
                <w:szCs w:val="21"/>
                <w:highlight w:val="none"/>
                <w:lang w:val="en-US" w:eastAsia="zh-CN"/>
              </w:rPr>
              <w:t>未检出</w:t>
            </w:r>
            <w:bookmarkEnd w:id="518"/>
            <w:bookmarkEnd w:id="519"/>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20" w:name="_Toc2600"/>
            <w:bookmarkStart w:id="521" w:name="_Toc10973"/>
            <w:r>
              <w:rPr>
                <w:rFonts w:hint="eastAsia" w:ascii="Times New Roman" w:hAnsi="Times New Roman" w:eastAsia="宋体" w:cs="Times New Roman"/>
                <w:color w:val="auto"/>
                <w:szCs w:val="21"/>
                <w:highlight w:val="none"/>
                <w:lang w:val="en-US" w:eastAsia="zh-CN"/>
              </w:rPr>
              <w:t>未检出</w:t>
            </w:r>
            <w:bookmarkEnd w:id="520"/>
            <w:bookmarkEnd w:id="521"/>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仿宋" w:cs="仿宋"/>
                <w:snapToGrid w:val="0"/>
                <w:color w:val="auto"/>
                <w:kern w:val="0"/>
                <w:sz w:val="21"/>
                <w:szCs w:val="21"/>
                <w:highlight w:val="none"/>
                <w:lang w:val="en-US" w:eastAsia="zh-CN" w:bidi="ar-SA"/>
              </w:rPr>
            </w:pPr>
            <w:bookmarkStart w:id="522" w:name="_Toc2853"/>
            <w:bookmarkStart w:id="523" w:name="_Toc19777"/>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0.05</w:t>
            </w:r>
            <w:bookmarkEnd w:id="522"/>
            <w:bookmarkEnd w:id="523"/>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22</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524" w:name="_Toc21094"/>
            <w:bookmarkStart w:id="525" w:name="_Toc4928"/>
            <w:r>
              <w:rPr>
                <w:rFonts w:hint="default" w:ascii="Times New Roman" w:hAnsi="Times New Roman" w:cs="Times New Roman"/>
                <w:color w:val="auto"/>
                <w:szCs w:val="21"/>
                <w:highlight w:val="none"/>
              </w:rPr>
              <w:t>铁</w:t>
            </w:r>
            <w:bookmarkEnd w:id="524"/>
            <w:bookmarkEnd w:id="525"/>
          </w:p>
        </w:tc>
        <w:tc>
          <w:tcPr>
            <w:tcW w:w="276" w:type="pct"/>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0"/>
                <w:szCs w:val="21"/>
                <w:highlight w:val="none"/>
                <w:vertAlign w:val="baseline"/>
                <w:lang w:val="en-US" w:eastAsia="zh-CN"/>
              </w:rPr>
              <w:t>mg/L</w:t>
            </w:r>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26" w:name="_Toc1739"/>
            <w:bookmarkStart w:id="527" w:name="_Toc1893"/>
            <w:r>
              <w:rPr>
                <w:rFonts w:hint="eastAsia" w:ascii="Times New Roman" w:hAnsi="Times New Roman" w:eastAsia="宋体" w:cs="Times New Roman"/>
                <w:color w:val="auto"/>
                <w:szCs w:val="21"/>
                <w:highlight w:val="none"/>
                <w:lang w:val="en-US" w:eastAsia="zh-CN"/>
              </w:rPr>
              <w:t>0.03L</w:t>
            </w:r>
            <w:bookmarkEnd w:id="526"/>
            <w:bookmarkEnd w:id="52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28" w:name="_Toc13450"/>
            <w:bookmarkStart w:id="529" w:name="_Toc24468"/>
            <w:r>
              <w:rPr>
                <w:rFonts w:hint="eastAsia" w:ascii="Times New Roman" w:hAnsi="Times New Roman" w:eastAsia="宋体" w:cs="Times New Roman"/>
                <w:color w:val="auto"/>
                <w:szCs w:val="21"/>
                <w:highlight w:val="none"/>
                <w:lang w:val="en-US" w:eastAsia="zh-CN"/>
              </w:rPr>
              <w:t>0.24</w:t>
            </w:r>
            <w:bookmarkEnd w:id="528"/>
            <w:bookmarkEnd w:id="52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30" w:name="_Toc4535"/>
            <w:bookmarkStart w:id="531" w:name="_Toc20055"/>
            <w:r>
              <w:rPr>
                <w:rFonts w:hint="eastAsia" w:ascii="Times New Roman" w:hAnsi="Times New Roman" w:eastAsia="宋体" w:cs="Times New Roman"/>
                <w:color w:val="auto"/>
                <w:szCs w:val="21"/>
                <w:highlight w:val="none"/>
                <w:lang w:val="en-US" w:eastAsia="zh-CN"/>
              </w:rPr>
              <w:t>0.20</w:t>
            </w:r>
            <w:bookmarkEnd w:id="530"/>
            <w:bookmarkEnd w:id="53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32" w:name="_Toc10923"/>
            <w:bookmarkStart w:id="533" w:name="_Toc9020"/>
            <w:r>
              <w:rPr>
                <w:rFonts w:hint="eastAsia" w:ascii="Times New Roman" w:hAnsi="Times New Roman" w:eastAsia="宋体" w:cs="Times New Roman"/>
                <w:color w:val="auto"/>
                <w:szCs w:val="21"/>
                <w:highlight w:val="none"/>
                <w:lang w:val="en-US" w:eastAsia="zh-CN"/>
              </w:rPr>
              <w:t>0.21</w:t>
            </w:r>
            <w:bookmarkEnd w:id="532"/>
            <w:bookmarkEnd w:id="53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34" w:name="_Toc29545"/>
            <w:bookmarkStart w:id="535" w:name="_Toc23386"/>
            <w:r>
              <w:rPr>
                <w:rFonts w:hint="eastAsia" w:ascii="Times New Roman" w:hAnsi="Times New Roman" w:eastAsia="宋体" w:cs="Times New Roman"/>
                <w:color w:val="auto"/>
                <w:szCs w:val="21"/>
                <w:highlight w:val="none"/>
                <w:lang w:val="en-US" w:eastAsia="zh-CN"/>
              </w:rPr>
              <w:t>0.38</w:t>
            </w:r>
            <w:bookmarkEnd w:id="534"/>
            <w:bookmarkEnd w:id="535"/>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36" w:name="_Toc30089"/>
            <w:bookmarkStart w:id="537" w:name="_Toc14671"/>
            <w:r>
              <w:rPr>
                <w:rFonts w:hint="eastAsia" w:ascii="Times New Roman" w:hAnsi="Times New Roman" w:eastAsia="宋体" w:cs="Times New Roman"/>
                <w:color w:val="auto"/>
                <w:szCs w:val="21"/>
                <w:highlight w:val="none"/>
                <w:lang w:val="en-US" w:eastAsia="zh-CN"/>
              </w:rPr>
              <w:t>0.22</w:t>
            </w:r>
            <w:bookmarkEnd w:id="536"/>
            <w:bookmarkEnd w:id="53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38" w:name="_Toc13927"/>
            <w:bookmarkStart w:id="539" w:name="_Toc27282"/>
            <w:r>
              <w:rPr>
                <w:rFonts w:hint="eastAsia" w:ascii="Times New Roman" w:hAnsi="Times New Roman" w:eastAsia="宋体" w:cs="Times New Roman"/>
                <w:color w:val="auto"/>
                <w:szCs w:val="21"/>
                <w:highlight w:val="none"/>
                <w:lang w:val="en-US" w:eastAsia="zh-CN"/>
              </w:rPr>
              <w:t>0.28</w:t>
            </w:r>
            <w:bookmarkEnd w:id="538"/>
            <w:bookmarkEnd w:id="53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40" w:name="_Toc24362"/>
            <w:bookmarkStart w:id="541" w:name="_Toc1330"/>
            <w:r>
              <w:rPr>
                <w:rFonts w:hint="eastAsia" w:ascii="Times New Roman" w:hAnsi="Times New Roman" w:eastAsia="宋体" w:cs="Times New Roman"/>
                <w:color w:val="auto"/>
                <w:szCs w:val="21"/>
                <w:highlight w:val="none"/>
                <w:lang w:val="en-US" w:eastAsia="zh-CN"/>
              </w:rPr>
              <w:t>0.23</w:t>
            </w:r>
            <w:bookmarkEnd w:id="540"/>
            <w:bookmarkEnd w:id="54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42" w:name="_Toc28489"/>
            <w:bookmarkStart w:id="543" w:name="_Toc27390"/>
            <w:r>
              <w:rPr>
                <w:rFonts w:hint="eastAsia" w:ascii="Times New Roman" w:hAnsi="Times New Roman" w:eastAsia="宋体" w:cs="Times New Roman"/>
                <w:color w:val="auto"/>
                <w:szCs w:val="21"/>
                <w:highlight w:val="none"/>
                <w:lang w:val="en-US" w:eastAsia="zh-CN"/>
              </w:rPr>
              <w:t>0.19</w:t>
            </w:r>
            <w:bookmarkEnd w:id="542"/>
            <w:bookmarkEnd w:id="543"/>
          </w:p>
        </w:tc>
        <w:tc>
          <w:tcPr>
            <w:tcW w:w="1059"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44" w:name="_Toc29579"/>
            <w:bookmarkStart w:id="545" w:name="_Toc7326"/>
            <w:r>
              <w:rPr>
                <w:rFonts w:hint="eastAsia" w:ascii="Times New Roman" w:hAnsi="Times New Roman" w:eastAsia="宋体" w:cs="Times New Roman"/>
                <w:color w:val="auto"/>
                <w:szCs w:val="21"/>
                <w:highlight w:val="none"/>
                <w:lang w:val="en-US" w:eastAsia="zh-CN"/>
              </w:rPr>
              <w:t>0.28</w:t>
            </w:r>
            <w:bookmarkEnd w:id="544"/>
            <w:bookmarkEnd w:id="545"/>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仿宋" w:cs="仿宋"/>
                <w:snapToGrid w:val="0"/>
                <w:color w:val="auto"/>
                <w:kern w:val="0"/>
                <w:sz w:val="21"/>
                <w:szCs w:val="21"/>
                <w:highlight w:val="none"/>
                <w:lang w:val="en-US" w:eastAsia="zh-CN" w:bidi="ar-SA"/>
              </w:rPr>
            </w:pPr>
            <w:bookmarkStart w:id="546" w:name="_Toc4759"/>
            <w:bookmarkStart w:id="547" w:name="_Toc3427"/>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0.3</w:t>
            </w:r>
            <w:bookmarkEnd w:id="546"/>
            <w:bookmarkEnd w:id="54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23</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548" w:name="_Toc12688"/>
            <w:bookmarkStart w:id="549" w:name="_Toc16753"/>
            <w:r>
              <w:rPr>
                <w:rFonts w:hint="default" w:ascii="Times New Roman" w:hAnsi="Times New Roman" w:cs="Times New Roman"/>
                <w:color w:val="auto"/>
                <w:szCs w:val="21"/>
                <w:highlight w:val="none"/>
              </w:rPr>
              <w:t>锰</w:t>
            </w:r>
            <w:bookmarkEnd w:id="548"/>
            <w:bookmarkEnd w:id="549"/>
          </w:p>
        </w:tc>
        <w:tc>
          <w:tcPr>
            <w:tcW w:w="276" w:type="pct"/>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0"/>
                <w:szCs w:val="21"/>
                <w:highlight w:val="none"/>
                <w:vertAlign w:val="baseline"/>
                <w:lang w:val="en-US" w:eastAsia="zh-CN"/>
              </w:rPr>
              <w:t>mg/L</w:t>
            </w:r>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50" w:name="_Toc56"/>
            <w:bookmarkStart w:id="551" w:name="_Toc11691"/>
            <w:r>
              <w:rPr>
                <w:rFonts w:hint="eastAsia" w:ascii="Times New Roman" w:hAnsi="Times New Roman" w:eastAsia="宋体" w:cs="Times New Roman"/>
                <w:color w:val="auto"/>
                <w:szCs w:val="21"/>
                <w:highlight w:val="none"/>
                <w:lang w:val="en-US" w:eastAsia="zh-CN"/>
              </w:rPr>
              <w:t>0.01L</w:t>
            </w:r>
            <w:bookmarkEnd w:id="550"/>
            <w:bookmarkEnd w:id="55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52" w:name="_Toc21497"/>
            <w:bookmarkStart w:id="553" w:name="_Toc23351"/>
            <w:r>
              <w:rPr>
                <w:rFonts w:hint="eastAsia" w:ascii="Times New Roman" w:hAnsi="Times New Roman" w:eastAsia="宋体" w:cs="Times New Roman"/>
                <w:color w:val="auto"/>
                <w:szCs w:val="21"/>
                <w:highlight w:val="none"/>
                <w:lang w:val="en-US" w:eastAsia="zh-CN"/>
              </w:rPr>
              <w:t>0.11</w:t>
            </w:r>
            <w:bookmarkEnd w:id="552"/>
            <w:bookmarkEnd w:id="55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54" w:name="_Toc1447"/>
            <w:bookmarkStart w:id="555" w:name="_Toc9773"/>
            <w:r>
              <w:rPr>
                <w:rFonts w:hint="eastAsia" w:ascii="Times New Roman" w:hAnsi="Times New Roman" w:eastAsia="宋体" w:cs="Times New Roman"/>
                <w:color w:val="auto"/>
                <w:szCs w:val="21"/>
                <w:highlight w:val="none"/>
                <w:lang w:val="en-US" w:eastAsia="zh-CN"/>
              </w:rPr>
              <w:t>0.15</w:t>
            </w:r>
            <w:bookmarkEnd w:id="554"/>
            <w:bookmarkEnd w:id="555"/>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56" w:name="_Toc4670"/>
            <w:bookmarkStart w:id="557" w:name="_Toc24299"/>
            <w:r>
              <w:rPr>
                <w:rFonts w:hint="eastAsia" w:ascii="Times New Roman" w:hAnsi="Times New Roman" w:eastAsia="宋体" w:cs="Times New Roman"/>
                <w:color w:val="auto"/>
                <w:szCs w:val="21"/>
                <w:highlight w:val="none"/>
                <w:lang w:val="en-US" w:eastAsia="zh-CN"/>
              </w:rPr>
              <w:t>0.15</w:t>
            </w:r>
            <w:bookmarkEnd w:id="556"/>
            <w:bookmarkEnd w:id="55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58" w:name="_Toc27262"/>
            <w:bookmarkStart w:id="559" w:name="_Toc20035"/>
            <w:r>
              <w:rPr>
                <w:rFonts w:hint="eastAsia" w:ascii="Times New Roman" w:hAnsi="Times New Roman" w:eastAsia="宋体" w:cs="Times New Roman"/>
                <w:color w:val="auto"/>
                <w:szCs w:val="21"/>
                <w:highlight w:val="none"/>
                <w:lang w:val="en-US" w:eastAsia="zh-CN"/>
              </w:rPr>
              <w:t>0.22</w:t>
            </w:r>
            <w:bookmarkEnd w:id="558"/>
            <w:bookmarkEnd w:id="55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60" w:name="_Toc24773"/>
            <w:bookmarkStart w:id="561" w:name="_Toc24142"/>
            <w:r>
              <w:rPr>
                <w:rFonts w:hint="eastAsia" w:ascii="Times New Roman" w:hAnsi="Times New Roman" w:eastAsia="宋体" w:cs="Times New Roman"/>
                <w:color w:val="auto"/>
                <w:szCs w:val="21"/>
                <w:highlight w:val="none"/>
                <w:lang w:val="en-US" w:eastAsia="zh-CN"/>
              </w:rPr>
              <w:t>0.07</w:t>
            </w:r>
            <w:bookmarkEnd w:id="560"/>
            <w:bookmarkEnd w:id="56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62" w:name="_Toc20923"/>
            <w:bookmarkStart w:id="563" w:name="_Toc22388"/>
            <w:r>
              <w:rPr>
                <w:rFonts w:hint="eastAsia" w:ascii="Times New Roman" w:hAnsi="Times New Roman" w:eastAsia="宋体" w:cs="Times New Roman"/>
                <w:color w:val="auto"/>
                <w:szCs w:val="21"/>
                <w:highlight w:val="none"/>
                <w:lang w:val="en-US" w:eastAsia="zh-CN"/>
              </w:rPr>
              <w:t>0.08</w:t>
            </w:r>
            <w:bookmarkEnd w:id="562"/>
            <w:bookmarkEnd w:id="56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64" w:name="_Toc26031"/>
            <w:bookmarkStart w:id="565" w:name="_Toc20695"/>
            <w:r>
              <w:rPr>
                <w:rFonts w:hint="eastAsia" w:ascii="Times New Roman" w:hAnsi="Times New Roman" w:eastAsia="宋体" w:cs="Times New Roman"/>
                <w:color w:val="auto"/>
                <w:szCs w:val="21"/>
                <w:highlight w:val="none"/>
                <w:lang w:val="en-US" w:eastAsia="zh-CN"/>
              </w:rPr>
              <w:t>0.06</w:t>
            </w:r>
            <w:bookmarkEnd w:id="564"/>
            <w:bookmarkEnd w:id="565"/>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66" w:name="_Toc15167"/>
            <w:bookmarkStart w:id="567" w:name="_Toc10158"/>
            <w:r>
              <w:rPr>
                <w:rFonts w:hint="eastAsia" w:ascii="Times New Roman" w:hAnsi="Times New Roman" w:eastAsia="宋体" w:cs="Times New Roman"/>
                <w:color w:val="auto"/>
                <w:szCs w:val="21"/>
                <w:highlight w:val="none"/>
                <w:lang w:val="en-US" w:eastAsia="zh-CN"/>
              </w:rPr>
              <w:t>0.09</w:t>
            </w:r>
            <w:bookmarkEnd w:id="566"/>
            <w:bookmarkEnd w:id="567"/>
          </w:p>
        </w:tc>
        <w:tc>
          <w:tcPr>
            <w:tcW w:w="1059"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68" w:name="_Toc20113"/>
            <w:bookmarkStart w:id="569" w:name="_Toc27585"/>
            <w:r>
              <w:rPr>
                <w:rFonts w:hint="eastAsia" w:ascii="Times New Roman" w:hAnsi="Times New Roman" w:eastAsia="宋体" w:cs="Times New Roman"/>
                <w:color w:val="auto"/>
                <w:szCs w:val="21"/>
                <w:highlight w:val="none"/>
                <w:lang w:val="en-US" w:eastAsia="zh-CN"/>
              </w:rPr>
              <w:t>0.06</w:t>
            </w:r>
            <w:bookmarkEnd w:id="568"/>
            <w:bookmarkEnd w:id="569"/>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仿宋" w:cs="仿宋"/>
                <w:snapToGrid w:val="0"/>
                <w:color w:val="auto"/>
                <w:kern w:val="0"/>
                <w:sz w:val="21"/>
                <w:szCs w:val="21"/>
                <w:highlight w:val="none"/>
                <w:lang w:val="en-US" w:eastAsia="zh-CN" w:bidi="ar-SA"/>
              </w:rPr>
            </w:pPr>
            <w:bookmarkStart w:id="570" w:name="_Toc14966"/>
            <w:bookmarkStart w:id="571" w:name="_Toc22079"/>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0.10</w:t>
            </w:r>
            <w:bookmarkEnd w:id="570"/>
            <w:bookmarkEnd w:id="571"/>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24</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572" w:name="_Toc8073"/>
            <w:bookmarkStart w:id="573" w:name="_Toc293"/>
            <w:r>
              <w:rPr>
                <w:rFonts w:hint="default" w:ascii="Times New Roman" w:hAnsi="Times New Roman" w:cs="Times New Roman"/>
                <w:color w:val="auto"/>
                <w:szCs w:val="21"/>
                <w:highlight w:val="none"/>
              </w:rPr>
              <w:t>铅</w:t>
            </w:r>
            <w:bookmarkEnd w:id="572"/>
            <w:bookmarkEnd w:id="573"/>
          </w:p>
        </w:tc>
        <w:tc>
          <w:tcPr>
            <w:tcW w:w="276" w:type="pct"/>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0"/>
                <w:szCs w:val="21"/>
                <w:highlight w:val="none"/>
                <w:vertAlign w:val="baseline"/>
                <w:lang w:val="en-US" w:eastAsia="zh-CN"/>
              </w:rPr>
              <w:t>mg/L</w:t>
            </w:r>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74" w:name="_Toc22207"/>
            <w:bookmarkStart w:id="575" w:name="_Toc26111"/>
            <w:r>
              <w:rPr>
                <w:rFonts w:hint="eastAsia" w:ascii="Times New Roman" w:hAnsi="Times New Roman" w:eastAsia="宋体" w:cs="Times New Roman"/>
                <w:color w:val="auto"/>
                <w:szCs w:val="21"/>
                <w:highlight w:val="none"/>
                <w:lang w:val="en-US" w:eastAsia="zh-CN"/>
              </w:rPr>
              <w:t>未检出</w:t>
            </w:r>
            <w:bookmarkEnd w:id="574"/>
            <w:bookmarkEnd w:id="57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76" w:name="_Toc22719"/>
            <w:bookmarkStart w:id="577" w:name="_Toc7105"/>
            <w:r>
              <w:rPr>
                <w:rFonts w:hint="eastAsia" w:ascii="Times New Roman" w:hAnsi="Times New Roman" w:eastAsia="宋体" w:cs="Times New Roman"/>
                <w:color w:val="auto"/>
                <w:szCs w:val="21"/>
                <w:highlight w:val="none"/>
                <w:lang w:val="en-US" w:eastAsia="zh-CN"/>
              </w:rPr>
              <w:t>未检出</w:t>
            </w:r>
            <w:bookmarkEnd w:id="576"/>
            <w:bookmarkEnd w:id="57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78" w:name="_Toc29439"/>
            <w:bookmarkStart w:id="579" w:name="_Toc26311"/>
            <w:r>
              <w:rPr>
                <w:rFonts w:hint="eastAsia" w:ascii="Times New Roman" w:hAnsi="Times New Roman" w:eastAsia="宋体" w:cs="Times New Roman"/>
                <w:color w:val="auto"/>
                <w:szCs w:val="21"/>
                <w:highlight w:val="none"/>
                <w:lang w:val="en-US" w:eastAsia="zh-CN"/>
              </w:rPr>
              <w:t>未检出</w:t>
            </w:r>
            <w:bookmarkEnd w:id="578"/>
            <w:bookmarkEnd w:id="57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80" w:name="_Toc27458"/>
            <w:bookmarkStart w:id="581" w:name="_Toc2023"/>
            <w:r>
              <w:rPr>
                <w:rFonts w:hint="eastAsia" w:ascii="Times New Roman" w:hAnsi="Times New Roman" w:eastAsia="宋体" w:cs="Times New Roman"/>
                <w:color w:val="auto"/>
                <w:szCs w:val="21"/>
                <w:highlight w:val="none"/>
                <w:lang w:val="en-US" w:eastAsia="zh-CN"/>
              </w:rPr>
              <w:t>未检出</w:t>
            </w:r>
            <w:bookmarkEnd w:id="580"/>
            <w:bookmarkEnd w:id="58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82" w:name="_Toc28106"/>
            <w:bookmarkStart w:id="583" w:name="_Toc4344"/>
            <w:r>
              <w:rPr>
                <w:rFonts w:hint="eastAsia" w:ascii="Times New Roman" w:hAnsi="Times New Roman" w:eastAsia="宋体" w:cs="Times New Roman"/>
                <w:color w:val="auto"/>
                <w:szCs w:val="21"/>
                <w:highlight w:val="none"/>
                <w:lang w:val="en-US" w:eastAsia="zh-CN"/>
              </w:rPr>
              <w:t>未检出</w:t>
            </w:r>
            <w:bookmarkEnd w:id="582"/>
            <w:bookmarkEnd w:id="58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84" w:name="_Toc5976"/>
            <w:bookmarkStart w:id="585" w:name="_Toc9022"/>
            <w:r>
              <w:rPr>
                <w:rFonts w:hint="eastAsia" w:ascii="Times New Roman" w:hAnsi="Times New Roman" w:eastAsia="宋体" w:cs="Times New Roman"/>
                <w:color w:val="auto"/>
                <w:szCs w:val="21"/>
                <w:highlight w:val="none"/>
                <w:lang w:val="en-US" w:eastAsia="zh-CN"/>
              </w:rPr>
              <w:t>未检出</w:t>
            </w:r>
            <w:bookmarkEnd w:id="584"/>
            <w:bookmarkEnd w:id="58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86" w:name="_Toc29871"/>
            <w:bookmarkStart w:id="587" w:name="_Toc17642"/>
            <w:r>
              <w:rPr>
                <w:rFonts w:hint="eastAsia" w:ascii="Times New Roman" w:hAnsi="Times New Roman" w:eastAsia="宋体" w:cs="Times New Roman"/>
                <w:color w:val="auto"/>
                <w:szCs w:val="21"/>
                <w:highlight w:val="none"/>
                <w:lang w:val="en-US" w:eastAsia="zh-CN"/>
              </w:rPr>
              <w:t>未检出</w:t>
            </w:r>
            <w:bookmarkEnd w:id="586"/>
            <w:bookmarkEnd w:id="58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88" w:name="_Toc28216"/>
            <w:bookmarkStart w:id="589" w:name="_Toc19386"/>
            <w:r>
              <w:rPr>
                <w:rFonts w:hint="eastAsia" w:ascii="Times New Roman" w:hAnsi="Times New Roman" w:eastAsia="宋体" w:cs="Times New Roman"/>
                <w:color w:val="auto"/>
                <w:szCs w:val="21"/>
                <w:highlight w:val="none"/>
                <w:lang w:val="en-US" w:eastAsia="zh-CN"/>
              </w:rPr>
              <w:t>未检出</w:t>
            </w:r>
            <w:bookmarkEnd w:id="588"/>
            <w:bookmarkEnd w:id="58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90" w:name="_Toc2571"/>
            <w:bookmarkStart w:id="591" w:name="_Toc30744"/>
            <w:r>
              <w:rPr>
                <w:rFonts w:hint="eastAsia" w:ascii="Times New Roman" w:hAnsi="Times New Roman" w:eastAsia="宋体" w:cs="Times New Roman"/>
                <w:color w:val="auto"/>
                <w:szCs w:val="21"/>
                <w:highlight w:val="none"/>
                <w:lang w:val="en-US" w:eastAsia="zh-CN"/>
              </w:rPr>
              <w:t>未检出</w:t>
            </w:r>
            <w:bookmarkEnd w:id="590"/>
            <w:bookmarkEnd w:id="591"/>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92" w:name="_Toc26442"/>
            <w:bookmarkStart w:id="593" w:name="_Toc8814"/>
            <w:r>
              <w:rPr>
                <w:rFonts w:hint="eastAsia" w:ascii="Times New Roman" w:hAnsi="Times New Roman" w:eastAsia="宋体" w:cs="Times New Roman"/>
                <w:color w:val="auto"/>
                <w:szCs w:val="21"/>
                <w:highlight w:val="none"/>
                <w:lang w:val="en-US" w:eastAsia="zh-CN"/>
              </w:rPr>
              <w:t>未检出</w:t>
            </w:r>
            <w:bookmarkEnd w:id="592"/>
            <w:bookmarkEnd w:id="593"/>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仿宋" w:cs="仿宋"/>
                <w:snapToGrid w:val="0"/>
                <w:color w:val="auto"/>
                <w:kern w:val="0"/>
                <w:sz w:val="21"/>
                <w:szCs w:val="21"/>
                <w:highlight w:val="none"/>
                <w:lang w:val="en-US" w:eastAsia="zh-CN" w:bidi="ar-SA"/>
              </w:rPr>
            </w:pPr>
            <w:bookmarkStart w:id="594" w:name="_Toc2381"/>
            <w:bookmarkStart w:id="595" w:name="_Toc5526"/>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0.01</w:t>
            </w:r>
            <w:bookmarkEnd w:id="594"/>
            <w:bookmarkEnd w:id="595"/>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25</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596" w:name="_Toc28684"/>
            <w:bookmarkStart w:id="597" w:name="_Toc1658"/>
            <w:r>
              <w:rPr>
                <w:rFonts w:hint="default" w:ascii="Times New Roman" w:hAnsi="Times New Roman" w:cs="Times New Roman"/>
                <w:color w:val="auto"/>
                <w:szCs w:val="21"/>
                <w:highlight w:val="none"/>
              </w:rPr>
              <w:t>亚硝酸盐（以N计）</w:t>
            </w:r>
            <w:bookmarkEnd w:id="596"/>
            <w:bookmarkEnd w:id="597"/>
          </w:p>
        </w:tc>
        <w:tc>
          <w:tcPr>
            <w:tcW w:w="276" w:type="pct"/>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0"/>
                <w:szCs w:val="21"/>
                <w:highlight w:val="none"/>
                <w:vertAlign w:val="baseline"/>
                <w:lang w:val="en-US" w:eastAsia="zh-CN"/>
              </w:rPr>
              <w:t>mg/L</w:t>
            </w:r>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598" w:name="_Toc3909"/>
            <w:bookmarkStart w:id="599" w:name="_Toc19019"/>
            <w:r>
              <w:rPr>
                <w:rFonts w:hint="default" w:ascii="Times New Roman" w:hAnsi="Times New Roman" w:eastAsia="宋体" w:cs="Times New Roman"/>
                <w:color w:val="auto"/>
                <w:szCs w:val="21"/>
                <w:highlight w:val="none"/>
                <w:lang w:val="en-US" w:eastAsia="zh-CN"/>
              </w:rPr>
              <w:t>0.016L</w:t>
            </w:r>
            <w:bookmarkEnd w:id="598"/>
            <w:bookmarkEnd w:id="59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00" w:name="_Toc29085"/>
            <w:bookmarkStart w:id="601" w:name="_Toc29405"/>
            <w:r>
              <w:rPr>
                <w:rFonts w:hint="default" w:ascii="Times New Roman" w:hAnsi="Times New Roman" w:eastAsia="宋体" w:cs="Times New Roman"/>
                <w:color w:val="auto"/>
                <w:szCs w:val="21"/>
                <w:highlight w:val="none"/>
                <w:lang w:val="en-US" w:eastAsia="zh-CN"/>
              </w:rPr>
              <w:t>0.016L</w:t>
            </w:r>
            <w:bookmarkEnd w:id="600"/>
            <w:bookmarkEnd w:id="60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02" w:name="_Toc4446"/>
            <w:bookmarkStart w:id="603" w:name="_Toc16550"/>
            <w:r>
              <w:rPr>
                <w:rFonts w:hint="default" w:ascii="Times New Roman" w:hAnsi="Times New Roman" w:eastAsia="宋体" w:cs="Times New Roman"/>
                <w:color w:val="auto"/>
                <w:szCs w:val="21"/>
                <w:highlight w:val="none"/>
                <w:lang w:val="en-US" w:eastAsia="zh-CN"/>
              </w:rPr>
              <w:t>0.016L</w:t>
            </w:r>
            <w:bookmarkEnd w:id="602"/>
            <w:bookmarkEnd w:id="60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04" w:name="_Toc20587"/>
            <w:bookmarkStart w:id="605" w:name="_Toc3835"/>
            <w:r>
              <w:rPr>
                <w:rFonts w:hint="default" w:ascii="Times New Roman" w:hAnsi="Times New Roman" w:eastAsia="宋体" w:cs="Times New Roman"/>
                <w:color w:val="auto"/>
                <w:szCs w:val="21"/>
                <w:highlight w:val="none"/>
                <w:lang w:val="en-US" w:eastAsia="zh-CN"/>
              </w:rPr>
              <w:t>0.016L</w:t>
            </w:r>
            <w:bookmarkEnd w:id="604"/>
            <w:bookmarkEnd w:id="605"/>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06" w:name="_Toc4701"/>
            <w:bookmarkStart w:id="607" w:name="_Toc8261"/>
            <w:r>
              <w:rPr>
                <w:rFonts w:hint="eastAsia" w:ascii="Times New Roman" w:hAnsi="Times New Roman" w:eastAsia="宋体" w:cs="Times New Roman"/>
                <w:color w:val="auto"/>
                <w:szCs w:val="21"/>
                <w:highlight w:val="none"/>
                <w:lang w:val="en-US" w:eastAsia="zh-CN"/>
              </w:rPr>
              <w:t>2.35</w:t>
            </w:r>
            <w:bookmarkEnd w:id="606"/>
            <w:bookmarkEnd w:id="60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08" w:name="_Toc13220"/>
            <w:bookmarkStart w:id="609" w:name="_Toc6922"/>
            <w:r>
              <w:rPr>
                <w:rFonts w:hint="default" w:ascii="Times New Roman" w:hAnsi="Times New Roman" w:eastAsia="宋体" w:cs="Times New Roman"/>
                <w:color w:val="auto"/>
                <w:szCs w:val="21"/>
                <w:highlight w:val="none"/>
                <w:lang w:val="en-US" w:eastAsia="zh-CN"/>
              </w:rPr>
              <w:t>0.016L</w:t>
            </w:r>
            <w:bookmarkEnd w:id="608"/>
            <w:bookmarkEnd w:id="60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10" w:name="_Toc28343"/>
            <w:bookmarkStart w:id="611" w:name="_Toc13046"/>
            <w:r>
              <w:rPr>
                <w:rFonts w:hint="default" w:ascii="Times New Roman" w:hAnsi="Times New Roman" w:eastAsia="宋体" w:cs="Times New Roman"/>
                <w:color w:val="auto"/>
                <w:szCs w:val="21"/>
                <w:highlight w:val="none"/>
                <w:lang w:val="en-US" w:eastAsia="zh-CN"/>
              </w:rPr>
              <w:t>0.016L</w:t>
            </w:r>
            <w:bookmarkEnd w:id="610"/>
            <w:bookmarkEnd w:id="61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12" w:name="_Toc30723"/>
            <w:bookmarkStart w:id="613" w:name="_Toc544"/>
            <w:r>
              <w:rPr>
                <w:rFonts w:hint="default" w:ascii="Times New Roman" w:hAnsi="Times New Roman" w:eastAsia="宋体" w:cs="Times New Roman"/>
                <w:color w:val="auto"/>
                <w:szCs w:val="21"/>
                <w:highlight w:val="none"/>
                <w:lang w:val="en-US" w:eastAsia="zh-CN"/>
              </w:rPr>
              <w:t>0.016L</w:t>
            </w:r>
            <w:bookmarkEnd w:id="612"/>
            <w:bookmarkEnd w:id="61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14" w:name="_Toc9944"/>
            <w:bookmarkStart w:id="615" w:name="_Toc240"/>
            <w:r>
              <w:rPr>
                <w:rFonts w:hint="eastAsia" w:ascii="Times New Roman" w:hAnsi="Times New Roman" w:eastAsia="宋体" w:cs="Times New Roman"/>
                <w:color w:val="auto"/>
                <w:szCs w:val="21"/>
                <w:highlight w:val="none"/>
                <w:lang w:val="en-US" w:eastAsia="zh-CN"/>
              </w:rPr>
              <w:t>0.060</w:t>
            </w:r>
            <w:bookmarkEnd w:id="614"/>
            <w:bookmarkEnd w:id="615"/>
          </w:p>
        </w:tc>
        <w:tc>
          <w:tcPr>
            <w:tcW w:w="1059"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16" w:name="_Toc1161"/>
            <w:bookmarkStart w:id="617" w:name="_Toc29468"/>
            <w:r>
              <w:rPr>
                <w:rFonts w:hint="default" w:ascii="Times New Roman" w:hAnsi="Times New Roman" w:eastAsia="宋体" w:cs="Times New Roman"/>
                <w:color w:val="auto"/>
                <w:szCs w:val="21"/>
                <w:highlight w:val="none"/>
                <w:lang w:val="en-US" w:eastAsia="zh-CN"/>
              </w:rPr>
              <w:t>0.016L</w:t>
            </w:r>
            <w:bookmarkEnd w:id="616"/>
            <w:bookmarkEnd w:id="617"/>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仿宋" w:cs="仿宋"/>
                <w:snapToGrid w:val="0"/>
                <w:color w:val="auto"/>
                <w:kern w:val="0"/>
                <w:sz w:val="21"/>
                <w:szCs w:val="21"/>
                <w:highlight w:val="none"/>
                <w:lang w:val="en-US" w:eastAsia="zh-CN" w:bidi="ar-SA"/>
              </w:rPr>
            </w:pPr>
            <w:bookmarkStart w:id="618" w:name="_Toc27343"/>
            <w:bookmarkStart w:id="619" w:name="_Toc6455"/>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1.00</w:t>
            </w:r>
            <w:bookmarkEnd w:id="618"/>
            <w:bookmarkEnd w:id="619"/>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26</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620" w:name="_Toc1701"/>
            <w:bookmarkStart w:id="621" w:name="_Toc20797"/>
            <w:r>
              <w:rPr>
                <w:rFonts w:hint="default" w:ascii="Times New Roman" w:hAnsi="Times New Roman" w:cs="Times New Roman"/>
                <w:color w:val="auto"/>
                <w:szCs w:val="21"/>
                <w:highlight w:val="none"/>
              </w:rPr>
              <w:t>硝酸盐（以N计）</w:t>
            </w:r>
            <w:bookmarkEnd w:id="620"/>
            <w:bookmarkEnd w:id="621"/>
          </w:p>
        </w:tc>
        <w:tc>
          <w:tcPr>
            <w:tcW w:w="276" w:type="pct"/>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0"/>
                <w:szCs w:val="21"/>
                <w:highlight w:val="none"/>
                <w:vertAlign w:val="baseline"/>
                <w:lang w:val="en-US" w:eastAsia="zh-CN"/>
              </w:rPr>
              <w:t>mg/L</w:t>
            </w:r>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22" w:name="_Toc19685"/>
            <w:bookmarkStart w:id="623" w:name="_Toc24011"/>
            <w:r>
              <w:rPr>
                <w:rFonts w:hint="eastAsia" w:ascii="Times New Roman" w:hAnsi="Times New Roman" w:eastAsia="宋体" w:cs="Times New Roman"/>
                <w:color w:val="auto"/>
                <w:szCs w:val="21"/>
                <w:highlight w:val="none"/>
                <w:lang w:val="en-US" w:eastAsia="zh-CN"/>
              </w:rPr>
              <w:t>2.17</w:t>
            </w:r>
            <w:bookmarkEnd w:id="622"/>
            <w:bookmarkEnd w:id="62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24" w:name="_Toc7427"/>
            <w:bookmarkStart w:id="625" w:name="_Toc32250"/>
            <w:r>
              <w:rPr>
                <w:rFonts w:hint="eastAsia" w:ascii="Times New Roman" w:hAnsi="Times New Roman" w:eastAsia="宋体" w:cs="Times New Roman"/>
                <w:color w:val="auto"/>
                <w:szCs w:val="21"/>
                <w:highlight w:val="none"/>
                <w:lang w:val="en-US" w:eastAsia="zh-CN"/>
              </w:rPr>
              <w:t>2.85</w:t>
            </w:r>
            <w:bookmarkEnd w:id="624"/>
            <w:bookmarkEnd w:id="625"/>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26" w:name="_Toc13208"/>
            <w:bookmarkStart w:id="627" w:name="_Toc24766"/>
            <w:r>
              <w:rPr>
                <w:rFonts w:hint="eastAsia" w:ascii="Times New Roman" w:hAnsi="Times New Roman" w:eastAsia="宋体" w:cs="Times New Roman"/>
                <w:color w:val="auto"/>
                <w:szCs w:val="21"/>
                <w:highlight w:val="none"/>
                <w:lang w:val="en-US" w:eastAsia="zh-CN"/>
              </w:rPr>
              <w:t>0.016L</w:t>
            </w:r>
            <w:bookmarkEnd w:id="626"/>
            <w:bookmarkEnd w:id="62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28" w:name="_Toc4586"/>
            <w:bookmarkStart w:id="629" w:name="_Toc10881"/>
            <w:r>
              <w:rPr>
                <w:rFonts w:hint="eastAsia" w:ascii="Times New Roman" w:hAnsi="Times New Roman" w:eastAsia="宋体" w:cs="Times New Roman"/>
                <w:color w:val="auto"/>
                <w:szCs w:val="21"/>
                <w:highlight w:val="none"/>
                <w:lang w:val="en-US" w:eastAsia="zh-CN"/>
              </w:rPr>
              <w:t>0.016L</w:t>
            </w:r>
            <w:bookmarkEnd w:id="628"/>
            <w:bookmarkEnd w:id="62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30" w:name="_Toc18347"/>
            <w:bookmarkStart w:id="631" w:name="_Toc26493"/>
            <w:r>
              <w:rPr>
                <w:rFonts w:hint="eastAsia" w:ascii="Times New Roman" w:hAnsi="Times New Roman" w:eastAsia="宋体" w:cs="Times New Roman"/>
                <w:color w:val="auto"/>
                <w:szCs w:val="21"/>
                <w:highlight w:val="none"/>
                <w:lang w:val="en-US" w:eastAsia="zh-CN"/>
              </w:rPr>
              <w:t>0.412</w:t>
            </w:r>
            <w:bookmarkEnd w:id="630"/>
            <w:bookmarkEnd w:id="63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32" w:name="_Toc2445"/>
            <w:bookmarkStart w:id="633" w:name="_Toc5718"/>
            <w:r>
              <w:rPr>
                <w:rFonts w:hint="eastAsia" w:ascii="Times New Roman" w:hAnsi="Times New Roman" w:eastAsia="宋体" w:cs="Times New Roman"/>
                <w:color w:val="auto"/>
                <w:szCs w:val="21"/>
                <w:highlight w:val="none"/>
                <w:lang w:val="en-US" w:eastAsia="zh-CN"/>
              </w:rPr>
              <w:t>0.426</w:t>
            </w:r>
            <w:bookmarkEnd w:id="632"/>
            <w:bookmarkEnd w:id="63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34" w:name="_Toc7586"/>
            <w:bookmarkStart w:id="635" w:name="_Toc14223"/>
            <w:r>
              <w:rPr>
                <w:rFonts w:hint="eastAsia" w:ascii="Times New Roman" w:hAnsi="Times New Roman" w:eastAsia="宋体" w:cs="Times New Roman"/>
                <w:color w:val="auto"/>
                <w:szCs w:val="21"/>
                <w:highlight w:val="none"/>
                <w:lang w:val="en-US" w:eastAsia="zh-CN"/>
              </w:rPr>
              <w:t>0.236</w:t>
            </w:r>
            <w:bookmarkEnd w:id="634"/>
            <w:bookmarkEnd w:id="635"/>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36" w:name="_Toc27907"/>
            <w:bookmarkStart w:id="637" w:name="_Toc2724"/>
            <w:r>
              <w:rPr>
                <w:rFonts w:hint="default" w:ascii="Times New Roman" w:hAnsi="Times New Roman" w:eastAsia="宋体" w:cs="Times New Roman"/>
                <w:color w:val="auto"/>
                <w:szCs w:val="21"/>
                <w:highlight w:val="none"/>
                <w:lang w:val="en-US" w:eastAsia="zh-CN"/>
              </w:rPr>
              <w:t>0.016L</w:t>
            </w:r>
            <w:bookmarkEnd w:id="636"/>
            <w:bookmarkEnd w:id="63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38" w:name="_Toc23037"/>
            <w:bookmarkStart w:id="639" w:name="_Toc25744"/>
            <w:r>
              <w:rPr>
                <w:rFonts w:hint="default" w:ascii="Times New Roman" w:hAnsi="Times New Roman" w:eastAsia="宋体" w:cs="Times New Roman"/>
                <w:color w:val="auto"/>
                <w:szCs w:val="21"/>
                <w:highlight w:val="none"/>
                <w:lang w:val="en-US" w:eastAsia="zh-CN"/>
              </w:rPr>
              <w:t>0.016L</w:t>
            </w:r>
            <w:bookmarkEnd w:id="638"/>
            <w:bookmarkEnd w:id="639"/>
          </w:p>
        </w:tc>
        <w:tc>
          <w:tcPr>
            <w:tcW w:w="1059"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40" w:name="_Toc8448"/>
            <w:bookmarkStart w:id="641" w:name="_Toc24037"/>
            <w:r>
              <w:rPr>
                <w:rFonts w:hint="default" w:ascii="Times New Roman" w:hAnsi="Times New Roman" w:eastAsia="宋体" w:cs="Times New Roman"/>
                <w:color w:val="auto"/>
                <w:szCs w:val="21"/>
                <w:highlight w:val="none"/>
                <w:lang w:val="en-US" w:eastAsia="zh-CN"/>
              </w:rPr>
              <w:t>0.016L</w:t>
            </w:r>
            <w:bookmarkEnd w:id="640"/>
            <w:bookmarkEnd w:id="641"/>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bidi="ar-SA"/>
              </w:rPr>
            </w:pPr>
            <w:bookmarkStart w:id="642" w:name="_Toc16466"/>
            <w:bookmarkStart w:id="643" w:name="_Toc24262"/>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20.0</w:t>
            </w:r>
            <w:bookmarkEnd w:id="642"/>
            <w:bookmarkEnd w:id="643"/>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27</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644" w:name="_Toc20214"/>
            <w:bookmarkStart w:id="645" w:name="_Toc27323"/>
            <w:r>
              <w:rPr>
                <w:rFonts w:hint="default" w:ascii="Times New Roman" w:hAnsi="Times New Roman" w:cs="Times New Roman"/>
                <w:color w:val="auto"/>
                <w:szCs w:val="21"/>
                <w:highlight w:val="none"/>
              </w:rPr>
              <w:t>溶解性总固体</w:t>
            </w:r>
            <w:bookmarkEnd w:id="644"/>
            <w:bookmarkEnd w:id="645"/>
          </w:p>
        </w:tc>
        <w:tc>
          <w:tcPr>
            <w:tcW w:w="276" w:type="pct"/>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0"/>
                <w:szCs w:val="21"/>
                <w:highlight w:val="none"/>
                <w:vertAlign w:val="baseline"/>
                <w:lang w:val="en-US" w:eastAsia="zh-CN"/>
              </w:rPr>
              <w:t>mg/L</w:t>
            </w:r>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46" w:name="_Toc25104"/>
            <w:bookmarkStart w:id="647" w:name="_Toc14753"/>
            <w:r>
              <w:rPr>
                <w:rFonts w:hint="eastAsia" w:ascii="Times New Roman" w:hAnsi="Times New Roman" w:eastAsia="宋体" w:cs="Times New Roman"/>
                <w:color w:val="auto"/>
                <w:szCs w:val="21"/>
                <w:highlight w:val="none"/>
                <w:lang w:val="en-US" w:eastAsia="zh-CN"/>
              </w:rPr>
              <w:t>232</w:t>
            </w:r>
            <w:bookmarkEnd w:id="646"/>
            <w:bookmarkEnd w:id="64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48" w:name="_Toc10580"/>
            <w:bookmarkStart w:id="649" w:name="_Toc19673"/>
            <w:r>
              <w:rPr>
                <w:rFonts w:hint="eastAsia" w:ascii="Times New Roman" w:hAnsi="Times New Roman" w:eastAsia="宋体" w:cs="Times New Roman"/>
                <w:color w:val="auto"/>
                <w:szCs w:val="21"/>
                <w:highlight w:val="none"/>
                <w:lang w:val="en-US" w:eastAsia="zh-CN"/>
              </w:rPr>
              <w:t>246</w:t>
            </w:r>
            <w:bookmarkEnd w:id="648"/>
            <w:bookmarkEnd w:id="64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50" w:name="_Toc19122"/>
            <w:bookmarkStart w:id="651" w:name="_Toc22770"/>
            <w:r>
              <w:rPr>
                <w:rFonts w:hint="eastAsia" w:ascii="Times New Roman" w:hAnsi="Times New Roman" w:eastAsia="宋体" w:cs="Times New Roman"/>
                <w:color w:val="auto"/>
                <w:szCs w:val="21"/>
                <w:highlight w:val="none"/>
                <w:lang w:val="en-US" w:eastAsia="zh-CN"/>
              </w:rPr>
              <w:t>217</w:t>
            </w:r>
            <w:bookmarkEnd w:id="650"/>
            <w:bookmarkEnd w:id="65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52" w:name="_Toc22294"/>
            <w:bookmarkStart w:id="653" w:name="_Toc21061"/>
            <w:r>
              <w:rPr>
                <w:rFonts w:hint="eastAsia" w:ascii="Times New Roman" w:hAnsi="Times New Roman" w:eastAsia="宋体" w:cs="Times New Roman"/>
                <w:color w:val="auto"/>
                <w:szCs w:val="21"/>
                <w:highlight w:val="none"/>
                <w:lang w:val="en-US" w:eastAsia="zh-CN"/>
              </w:rPr>
              <w:t>205</w:t>
            </w:r>
            <w:bookmarkEnd w:id="652"/>
            <w:bookmarkEnd w:id="65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54" w:name="_Toc17524"/>
            <w:bookmarkStart w:id="655" w:name="_Toc23245"/>
            <w:r>
              <w:rPr>
                <w:rFonts w:hint="eastAsia" w:ascii="Times New Roman" w:hAnsi="Times New Roman" w:eastAsia="宋体" w:cs="Times New Roman"/>
                <w:color w:val="auto"/>
                <w:szCs w:val="21"/>
                <w:highlight w:val="none"/>
                <w:lang w:val="en-US" w:eastAsia="zh-CN"/>
              </w:rPr>
              <w:t>187</w:t>
            </w:r>
            <w:bookmarkEnd w:id="654"/>
            <w:bookmarkEnd w:id="655"/>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56" w:name="_Toc12133"/>
            <w:bookmarkStart w:id="657" w:name="_Toc25838"/>
            <w:r>
              <w:rPr>
                <w:rFonts w:hint="eastAsia" w:ascii="Times New Roman" w:hAnsi="Times New Roman" w:eastAsia="宋体" w:cs="Times New Roman"/>
                <w:color w:val="auto"/>
                <w:szCs w:val="21"/>
                <w:highlight w:val="none"/>
                <w:lang w:val="en-US" w:eastAsia="zh-CN"/>
              </w:rPr>
              <w:t>233</w:t>
            </w:r>
            <w:bookmarkEnd w:id="656"/>
            <w:bookmarkEnd w:id="65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58" w:name="_Toc22090"/>
            <w:bookmarkStart w:id="659" w:name="_Toc5865"/>
            <w:r>
              <w:rPr>
                <w:rFonts w:hint="eastAsia" w:ascii="Times New Roman" w:hAnsi="Times New Roman" w:eastAsia="宋体" w:cs="Times New Roman"/>
                <w:color w:val="auto"/>
                <w:szCs w:val="21"/>
                <w:highlight w:val="none"/>
                <w:lang w:val="en-US" w:eastAsia="zh-CN"/>
              </w:rPr>
              <w:t>243</w:t>
            </w:r>
            <w:bookmarkEnd w:id="658"/>
            <w:bookmarkEnd w:id="65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60" w:name="_Toc8018"/>
            <w:bookmarkStart w:id="661" w:name="_Toc26082"/>
            <w:r>
              <w:rPr>
                <w:rFonts w:hint="eastAsia" w:ascii="Times New Roman" w:hAnsi="Times New Roman" w:eastAsia="宋体" w:cs="Times New Roman"/>
                <w:color w:val="auto"/>
                <w:szCs w:val="21"/>
                <w:highlight w:val="none"/>
                <w:lang w:val="en-US" w:eastAsia="zh-CN"/>
              </w:rPr>
              <w:t>252</w:t>
            </w:r>
            <w:bookmarkEnd w:id="660"/>
            <w:bookmarkEnd w:id="66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62" w:name="_Toc15549"/>
            <w:bookmarkStart w:id="663" w:name="_Toc14323"/>
            <w:r>
              <w:rPr>
                <w:rFonts w:hint="eastAsia" w:ascii="Times New Roman" w:hAnsi="Times New Roman" w:eastAsia="宋体" w:cs="Times New Roman"/>
                <w:color w:val="auto"/>
                <w:szCs w:val="21"/>
                <w:highlight w:val="none"/>
                <w:lang w:val="en-US" w:eastAsia="zh-CN"/>
              </w:rPr>
              <w:t>565</w:t>
            </w:r>
            <w:bookmarkEnd w:id="662"/>
            <w:bookmarkEnd w:id="663"/>
          </w:p>
        </w:tc>
        <w:tc>
          <w:tcPr>
            <w:tcW w:w="1059"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64" w:name="_Toc19323"/>
            <w:bookmarkStart w:id="665" w:name="_Toc22053"/>
            <w:r>
              <w:rPr>
                <w:rFonts w:hint="eastAsia" w:ascii="Times New Roman" w:hAnsi="Times New Roman" w:eastAsia="宋体" w:cs="Times New Roman"/>
                <w:color w:val="auto"/>
                <w:szCs w:val="21"/>
                <w:highlight w:val="none"/>
                <w:lang w:val="en-US" w:eastAsia="zh-CN"/>
              </w:rPr>
              <w:t>413</w:t>
            </w:r>
            <w:bookmarkEnd w:id="664"/>
            <w:bookmarkEnd w:id="665"/>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bidi="ar-SA"/>
              </w:rPr>
            </w:pPr>
            <w:bookmarkStart w:id="666" w:name="_Toc14735"/>
            <w:bookmarkStart w:id="667" w:name="_Toc2422"/>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1000</w:t>
            </w:r>
            <w:bookmarkEnd w:id="666"/>
            <w:bookmarkEnd w:id="66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28</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668" w:name="_Toc9152"/>
            <w:bookmarkStart w:id="669" w:name="_Toc29521"/>
            <w:r>
              <w:rPr>
                <w:rFonts w:hint="default" w:ascii="Times New Roman" w:hAnsi="Times New Roman" w:cs="Times New Roman"/>
                <w:color w:val="auto"/>
                <w:szCs w:val="21"/>
                <w:highlight w:val="none"/>
              </w:rPr>
              <w:t>总大肠菌群</w:t>
            </w:r>
            <w:bookmarkEnd w:id="668"/>
            <w:bookmarkEnd w:id="669"/>
          </w:p>
        </w:tc>
        <w:tc>
          <w:tcPr>
            <w:tcW w:w="276" w:type="pct"/>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Cs w:val="21"/>
                <w:highlight w:val="none"/>
              </w:rPr>
              <w:t>MPN/</w:t>
            </w:r>
            <w:r>
              <w:rPr>
                <w:rFonts w:hint="default" w:ascii="Times New Roman" w:hAnsi="Times New Roman" w:cs="Times New Roman"/>
                <w:color w:val="auto"/>
                <w:szCs w:val="21"/>
                <w:highlight w:val="none"/>
                <w:lang w:val="en-US" w:eastAsia="zh-CN"/>
              </w:rPr>
              <w:t>100</w:t>
            </w:r>
            <w:r>
              <w:rPr>
                <w:rFonts w:hint="default" w:ascii="Times New Roman" w:hAnsi="Times New Roman" w:cs="Times New Roman"/>
                <w:color w:val="auto"/>
                <w:szCs w:val="21"/>
                <w:highlight w:val="none"/>
              </w:rPr>
              <w:t>mL</w:t>
            </w:r>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70" w:name="_Toc25350"/>
            <w:bookmarkStart w:id="671" w:name="_Toc31893"/>
            <w:r>
              <w:rPr>
                <w:rFonts w:hint="eastAsia" w:ascii="Times New Roman" w:hAnsi="Times New Roman" w:eastAsia="宋体" w:cs="Times New Roman"/>
                <w:color w:val="auto"/>
                <w:szCs w:val="21"/>
                <w:highlight w:val="none"/>
                <w:lang w:val="en-US" w:eastAsia="zh-CN"/>
              </w:rPr>
              <w:t>未检出</w:t>
            </w:r>
            <w:bookmarkEnd w:id="670"/>
            <w:bookmarkEnd w:id="67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72" w:name="_Toc522"/>
            <w:bookmarkStart w:id="673" w:name="_Toc28110"/>
            <w:r>
              <w:rPr>
                <w:rFonts w:hint="eastAsia" w:ascii="Times New Roman" w:hAnsi="Times New Roman" w:eastAsia="宋体" w:cs="Times New Roman"/>
                <w:color w:val="auto"/>
                <w:szCs w:val="21"/>
                <w:highlight w:val="none"/>
                <w:lang w:val="en-US" w:eastAsia="zh-CN"/>
              </w:rPr>
              <w:t>未检出</w:t>
            </w:r>
            <w:bookmarkEnd w:id="672"/>
            <w:bookmarkEnd w:id="67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74" w:name="_Toc8488"/>
            <w:bookmarkStart w:id="675" w:name="_Toc14537"/>
            <w:r>
              <w:rPr>
                <w:rFonts w:hint="eastAsia" w:ascii="Times New Roman" w:hAnsi="Times New Roman" w:eastAsia="宋体" w:cs="Times New Roman"/>
                <w:color w:val="auto"/>
                <w:szCs w:val="21"/>
                <w:highlight w:val="none"/>
                <w:lang w:val="en-US" w:eastAsia="zh-CN"/>
              </w:rPr>
              <w:t>未检出</w:t>
            </w:r>
            <w:bookmarkEnd w:id="674"/>
            <w:bookmarkEnd w:id="67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76" w:name="_Toc17275"/>
            <w:bookmarkStart w:id="677" w:name="_Toc32412"/>
            <w:r>
              <w:rPr>
                <w:rFonts w:hint="eastAsia" w:ascii="Times New Roman" w:hAnsi="Times New Roman" w:eastAsia="宋体" w:cs="Times New Roman"/>
                <w:color w:val="auto"/>
                <w:szCs w:val="21"/>
                <w:highlight w:val="none"/>
                <w:lang w:val="en-US" w:eastAsia="zh-CN"/>
              </w:rPr>
              <w:t>未检出</w:t>
            </w:r>
            <w:bookmarkEnd w:id="676"/>
            <w:bookmarkEnd w:id="67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78" w:name="_Toc29460"/>
            <w:bookmarkStart w:id="679" w:name="_Toc16034"/>
            <w:r>
              <w:rPr>
                <w:rFonts w:hint="eastAsia" w:ascii="Times New Roman" w:hAnsi="Times New Roman" w:eastAsia="宋体" w:cs="Times New Roman"/>
                <w:color w:val="auto"/>
                <w:szCs w:val="21"/>
                <w:highlight w:val="none"/>
                <w:lang w:val="en-US" w:eastAsia="zh-CN"/>
              </w:rPr>
              <w:t>未检出</w:t>
            </w:r>
            <w:bookmarkEnd w:id="678"/>
            <w:bookmarkEnd w:id="67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80" w:name="_Toc6912"/>
            <w:bookmarkStart w:id="681" w:name="_Toc32129"/>
            <w:r>
              <w:rPr>
                <w:rFonts w:hint="eastAsia" w:ascii="Times New Roman" w:hAnsi="Times New Roman" w:eastAsia="宋体" w:cs="Times New Roman"/>
                <w:color w:val="auto"/>
                <w:szCs w:val="21"/>
                <w:highlight w:val="none"/>
                <w:lang w:val="en-US" w:eastAsia="zh-CN"/>
              </w:rPr>
              <w:t>未检出</w:t>
            </w:r>
            <w:bookmarkEnd w:id="680"/>
            <w:bookmarkEnd w:id="68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82" w:name="_Toc15295"/>
            <w:bookmarkStart w:id="683" w:name="_Toc32193"/>
            <w:r>
              <w:rPr>
                <w:rFonts w:hint="eastAsia" w:ascii="Times New Roman" w:hAnsi="Times New Roman" w:eastAsia="宋体" w:cs="Times New Roman"/>
                <w:color w:val="auto"/>
                <w:szCs w:val="21"/>
                <w:highlight w:val="none"/>
                <w:lang w:val="en-US" w:eastAsia="zh-CN"/>
              </w:rPr>
              <w:t>未检出</w:t>
            </w:r>
            <w:bookmarkEnd w:id="682"/>
            <w:bookmarkEnd w:id="68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84" w:name="_Toc11491"/>
            <w:bookmarkStart w:id="685" w:name="_Toc18012"/>
            <w:r>
              <w:rPr>
                <w:rFonts w:hint="eastAsia" w:ascii="Times New Roman" w:hAnsi="Times New Roman" w:eastAsia="宋体" w:cs="Times New Roman"/>
                <w:color w:val="auto"/>
                <w:szCs w:val="21"/>
                <w:highlight w:val="none"/>
                <w:lang w:val="en-US" w:eastAsia="zh-CN"/>
              </w:rPr>
              <w:t>未检出</w:t>
            </w:r>
            <w:bookmarkEnd w:id="684"/>
            <w:bookmarkEnd w:id="68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86" w:name="_Toc20641"/>
            <w:bookmarkStart w:id="687" w:name="_Toc18576"/>
            <w:r>
              <w:rPr>
                <w:rFonts w:hint="eastAsia" w:ascii="Times New Roman" w:hAnsi="Times New Roman" w:eastAsia="宋体" w:cs="Times New Roman"/>
                <w:color w:val="auto"/>
                <w:szCs w:val="21"/>
                <w:highlight w:val="none"/>
                <w:lang w:val="en-US" w:eastAsia="zh-CN"/>
              </w:rPr>
              <w:t>未检出</w:t>
            </w:r>
            <w:bookmarkEnd w:id="686"/>
            <w:bookmarkEnd w:id="687"/>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88" w:name="_Toc8577"/>
            <w:bookmarkStart w:id="689" w:name="_Toc4141"/>
            <w:r>
              <w:rPr>
                <w:rFonts w:hint="eastAsia" w:ascii="Times New Roman" w:hAnsi="Times New Roman" w:eastAsia="宋体" w:cs="Times New Roman"/>
                <w:color w:val="auto"/>
                <w:szCs w:val="21"/>
                <w:highlight w:val="none"/>
                <w:lang w:val="en-US" w:eastAsia="zh-CN"/>
              </w:rPr>
              <w:t>未检出</w:t>
            </w:r>
            <w:bookmarkEnd w:id="688"/>
            <w:bookmarkEnd w:id="689"/>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仿宋" w:hAnsi="仿宋" w:eastAsia="仿宋" w:cs="仿宋"/>
                <w:snapToGrid w:val="0"/>
                <w:color w:val="auto"/>
                <w:kern w:val="0"/>
                <w:sz w:val="21"/>
                <w:szCs w:val="21"/>
                <w:highlight w:val="none"/>
                <w:lang w:val="en-US" w:eastAsia="zh-CN" w:bidi="ar-SA"/>
              </w:rPr>
            </w:pPr>
            <w:bookmarkStart w:id="690" w:name="_Toc19466"/>
            <w:bookmarkStart w:id="691" w:name="_Toc29080"/>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3.0</w:t>
            </w:r>
            <w:bookmarkEnd w:id="690"/>
            <w:bookmarkEnd w:id="691"/>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29</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692" w:name="_Toc19456"/>
            <w:bookmarkStart w:id="693" w:name="_Toc28774"/>
            <w:r>
              <w:rPr>
                <w:rFonts w:hint="default" w:ascii="Times New Roman" w:hAnsi="Times New Roman" w:cs="Times New Roman"/>
                <w:color w:val="auto"/>
                <w:szCs w:val="21"/>
                <w:highlight w:val="none"/>
              </w:rPr>
              <w:t>菌落总数</w:t>
            </w:r>
            <w:bookmarkEnd w:id="692"/>
            <w:bookmarkEnd w:id="693"/>
          </w:p>
        </w:tc>
        <w:tc>
          <w:tcPr>
            <w:tcW w:w="276" w:type="pct"/>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Cs w:val="21"/>
                <w:highlight w:val="none"/>
              </w:rPr>
              <w:t>CFU/mL</w:t>
            </w:r>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94" w:name="_Toc25884"/>
            <w:bookmarkStart w:id="695" w:name="_Toc2692"/>
            <w:r>
              <w:rPr>
                <w:rFonts w:hint="eastAsia" w:ascii="Times New Roman" w:hAnsi="Times New Roman" w:eastAsia="宋体" w:cs="Times New Roman"/>
                <w:color w:val="auto"/>
                <w:szCs w:val="21"/>
                <w:highlight w:val="none"/>
                <w:lang w:val="en-US" w:eastAsia="zh-CN"/>
              </w:rPr>
              <w:t>41</w:t>
            </w:r>
            <w:bookmarkEnd w:id="694"/>
            <w:bookmarkEnd w:id="695"/>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96" w:name="_Toc18611"/>
            <w:bookmarkStart w:id="697" w:name="_Toc14478"/>
            <w:r>
              <w:rPr>
                <w:rFonts w:hint="eastAsia" w:ascii="Times New Roman" w:hAnsi="Times New Roman" w:eastAsia="宋体" w:cs="Times New Roman"/>
                <w:color w:val="auto"/>
                <w:szCs w:val="21"/>
                <w:highlight w:val="none"/>
                <w:lang w:val="en-US" w:eastAsia="zh-CN"/>
              </w:rPr>
              <w:t>54</w:t>
            </w:r>
            <w:bookmarkEnd w:id="696"/>
            <w:bookmarkEnd w:id="69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698" w:name="_Toc25769"/>
            <w:bookmarkStart w:id="699" w:name="_Toc14369"/>
            <w:r>
              <w:rPr>
                <w:rFonts w:hint="eastAsia" w:ascii="Times New Roman" w:hAnsi="Times New Roman" w:eastAsia="宋体" w:cs="Times New Roman"/>
                <w:color w:val="auto"/>
                <w:szCs w:val="21"/>
                <w:highlight w:val="none"/>
                <w:lang w:val="en-US" w:eastAsia="zh-CN"/>
              </w:rPr>
              <w:t>39</w:t>
            </w:r>
            <w:bookmarkEnd w:id="698"/>
            <w:bookmarkEnd w:id="69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00" w:name="_Toc31604"/>
            <w:bookmarkStart w:id="701" w:name="_Toc26195"/>
            <w:r>
              <w:rPr>
                <w:rFonts w:hint="eastAsia" w:ascii="Times New Roman" w:hAnsi="Times New Roman" w:eastAsia="宋体" w:cs="Times New Roman"/>
                <w:color w:val="auto"/>
                <w:szCs w:val="21"/>
                <w:highlight w:val="none"/>
                <w:lang w:val="en-US" w:eastAsia="zh-CN"/>
              </w:rPr>
              <w:t>43</w:t>
            </w:r>
            <w:bookmarkEnd w:id="700"/>
            <w:bookmarkEnd w:id="701"/>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02" w:name="_Toc14073"/>
            <w:bookmarkStart w:id="703" w:name="_Toc31339"/>
            <w:r>
              <w:rPr>
                <w:rFonts w:hint="eastAsia" w:ascii="Times New Roman" w:hAnsi="Times New Roman" w:eastAsia="宋体" w:cs="Times New Roman"/>
                <w:color w:val="auto"/>
                <w:szCs w:val="21"/>
                <w:highlight w:val="none"/>
                <w:lang w:val="en-US" w:eastAsia="zh-CN"/>
              </w:rPr>
              <w:t>45</w:t>
            </w:r>
            <w:bookmarkEnd w:id="702"/>
            <w:bookmarkEnd w:id="703"/>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04" w:name="_Toc328"/>
            <w:bookmarkStart w:id="705" w:name="_Toc13680"/>
            <w:r>
              <w:rPr>
                <w:rFonts w:hint="eastAsia" w:ascii="Times New Roman" w:hAnsi="Times New Roman" w:eastAsia="宋体" w:cs="Times New Roman"/>
                <w:color w:val="auto"/>
                <w:szCs w:val="21"/>
                <w:highlight w:val="none"/>
                <w:lang w:val="en-US" w:eastAsia="zh-CN"/>
              </w:rPr>
              <w:t>47</w:t>
            </w:r>
            <w:bookmarkEnd w:id="704"/>
            <w:bookmarkEnd w:id="705"/>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06" w:name="_Toc17355"/>
            <w:bookmarkStart w:id="707" w:name="_Toc5845"/>
            <w:r>
              <w:rPr>
                <w:rFonts w:hint="eastAsia" w:ascii="Times New Roman" w:hAnsi="Times New Roman" w:eastAsia="宋体" w:cs="Times New Roman"/>
                <w:color w:val="auto"/>
                <w:szCs w:val="21"/>
                <w:highlight w:val="none"/>
                <w:lang w:val="en-US" w:eastAsia="zh-CN"/>
              </w:rPr>
              <w:t>38</w:t>
            </w:r>
            <w:bookmarkEnd w:id="706"/>
            <w:bookmarkEnd w:id="707"/>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08" w:name="_Toc19637"/>
            <w:bookmarkStart w:id="709" w:name="_Toc21855"/>
            <w:r>
              <w:rPr>
                <w:rFonts w:hint="eastAsia" w:ascii="Times New Roman" w:hAnsi="Times New Roman" w:eastAsia="宋体" w:cs="Times New Roman"/>
                <w:color w:val="auto"/>
                <w:szCs w:val="21"/>
                <w:highlight w:val="none"/>
                <w:lang w:val="en-US" w:eastAsia="zh-CN"/>
              </w:rPr>
              <w:t>42</w:t>
            </w:r>
            <w:bookmarkEnd w:id="708"/>
            <w:bookmarkEnd w:id="709"/>
          </w:p>
        </w:tc>
        <w:tc>
          <w:tcPr>
            <w:tcW w:w="1051"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10" w:name="_Toc7417"/>
            <w:bookmarkStart w:id="711" w:name="_Toc10391"/>
            <w:r>
              <w:rPr>
                <w:rFonts w:hint="eastAsia" w:ascii="Times New Roman" w:hAnsi="Times New Roman" w:eastAsia="宋体" w:cs="Times New Roman"/>
                <w:color w:val="auto"/>
                <w:szCs w:val="21"/>
                <w:highlight w:val="none"/>
                <w:lang w:val="en-US" w:eastAsia="zh-CN"/>
              </w:rPr>
              <w:t>40</w:t>
            </w:r>
            <w:bookmarkEnd w:id="710"/>
            <w:bookmarkEnd w:id="711"/>
          </w:p>
        </w:tc>
        <w:tc>
          <w:tcPr>
            <w:tcW w:w="1059" w:type="dxa"/>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12" w:name="_Toc31258"/>
            <w:bookmarkStart w:id="713" w:name="_Toc14682"/>
            <w:r>
              <w:rPr>
                <w:rFonts w:hint="eastAsia" w:ascii="Times New Roman" w:hAnsi="Times New Roman" w:eastAsia="宋体" w:cs="Times New Roman"/>
                <w:color w:val="auto"/>
                <w:szCs w:val="21"/>
                <w:highlight w:val="none"/>
                <w:lang w:val="en-US" w:eastAsia="zh-CN"/>
              </w:rPr>
              <w:t>35</w:t>
            </w:r>
            <w:bookmarkEnd w:id="712"/>
            <w:bookmarkEnd w:id="713"/>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bidi="ar-SA"/>
              </w:rPr>
            </w:pPr>
            <w:bookmarkStart w:id="714" w:name="_Toc777"/>
            <w:bookmarkStart w:id="715" w:name="_Toc3097"/>
            <w:r>
              <w:rPr>
                <w:rFonts w:hint="eastAsia" w:ascii="仿宋" w:hAnsi="仿宋" w:eastAsia="仿宋" w:cs="仿宋"/>
                <w:color w:val="auto"/>
                <w:szCs w:val="21"/>
                <w:highlight w:val="none"/>
              </w:rPr>
              <w:t>≤</w:t>
            </w:r>
            <w:r>
              <w:rPr>
                <w:rFonts w:hint="default" w:ascii="Times New Roman" w:hAnsi="Times New Roman" w:cs="Times New Roman"/>
                <w:color w:val="auto"/>
                <w:szCs w:val="21"/>
                <w:highlight w:val="none"/>
              </w:rPr>
              <w:t>100</w:t>
            </w:r>
            <w:bookmarkEnd w:id="714"/>
            <w:bookmarkEnd w:id="715"/>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30</w:t>
            </w:r>
          </w:p>
        </w:tc>
        <w:tc>
          <w:tcPr>
            <w:tcW w:w="45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Arial" w:cs="Times New Roman"/>
                <w:snapToGrid w:val="0"/>
                <w:color w:val="auto"/>
                <w:kern w:val="0"/>
                <w:sz w:val="21"/>
                <w:szCs w:val="21"/>
                <w:highlight w:val="none"/>
                <w:lang w:val="en-US" w:eastAsia="zh-CN"/>
              </w:rPr>
            </w:pPr>
            <w:bookmarkStart w:id="716" w:name="_Toc13961"/>
            <w:bookmarkStart w:id="717" w:name="_Toc19048"/>
            <w:r>
              <w:rPr>
                <w:rFonts w:hint="eastAsia" w:ascii="Times New Roman" w:hAnsi="Times New Roman" w:cs="Times New Roman"/>
                <w:color w:val="auto"/>
                <w:szCs w:val="21"/>
                <w:highlight w:val="none"/>
                <w:lang w:val="en-US" w:eastAsia="zh-CN"/>
              </w:rPr>
              <w:t>石油类</w:t>
            </w:r>
            <w:bookmarkEnd w:id="716"/>
            <w:bookmarkEnd w:id="717"/>
          </w:p>
        </w:tc>
        <w:tc>
          <w:tcPr>
            <w:tcW w:w="276" w:type="pct"/>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rPr>
              <w:t>mg/L</w:t>
            </w:r>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18" w:name="_Toc8519"/>
            <w:bookmarkStart w:id="719" w:name="_Toc7442"/>
            <w:r>
              <w:rPr>
                <w:rFonts w:hint="eastAsia" w:ascii="Times New Roman" w:hAnsi="Times New Roman" w:eastAsia="宋体" w:cs="Times New Roman"/>
                <w:color w:val="auto"/>
                <w:szCs w:val="21"/>
                <w:highlight w:val="none"/>
                <w:lang w:val="en-US" w:eastAsia="zh-CN"/>
              </w:rPr>
              <w:t>未检出</w:t>
            </w:r>
            <w:bookmarkEnd w:id="718"/>
            <w:bookmarkEnd w:id="71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20" w:name="_Toc3658"/>
            <w:bookmarkStart w:id="721" w:name="_Toc23350"/>
            <w:r>
              <w:rPr>
                <w:rFonts w:hint="eastAsia" w:ascii="Times New Roman" w:hAnsi="Times New Roman" w:eastAsia="宋体" w:cs="Times New Roman"/>
                <w:color w:val="auto"/>
                <w:szCs w:val="21"/>
                <w:highlight w:val="none"/>
                <w:lang w:val="en-US" w:eastAsia="zh-CN"/>
              </w:rPr>
              <w:t>未检出</w:t>
            </w:r>
            <w:bookmarkEnd w:id="720"/>
            <w:bookmarkEnd w:id="72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22" w:name="_Toc5207"/>
            <w:bookmarkStart w:id="723" w:name="_Toc22006"/>
            <w:r>
              <w:rPr>
                <w:rFonts w:hint="eastAsia" w:ascii="Times New Roman" w:hAnsi="Times New Roman" w:eastAsia="宋体" w:cs="Times New Roman"/>
                <w:color w:val="auto"/>
                <w:szCs w:val="21"/>
                <w:highlight w:val="none"/>
                <w:lang w:val="en-US" w:eastAsia="zh-CN"/>
              </w:rPr>
              <w:t>未检出</w:t>
            </w:r>
            <w:bookmarkEnd w:id="722"/>
            <w:bookmarkEnd w:id="72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24" w:name="_Toc23685"/>
            <w:bookmarkStart w:id="725" w:name="_Toc32635"/>
            <w:r>
              <w:rPr>
                <w:rFonts w:hint="eastAsia" w:ascii="Times New Roman" w:hAnsi="Times New Roman" w:eastAsia="宋体" w:cs="Times New Roman"/>
                <w:color w:val="auto"/>
                <w:szCs w:val="21"/>
                <w:highlight w:val="none"/>
                <w:lang w:val="en-US" w:eastAsia="zh-CN"/>
              </w:rPr>
              <w:t>未检出</w:t>
            </w:r>
            <w:bookmarkEnd w:id="724"/>
            <w:bookmarkEnd w:id="725"/>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26" w:name="_Toc15181"/>
            <w:bookmarkStart w:id="727" w:name="_Toc32422"/>
            <w:r>
              <w:rPr>
                <w:rFonts w:hint="eastAsia" w:ascii="Times New Roman" w:hAnsi="Times New Roman" w:eastAsia="宋体" w:cs="Times New Roman"/>
                <w:color w:val="auto"/>
                <w:szCs w:val="21"/>
                <w:highlight w:val="none"/>
                <w:lang w:val="en-US" w:eastAsia="zh-CN"/>
              </w:rPr>
              <w:t>未检出</w:t>
            </w:r>
            <w:bookmarkEnd w:id="726"/>
            <w:bookmarkEnd w:id="727"/>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28" w:name="_Toc3497"/>
            <w:bookmarkStart w:id="729" w:name="_Toc19248"/>
            <w:r>
              <w:rPr>
                <w:rFonts w:hint="eastAsia" w:ascii="Times New Roman" w:hAnsi="Times New Roman" w:eastAsia="宋体" w:cs="Times New Roman"/>
                <w:color w:val="auto"/>
                <w:szCs w:val="21"/>
                <w:highlight w:val="none"/>
                <w:lang w:val="en-US" w:eastAsia="zh-CN"/>
              </w:rPr>
              <w:t>未检出</w:t>
            </w:r>
            <w:bookmarkEnd w:id="728"/>
            <w:bookmarkEnd w:id="729"/>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30" w:name="_Toc9215"/>
            <w:bookmarkStart w:id="731" w:name="_Toc14412"/>
            <w:r>
              <w:rPr>
                <w:rFonts w:hint="eastAsia" w:ascii="Times New Roman" w:hAnsi="Times New Roman" w:eastAsia="宋体" w:cs="Times New Roman"/>
                <w:color w:val="auto"/>
                <w:szCs w:val="21"/>
                <w:highlight w:val="none"/>
                <w:lang w:val="en-US" w:eastAsia="zh-CN"/>
              </w:rPr>
              <w:t>未检出</w:t>
            </w:r>
            <w:bookmarkEnd w:id="730"/>
            <w:bookmarkEnd w:id="731"/>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32" w:name="_Toc31150"/>
            <w:bookmarkStart w:id="733" w:name="_Toc6334"/>
            <w:r>
              <w:rPr>
                <w:rFonts w:hint="eastAsia" w:ascii="Times New Roman" w:hAnsi="Times New Roman" w:eastAsia="宋体" w:cs="Times New Roman"/>
                <w:color w:val="auto"/>
                <w:szCs w:val="21"/>
                <w:highlight w:val="none"/>
                <w:lang w:val="en-US" w:eastAsia="zh-CN"/>
              </w:rPr>
              <w:t>未检出</w:t>
            </w:r>
            <w:bookmarkEnd w:id="732"/>
            <w:bookmarkEnd w:id="733"/>
          </w:p>
        </w:tc>
        <w:tc>
          <w:tcPr>
            <w:tcW w:w="371"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34" w:name="_Toc19884"/>
            <w:bookmarkStart w:id="735" w:name="_Toc15958"/>
            <w:r>
              <w:rPr>
                <w:rFonts w:hint="eastAsia" w:ascii="Times New Roman" w:hAnsi="Times New Roman" w:eastAsia="宋体" w:cs="Times New Roman"/>
                <w:color w:val="auto"/>
                <w:szCs w:val="21"/>
                <w:highlight w:val="none"/>
                <w:lang w:val="en-US" w:eastAsia="zh-CN"/>
              </w:rPr>
              <w:t>未检出</w:t>
            </w:r>
            <w:bookmarkEnd w:id="734"/>
            <w:bookmarkEnd w:id="735"/>
          </w:p>
        </w:tc>
        <w:tc>
          <w:tcPr>
            <w:tcW w:w="373" w:type="pct"/>
            <w:tcBorders>
              <w:tl2br w:val="nil"/>
              <w:tr2bl w:val="nil"/>
            </w:tcBorders>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36" w:name="_Toc850"/>
            <w:bookmarkStart w:id="737" w:name="_Toc12261"/>
            <w:r>
              <w:rPr>
                <w:rFonts w:hint="eastAsia" w:ascii="Times New Roman" w:hAnsi="Times New Roman" w:eastAsia="宋体" w:cs="Times New Roman"/>
                <w:color w:val="auto"/>
                <w:szCs w:val="21"/>
                <w:highlight w:val="none"/>
                <w:lang w:val="en-US" w:eastAsia="zh-CN"/>
              </w:rPr>
              <w:t>未检出</w:t>
            </w:r>
            <w:bookmarkEnd w:id="736"/>
            <w:bookmarkEnd w:id="737"/>
          </w:p>
        </w:tc>
        <w:tc>
          <w:tcPr>
            <w:tcW w:w="35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Arial" w:cs="Times New Roman"/>
                <w:snapToGrid w:val="0"/>
                <w:color w:val="auto"/>
                <w:kern w:val="0"/>
                <w:sz w:val="21"/>
                <w:szCs w:val="21"/>
                <w:highlight w:val="none"/>
                <w:lang w:val="en-US" w:eastAsia="zh-CN" w:bidi="ar-SA"/>
              </w:rPr>
            </w:pPr>
            <w:bookmarkStart w:id="738" w:name="_Toc31552"/>
            <w:bookmarkStart w:id="739" w:name="_Toc20178"/>
            <w:r>
              <w:rPr>
                <w:rFonts w:hint="default" w:ascii="仿宋" w:hAnsi="仿宋" w:eastAsia="仿宋" w:cs="仿宋"/>
                <w:color w:val="auto"/>
                <w:szCs w:val="21"/>
                <w:highlight w:val="none"/>
              </w:rPr>
              <w:t>≤</w:t>
            </w:r>
            <w:r>
              <w:rPr>
                <w:rFonts w:hint="default" w:ascii="Times New Roman" w:hAnsi="Times New Roman" w:eastAsia="仿宋" w:cs="Times New Roman"/>
                <w:color w:val="auto"/>
                <w:szCs w:val="21"/>
                <w:highlight w:val="none"/>
              </w:rPr>
              <w:t>0.05</w:t>
            </w:r>
            <w:bookmarkEnd w:id="738"/>
            <w:bookmarkEnd w:id="739"/>
          </w:p>
        </w:tc>
      </w:tr>
    </w:tbl>
    <w:p>
      <w:pPr>
        <w:rPr>
          <w:rFonts w:hint="eastAsia"/>
          <w:b/>
          <w:bCs/>
          <w:color w:val="auto"/>
          <w:highlight w:val="none"/>
          <w:lang w:val="en-US" w:eastAsia="zh-CN"/>
        </w:rPr>
      </w:pPr>
      <w:r>
        <w:rPr>
          <w:rFonts w:hint="eastAsia"/>
          <w:b/>
          <w:bCs/>
          <w:color w:val="auto"/>
          <w:highlight w:val="none"/>
          <w:lang w:val="en-US" w:eastAsia="zh-CN"/>
        </w:rPr>
        <w:br w:type="page"/>
      </w:r>
    </w:p>
    <w:p>
      <w:pPr>
        <w:pStyle w:val="11"/>
        <w:rPr>
          <w:rFonts w:hint="eastAsia"/>
          <w:color w:val="auto"/>
          <w:highlight w:val="none"/>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（2）水位调查监测情况</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①监测点的布设</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根据本项目区域地层特征，以及地下水含水层特点和区域水资源开发利用情况，参照《环境影响评价技术导则地下水环境》（HJ610-2016），共布设地下水水位监测点</w:t>
      </w:r>
      <w:r>
        <w:rPr>
          <w:rFonts w:hint="eastAsia" w:cs="Times New Roman"/>
          <w:caps w:val="0"/>
          <w:smallCaps w:val="0"/>
          <w:snapToGrid/>
          <w:color w:val="auto"/>
          <w:spacing w:val="0"/>
          <w:w w:val="100"/>
          <w:kern w:val="0"/>
          <w:sz w:val="24"/>
          <w:szCs w:val="24"/>
          <w:highlight w:val="none"/>
          <w:lang w:val="en-US" w:eastAsia="zh-CN" w:bidi="ar-SA"/>
        </w:rPr>
        <w:t>22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个，水位监测点基本情况见表4.2-</w:t>
      </w:r>
      <w:r>
        <w:rPr>
          <w:rFonts w:hint="eastAsia" w:cs="Times New Roman"/>
          <w:caps w:val="0"/>
          <w:smallCaps w:val="0"/>
          <w:snapToGrid/>
          <w:color w:val="auto"/>
          <w:spacing w:val="0"/>
          <w:w w:val="100"/>
          <w:kern w:val="0"/>
          <w:sz w:val="24"/>
          <w:szCs w:val="24"/>
          <w:highlight w:val="none"/>
          <w:lang w:val="en-US" w:eastAsia="zh-CN" w:bidi="ar-SA"/>
        </w:rPr>
        <w:t>8</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pStyle w:val="11"/>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default" w:ascii="Times New Roman" w:hAnsi="Times New Roman" w:eastAsia="宋体" w:cs="Times New Roman"/>
          <w:b/>
          <w:bCs/>
          <w:color w:val="auto"/>
          <w:kern w:val="0"/>
          <w:sz w:val="21"/>
          <w:szCs w:val="21"/>
          <w:highlight w:val="none"/>
          <w:lang w:val="en-US" w:eastAsia="zh-CN" w:bidi="ar"/>
        </w:rPr>
        <w:t>4.</w:t>
      </w:r>
      <w:r>
        <w:rPr>
          <w:rFonts w:hint="eastAsia" w:ascii="Times New Roman" w:hAnsi="Times New Roman" w:eastAsia="宋体" w:cs="Times New Roman"/>
          <w:b/>
          <w:bCs/>
          <w:color w:val="auto"/>
          <w:kern w:val="0"/>
          <w:sz w:val="21"/>
          <w:szCs w:val="21"/>
          <w:highlight w:val="none"/>
          <w:lang w:val="en-US" w:eastAsia="zh-CN" w:bidi="ar"/>
        </w:rPr>
        <w:t>2</w:t>
      </w:r>
      <w:r>
        <w:rPr>
          <w:rFonts w:hint="default" w:ascii="Times New Roman" w:hAnsi="Times New Roman" w:eastAsia="宋体" w:cs="Times New Roman"/>
          <w:b/>
          <w:bCs/>
          <w:color w:val="auto"/>
          <w:kern w:val="0"/>
          <w:sz w:val="21"/>
          <w:szCs w:val="21"/>
          <w:highlight w:val="none"/>
          <w:lang w:val="en-US" w:eastAsia="zh-CN" w:bidi="ar"/>
        </w:rPr>
        <w:t>-</w:t>
      </w:r>
      <w:r>
        <w:rPr>
          <w:rFonts w:hint="eastAsia" w:ascii="Times New Roman" w:eastAsia="宋体" w:cs="Times New Roman"/>
          <w:b/>
          <w:bCs/>
          <w:color w:val="auto"/>
          <w:kern w:val="0"/>
          <w:sz w:val="21"/>
          <w:szCs w:val="21"/>
          <w:highlight w:val="none"/>
          <w:lang w:val="en-US" w:eastAsia="zh-CN" w:bidi="ar"/>
        </w:rPr>
        <w:t>8</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地下水水位监测点基本情况表</w:t>
      </w:r>
    </w:p>
    <w:tbl>
      <w:tblPr>
        <w:tblStyle w:val="16"/>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19"/>
        <w:gridCol w:w="2431"/>
        <w:gridCol w:w="1411"/>
        <w:gridCol w:w="1550"/>
        <w:gridCol w:w="200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Arial" w:cs="Times New Roman"/>
                <w:caps w:val="0"/>
                <w:smallCaps w:val="0"/>
                <w:snapToGrid w:val="0"/>
                <w:color w:val="auto"/>
                <w:w w:val="100"/>
                <w:kern w:val="0"/>
                <w:sz w:val="21"/>
                <w:szCs w:val="21"/>
                <w:highlight w:val="none"/>
                <w:lang w:val="en-US" w:eastAsia="zh-CN"/>
              </w:rPr>
            </w:pPr>
            <w:r>
              <w:rPr>
                <w:rFonts w:hint="default" w:ascii="Times New Roman" w:hAnsi="Times New Roman" w:cs="Times New Roman"/>
                <w:caps w:val="0"/>
                <w:smallCaps w:val="0"/>
                <w:color w:val="auto"/>
                <w:w w:val="100"/>
                <w:kern w:val="0"/>
                <w:sz w:val="21"/>
                <w:szCs w:val="21"/>
                <w:highlight w:val="none"/>
              </w:rPr>
              <w:t>编号</w:t>
            </w:r>
          </w:p>
        </w:tc>
        <w:tc>
          <w:tcPr>
            <w:tcW w:w="1427"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Arial" w:cs="Times New Roman"/>
                <w:caps w:val="0"/>
                <w:smallCaps w:val="0"/>
                <w:snapToGrid w:val="0"/>
                <w:color w:val="auto"/>
                <w:w w:val="100"/>
                <w:kern w:val="0"/>
                <w:sz w:val="21"/>
                <w:szCs w:val="21"/>
                <w:highlight w:val="none"/>
                <w:lang w:val="en-US" w:eastAsia="zh-CN"/>
              </w:rPr>
            </w:pPr>
            <w:r>
              <w:rPr>
                <w:rFonts w:hint="default" w:ascii="Times New Roman" w:hAnsi="Times New Roman" w:cs="Times New Roman"/>
                <w:caps w:val="0"/>
                <w:smallCaps w:val="0"/>
                <w:color w:val="auto"/>
                <w:w w:val="100"/>
                <w:kern w:val="0"/>
                <w:sz w:val="21"/>
                <w:szCs w:val="21"/>
                <w:highlight w:val="none"/>
              </w:rPr>
              <w:t>监测点位置</w:t>
            </w:r>
          </w:p>
        </w:tc>
        <w:tc>
          <w:tcPr>
            <w:tcW w:w="828"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Arial" w:cs="Times New Roman"/>
                <w:caps w:val="0"/>
                <w:smallCaps w:val="0"/>
                <w:snapToGrid w:val="0"/>
                <w:color w:val="auto"/>
                <w:w w:val="100"/>
                <w:kern w:val="0"/>
                <w:sz w:val="21"/>
                <w:szCs w:val="21"/>
                <w:highlight w:val="none"/>
                <w:lang w:val="en-US" w:eastAsia="zh-CN"/>
              </w:rPr>
            </w:pPr>
            <w:r>
              <w:rPr>
                <w:rFonts w:hint="default" w:ascii="Times New Roman" w:hAnsi="Times New Roman" w:cs="Times New Roman"/>
                <w:caps w:val="0"/>
                <w:smallCaps w:val="0"/>
                <w:color w:val="auto"/>
                <w:w w:val="100"/>
                <w:kern w:val="0"/>
                <w:sz w:val="21"/>
                <w:szCs w:val="21"/>
                <w:highlight w:val="none"/>
              </w:rPr>
              <w:t>井深m</w:t>
            </w:r>
          </w:p>
        </w:tc>
        <w:tc>
          <w:tcPr>
            <w:tcW w:w="910"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Arial" w:cs="Times New Roman"/>
                <w:caps w:val="0"/>
                <w:smallCaps w:val="0"/>
                <w:snapToGrid w:val="0"/>
                <w:color w:val="auto"/>
                <w:w w:val="100"/>
                <w:kern w:val="0"/>
                <w:sz w:val="21"/>
                <w:szCs w:val="21"/>
                <w:highlight w:val="none"/>
                <w:lang w:val="en-US" w:eastAsia="zh-CN"/>
              </w:rPr>
            </w:pPr>
            <w:r>
              <w:rPr>
                <w:rFonts w:hint="default" w:ascii="Times New Roman" w:hAnsi="Times New Roman" w:cs="Times New Roman"/>
                <w:caps w:val="0"/>
                <w:smallCaps w:val="0"/>
                <w:color w:val="auto"/>
                <w:w w:val="100"/>
                <w:kern w:val="0"/>
                <w:sz w:val="21"/>
                <w:szCs w:val="21"/>
                <w:highlight w:val="none"/>
              </w:rPr>
              <w:t>水位（m）</w:t>
            </w:r>
          </w:p>
        </w:tc>
        <w:tc>
          <w:tcPr>
            <w:tcW w:w="1175" w:type="pc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eastAsia="Arial" w:cs="Times New Roman"/>
                <w:caps w:val="0"/>
                <w:smallCaps w:val="0"/>
                <w:snapToGrid w:val="0"/>
                <w:color w:val="auto"/>
                <w:w w:val="100"/>
                <w:kern w:val="0"/>
                <w:sz w:val="21"/>
                <w:szCs w:val="21"/>
                <w:highlight w:val="none"/>
                <w:lang w:val="en-US" w:eastAsia="zh-CN"/>
              </w:rPr>
            </w:pPr>
            <w:r>
              <w:rPr>
                <w:rFonts w:hint="default" w:ascii="Times New Roman" w:hAnsi="Times New Roman" w:cs="Times New Roman"/>
                <w:caps w:val="0"/>
                <w:smallCaps w:val="0"/>
                <w:color w:val="auto"/>
                <w:w w:val="100"/>
                <w:kern w:val="0"/>
                <w:sz w:val="21"/>
                <w:szCs w:val="21"/>
                <w:highlight w:val="none"/>
              </w:rPr>
              <w:t>监测含水层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D1</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Arial" w:cs="Times New Roman"/>
                <w:snapToGrid w:val="0"/>
                <w:color w:val="auto"/>
                <w:kern w:val="0"/>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长青屯承压水井</w:t>
            </w:r>
          </w:p>
        </w:tc>
        <w:tc>
          <w:tcPr>
            <w:tcW w:w="1411"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120</w:t>
            </w:r>
          </w:p>
        </w:tc>
        <w:tc>
          <w:tcPr>
            <w:tcW w:w="1550"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olor w:val="auto"/>
                <w:szCs w:val="21"/>
                <w:highlight w:val="none"/>
                <w:lang w:val="en-US" w:eastAsia="zh-CN"/>
              </w:rPr>
              <w:t>129</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承压水观测井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D2</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Arial" w:cs="Times New Roman"/>
                <w:snapToGrid w:val="0"/>
                <w:color w:val="auto"/>
                <w:kern w:val="0"/>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新立屯散户潜水井</w:t>
            </w:r>
          </w:p>
        </w:tc>
        <w:tc>
          <w:tcPr>
            <w:tcW w:w="1411"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w:t>
            </w:r>
          </w:p>
        </w:tc>
        <w:tc>
          <w:tcPr>
            <w:tcW w:w="1550"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134</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潜水观测井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D3</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Arial" w:cs="Times New Roman"/>
                <w:snapToGrid w:val="0"/>
                <w:color w:val="auto"/>
                <w:kern w:val="0"/>
                <w:sz w:val="21"/>
                <w:szCs w:val="21"/>
                <w:highlight w:val="none"/>
                <w:lang w:val="en-US" w:eastAsia="zh-CN"/>
              </w:rPr>
            </w:pPr>
            <w:r>
              <w:rPr>
                <w:rFonts w:hint="eastAsia"/>
                <w:color w:val="auto"/>
                <w:highlight w:val="none"/>
                <w:lang w:val="en-US" w:eastAsia="zh-CN"/>
              </w:rPr>
              <w:t>大五家子潜水井</w:t>
            </w:r>
          </w:p>
        </w:tc>
        <w:tc>
          <w:tcPr>
            <w:tcW w:w="1411"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30</w:t>
            </w:r>
          </w:p>
        </w:tc>
        <w:tc>
          <w:tcPr>
            <w:tcW w:w="1550"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135</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潜水观测井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D4</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Arial" w:cs="Times New Roman"/>
                <w:snapToGrid w:val="0"/>
                <w:color w:val="auto"/>
                <w:kern w:val="0"/>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河北</w:t>
            </w:r>
            <w:r>
              <w:rPr>
                <w:rFonts w:hint="eastAsia" w:cs="Times New Roman"/>
                <w:color w:val="auto"/>
                <w:sz w:val="21"/>
                <w:szCs w:val="21"/>
                <w:highlight w:val="none"/>
                <w:lang w:val="en-US" w:eastAsia="zh-CN"/>
              </w:rPr>
              <w:t>村</w:t>
            </w:r>
            <w:r>
              <w:rPr>
                <w:rFonts w:hint="eastAsia" w:ascii="Times New Roman" w:hAnsi="Times New Roman" w:eastAsia="宋体" w:cs="Times New Roman"/>
                <w:color w:val="auto"/>
                <w:sz w:val="21"/>
                <w:szCs w:val="21"/>
                <w:highlight w:val="none"/>
                <w:lang w:val="en-US" w:eastAsia="zh-CN"/>
              </w:rPr>
              <w:t>承压水井</w:t>
            </w:r>
          </w:p>
        </w:tc>
        <w:tc>
          <w:tcPr>
            <w:tcW w:w="1411"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110</w:t>
            </w:r>
          </w:p>
        </w:tc>
        <w:tc>
          <w:tcPr>
            <w:tcW w:w="1550"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130</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承压水观测井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D5</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Arial" w:cs="Times New Roman"/>
                <w:snapToGrid w:val="0"/>
                <w:color w:val="auto"/>
                <w:kern w:val="0"/>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西葫芦代潜水井</w:t>
            </w:r>
          </w:p>
        </w:tc>
        <w:tc>
          <w:tcPr>
            <w:tcW w:w="1411"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c>
          <w:tcPr>
            <w:tcW w:w="1550"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140</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潜水观测井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D6</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Arial" w:cs="Times New Roman"/>
                <w:snapToGrid w:val="0"/>
                <w:color w:val="auto"/>
                <w:kern w:val="0"/>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古龙镇承压水井</w:t>
            </w:r>
          </w:p>
        </w:tc>
        <w:tc>
          <w:tcPr>
            <w:tcW w:w="1411"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110</w:t>
            </w:r>
          </w:p>
        </w:tc>
        <w:tc>
          <w:tcPr>
            <w:tcW w:w="1550"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131</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承压水观测井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D7</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Arial" w:cs="Times New Roman"/>
                <w:snapToGrid w:val="0"/>
                <w:color w:val="auto"/>
                <w:kern w:val="0"/>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道宝村</w:t>
            </w:r>
            <w:r>
              <w:rPr>
                <w:rFonts w:hint="eastAsia" w:eastAsia="宋体" w:cs="Times New Roman"/>
                <w:color w:val="auto"/>
                <w:sz w:val="21"/>
                <w:szCs w:val="21"/>
                <w:highlight w:val="none"/>
                <w:lang w:val="en-US" w:eastAsia="zh-CN"/>
              </w:rPr>
              <w:t>承压水井</w:t>
            </w:r>
          </w:p>
        </w:tc>
        <w:tc>
          <w:tcPr>
            <w:tcW w:w="1411"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110</w:t>
            </w:r>
          </w:p>
        </w:tc>
        <w:tc>
          <w:tcPr>
            <w:tcW w:w="1550"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126</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b w:val="0"/>
                <w:bCs w:val="0"/>
                <w:color w:val="auto"/>
                <w:szCs w:val="21"/>
                <w:highlight w:val="none"/>
                <w:lang w:val="en-US" w:eastAsia="zh-CN"/>
              </w:rPr>
            </w:pPr>
            <w:bookmarkStart w:id="740" w:name="_Toc16553"/>
            <w:bookmarkStart w:id="741" w:name="_Toc17988"/>
            <w:r>
              <w:rPr>
                <w:rFonts w:hint="eastAsia" w:ascii="Times New Roman" w:hAnsi="Times New Roman" w:eastAsia="宋体" w:cs="Times New Roman"/>
                <w:color w:val="auto"/>
                <w:sz w:val="21"/>
                <w:szCs w:val="21"/>
                <w:highlight w:val="none"/>
                <w:lang w:val="en-US" w:eastAsia="zh-CN"/>
              </w:rPr>
              <w:t>承压水观测井</w:t>
            </w:r>
            <w:bookmarkEnd w:id="740"/>
            <w:bookmarkEnd w:id="741"/>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D8</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Arial" w:cs="Times New Roman"/>
                <w:snapToGrid w:val="0"/>
                <w:color w:val="auto"/>
                <w:kern w:val="0"/>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道宝村</w:t>
            </w:r>
            <w:r>
              <w:rPr>
                <w:rFonts w:hint="eastAsia" w:eastAsia="宋体" w:cs="Times New Roman"/>
                <w:color w:val="auto"/>
                <w:sz w:val="21"/>
                <w:szCs w:val="21"/>
                <w:highlight w:val="none"/>
                <w:lang w:val="en-US" w:eastAsia="zh-CN"/>
              </w:rPr>
              <w:t>潜水井</w:t>
            </w:r>
          </w:p>
        </w:tc>
        <w:tc>
          <w:tcPr>
            <w:tcW w:w="1411"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1550"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134</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b w:val="0"/>
                <w:bCs w:val="0"/>
                <w:color w:val="auto"/>
                <w:szCs w:val="21"/>
                <w:highlight w:val="none"/>
                <w:lang w:val="en-US" w:eastAsia="zh-CN"/>
              </w:rPr>
            </w:pPr>
            <w:bookmarkStart w:id="742" w:name="_Toc5246"/>
            <w:bookmarkStart w:id="743" w:name="_Toc17149"/>
            <w:r>
              <w:rPr>
                <w:rFonts w:hint="eastAsia" w:ascii="Times New Roman" w:hAnsi="Times New Roman" w:eastAsia="宋体" w:cs="Times New Roman"/>
                <w:color w:val="auto"/>
                <w:sz w:val="21"/>
                <w:szCs w:val="21"/>
                <w:highlight w:val="none"/>
                <w:lang w:val="en-US" w:eastAsia="zh-CN"/>
              </w:rPr>
              <w:t>潜水观测井</w:t>
            </w:r>
            <w:bookmarkEnd w:id="742"/>
            <w:bookmarkEnd w:id="743"/>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D9</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Arial" w:cs="Times New Roman"/>
                <w:snapToGrid w:val="0"/>
                <w:color w:val="auto"/>
                <w:kern w:val="0"/>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发展村</w:t>
            </w:r>
            <w:r>
              <w:rPr>
                <w:rFonts w:hint="eastAsia" w:eastAsia="宋体" w:cs="Times New Roman"/>
                <w:color w:val="auto"/>
                <w:sz w:val="21"/>
                <w:szCs w:val="21"/>
                <w:highlight w:val="none"/>
                <w:lang w:val="en-US" w:eastAsia="zh-CN"/>
              </w:rPr>
              <w:t>承压水井</w:t>
            </w:r>
          </w:p>
        </w:tc>
        <w:tc>
          <w:tcPr>
            <w:tcW w:w="1411"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120</w:t>
            </w:r>
          </w:p>
        </w:tc>
        <w:tc>
          <w:tcPr>
            <w:tcW w:w="1550"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131</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b w:val="0"/>
                <w:bCs w:val="0"/>
                <w:color w:val="auto"/>
                <w:szCs w:val="21"/>
                <w:highlight w:val="none"/>
                <w:lang w:val="en-US" w:eastAsia="zh-CN"/>
              </w:rPr>
            </w:pPr>
            <w:bookmarkStart w:id="744" w:name="_Toc10599"/>
            <w:bookmarkStart w:id="745" w:name="_Toc1263"/>
            <w:r>
              <w:rPr>
                <w:rFonts w:hint="eastAsia" w:ascii="Times New Roman" w:hAnsi="Times New Roman" w:eastAsia="宋体" w:cs="Times New Roman"/>
                <w:color w:val="auto"/>
                <w:sz w:val="21"/>
                <w:szCs w:val="21"/>
                <w:highlight w:val="none"/>
                <w:lang w:val="en-US" w:eastAsia="zh-CN"/>
              </w:rPr>
              <w:t>承压水观测井</w:t>
            </w:r>
            <w:bookmarkEnd w:id="744"/>
            <w:bookmarkEnd w:id="745"/>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D10</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Arial" w:cs="Times New Roman"/>
                <w:snapToGrid w:val="0"/>
                <w:color w:val="auto"/>
                <w:kern w:val="0"/>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卧龙</w:t>
            </w:r>
            <w:r>
              <w:rPr>
                <w:rFonts w:hint="eastAsia" w:cs="Times New Roman"/>
                <w:color w:val="auto"/>
                <w:sz w:val="21"/>
                <w:szCs w:val="21"/>
                <w:highlight w:val="none"/>
                <w:lang w:val="en-US" w:eastAsia="zh-CN"/>
              </w:rPr>
              <w:t>岱屯</w:t>
            </w:r>
            <w:r>
              <w:rPr>
                <w:rFonts w:hint="eastAsia" w:eastAsia="宋体" w:cs="Times New Roman"/>
                <w:color w:val="auto"/>
                <w:sz w:val="21"/>
                <w:szCs w:val="21"/>
                <w:highlight w:val="none"/>
                <w:lang w:val="en-US" w:eastAsia="zh-CN"/>
              </w:rPr>
              <w:t>潜水井</w:t>
            </w:r>
          </w:p>
        </w:tc>
        <w:tc>
          <w:tcPr>
            <w:tcW w:w="1411"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w:t>
            </w:r>
          </w:p>
        </w:tc>
        <w:tc>
          <w:tcPr>
            <w:tcW w:w="1550" w:type="dxa"/>
            <w:tcBorders>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134</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b w:val="0"/>
                <w:bCs w:val="0"/>
                <w:color w:val="auto"/>
                <w:szCs w:val="21"/>
                <w:highlight w:val="none"/>
                <w:lang w:val="en-US" w:eastAsia="zh-CN"/>
              </w:rPr>
            </w:pPr>
            <w:bookmarkStart w:id="746" w:name="_Toc10094"/>
            <w:bookmarkStart w:id="747" w:name="_Toc3878"/>
            <w:r>
              <w:rPr>
                <w:rFonts w:hint="eastAsia" w:ascii="Times New Roman" w:hAnsi="Times New Roman" w:eastAsia="宋体" w:cs="Times New Roman"/>
                <w:color w:val="auto"/>
                <w:sz w:val="21"/>
                <w:szCs w:val="21"/>
                <w:highlight w:val="none"/>
                <w:lang w:val="en-US" w:eastAsia="zh-CN"/>
              </w:rPr>
              <w:t>潜水观测井</w:t>
            </w:r>
            <w:bookmarkEnd w:id="746"/>
            <w:bookmarkEnd w:id="74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D11</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长发村承压水井</w:t>
            </w:r>
          </w:p>
        </w:tc>
        <w:tc>
          <w:tcPr>
            <w:tcW w:w="1411"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w:t>
            </w:r>
          </w:p>
        </w:tc>
        <w:tc>
          <w:tcPr>
            <w:tcW w:w="1550"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127</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承压水观测井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D12</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大葛村潜水井</w:t>
            </w:r>
          </w:p>
        </w:tc>
        <w:tc>
          <w:tcPr>
            <w:tcW w:w="1411"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w:t>
            </w:r>
          </w:p>
        </w:tc>
        <w:tc>
          <w:tcPr>
            <w:tcW w:w="1550"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122</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潜水观测井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D13</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东太村潜水井</w:t>
            </w:r>
          </w:p>
        </w:tc>
        <w:tc>
          <w:tcPr>
            <w:tcW w:w="1411"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w:t>
            </w:r>
          </w:p>
        </w:tc>
        <w:tc>
          <w:tcPr>
            <w:tcW w:w="1550"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125</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潜水观测井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D14</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富强村承压水井</w:t>
            </w:r>
          </w:p>
        </w:tc>
        <w:tc>
          <w:tcPr>
            <w:tcW w:w="1411"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120</w:t>
            </w:r>
          </w:p>
        </w:tc>
        <w:tc>
          <w:tcPr>
            <w:tcW w:w="1550"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126</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承压水观测井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8" w:hRule="atLeast"/>
        </w:trPr>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D15</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东葫芦代承压水井</w:t>
            </w:r>
          </w:p>
        </w:tc>
        <w:tc>
          <w:tcPr>
            <w:tcW w:w="1411"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olor w:val="auto"/>
                <w:szCs w:val="21"/>
                <w:highlight w:val="none"/>
                <w:lang w:val="en-US" w:eastAsia="zh-CN"/>
              </w:rPr>
              <w:t>130</w:t>
            </w:r>
          </w:p>
        </w:tc>
        <w:tc>
          <w:tcPr>
            <w:tcW w:w="1550"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olor w:val="auto"/>
                <w:szCs w:val="21"/>
                <w:highlight w:val="none"/>
                <w:lang w:val="en-US" w:eastAsia="zh-CN"/>
              </w:rPr>
              <w:t>131</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承压水观测井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D16</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长发屯潜水井</w:t>
            </w:r>
          </w:p>
        </w:tc>
        <w:tc>
          <w:tcPr>
            <w:tcW w:w="1411"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olor w:val="auto"/>
                <w:szCs w:val="21"/>
                <w:highlight w:val="none"/>
                <w:lang w:val="en-US" w:eastAsia="zh-CN"/>
              </w:rPr>
              <w:t>25</w:t>
            </w:r>
          </w:p>
        </w:tc>
        <w:tc>
          <w:tcPr>
            <w:tcW w:w="1550"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olor w:val="auto"/>
                <w:szCs w:val="21"/>
                <w:highlight w:val="none"/>
                <w:lang w:val="en-US" w:eastAsia="zh-CN"/>
              </w:rPr>
              <w:t>123</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潜水观测井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D17</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熬包得根承压水井</w:t>
            </w:r>
          </w:p>
        </w:tc>
        <w:tc>
          <w:tcPr>
            <w:tcW w:w="1411"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olor w:val="auto"/>
                <w:szCs w:val="21"/>
                <w:highlight w:val="none"/>
                <w:lang w:val="en-US" w:eastAsia="zh-CN"/>
              </w:rPr>
              <w:t>110</w:t>
            </w:r>
          </w:p>
        </w:tc>
        <w:tc>
          <w:tcPr>
            <w:tcW w:w="1550"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olor w:val="auto"/>
                <w:szCs w:val="21"/>
                <w:highlight w:val="none"/>
                <w:lang w:val="en-US" w:eastAsia="zh-CN"/>
              </w:rPr>
              <w:t>131</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承压水观测井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D18</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鸭木蛋格潜水井</w:t>
            </w:r>
          </w:p>
        </w:tc>
        <w:tc>
          <w:tcPr>
            <w:tcW w:w="1411"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olor w:val="auto"/>
                <w:szCs w:val="21"/>
                <w:highlight w:val="none"/>
                <w:lang w:val="en-US" w:eastAsia="zh-CN"/>
              </w:rPr>
              <w:t>20</w:t>
            </w:r>
          </w:p>
        </w:tc>
        <w:tc>
          <w:tcPr>
            <w:tcW w:w="1550"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olor w:val="auto"/>
                <w:szCs w:val="21"/>
                <w:highlight w:val="none"/>
                <w:lang w:val="en-US" w:eastAsia="zh-CN"/>
              </w:rPr>
              <w:t>127</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潜水观测井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D19</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龙西村潜水井</w:t>
            </w:r>
          </w:p>
        </w:tc>
        <w:tc>
          <w:tcPr>
            <w:tcW w:w="1411"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olor w:val="auto"/>
                <w:szCs w:val="21"/>
                <w:highlight w:val="none"/>
                <w:lang w:val="en-US" w:eastAsia="zh-CN"/>
              </w:rPr>
              <w:t>25</w:t>
            </w:r>
          </w:p>
        </w:tc>
        <w:tc>
          <w:tcPr>
            <w:tcW w:w="1550"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olor w:val="auto"/>
                <w:szCs w:val="21"/>
                <w:highlight w:val="none"/>
                <w:lang w:val="en-US" w:eastAsia="zh-CN"/>
              </w:rPr>
              <w:t>122</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潜水观测井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D20</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南岗子承压水井</w:t>
            </w:r>
          </w:p>
        </w:tc>
        <w:tc>
          <w:tcPr>
            <w:tcW w:w="1411"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olor w:val="auto"/>
                <w:szCs w:val="21"/>
                <w:highlight w:val="none"/>
                <w:lang w:val="en-US" w:eastAsia="zh-CN"/>
              </w:rPr>
              <w:t>120</w:t>
            </w:r>
          </w:p>
        </w:tc>
        <w:tc>
          <w:tcPr>
            <w:tcW w:w="1550"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olor w:val="auto"/>
                <w:szCs w:val="21"/>
                <w:highlight w:val="none"/>
                <w:lang w:val="en-US" w:eastAsia="zh-CN"/>
              </w:rPr>
              <w:t>121</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承压水观测井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D21</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赵家窑潜水井</w:t>
            </w:r>
          </w:p>
        </w:tc>
        <w:tc>
          <w:tcPr>
            <w:tcW w:w="1411"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olor w:val="auto"/>
                <w:szCs w:val="21"/>
                <w:highlight w:val="none"/>
                <w:lang w:val="en-US" w:eastAsia="zh-CN"/>
              </w:rPr>
              <w:t>25</w:t>
            </w:r>
          </w:p>
        </w:tc>
        <w:tc>
          <w:tcPr>
            <w:tcW w:w="1550"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olor w:val="auto"/>
                <w:szCs w:val="21"/>
                <w:highlight w:val="none"/>
                <w:lang w:val="en-US" w:eastAsia="zh-CN"/>
              </w:rPr>
              <w:t>120</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潜水观测井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7" w:type="pct"/>
            <w:tcBorders>
              <w:tl2br w:val="nil"/>
              <w:tr2bl w:val="nil"/>
            </w:tcBorders>
            <w:vAlign w:val="center"/>
          </w:tcPr>
          <w:p>
            <w:pPr>
              <w:widowControl w:val="0"/>
              <w:snapToGrid w:val="0"/>
              <w:spacing w:line="240" w:lineRule="auto"/>
              <w:jc w:val="center"/>
              <w:rPr>
                <w:rFonts w:hint="default" w:ascii="Times New Roman" w:hAnsi="Times New Roman" w:eastAsia="Arial"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D22</w:t>
            </w:r>
          </w:p>
        </w:tc>
        <w:tc>
          <w:tcPr>
            <w:tcW w:w="14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两棵树村承压水井</w:t>
            </w:r>
          </w:p>
        </w:tc>
        <w:tc>
          <w:tcPr>
            <w:tcW w:w="1411"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olor w:val="auto"/>
                <w:szCs w:val="21"/>
                <w:highlight w:val="none"/>
                <w:lang w:val="en-US" w:eastAsia="zh-CN"/>
              </w:rPr>
              <w:t>110</w:t>
            </w:r>
          </w:p>
        </w:tc>
        <w:tc>
          <w:tcPr>
            <w:tcW w:w="1550"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olor w:val="auto"/>
                <w:szCs w:val="21"/>
                <w:highlight w:val="none"/>
                <w:lang w:val="en-US" w:eastAsia="zh-CN"/>
              </w:rPr>
              <w:t>123</w:t>
            </w:r>
          </w:p>
        </w:tc>
        <w:tc>
          <w:tcPr>
            <w:tcW w:w="11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承压水观测井</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4.2.3.2地下水环境现状评价</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①评价因子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评价因子为氨氮、硝酸盐、亚硝酸盐、挥发性酚类、氟化物、氰化物、砷、汞、六价铬、总硬度、铅、镉、铁、锰、溶解性总固体、高锰酸盐指数、硫酸盐、氯化物、总大肠菌群、细菌总数、石油类。</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②评价方法</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采用标准指数法。</w:t>
      </w:r>
    </w:p>
    <w:p>
      <w:pPr>
        <w:keepNext w:val="0"/>
        <w:keepLines w:val="0"/>
        <w:pageBreakBefore w:val="0"/>
        <w:widowControl/>
        <w:kinsoku w:val="0"/>
        <w:wordWrap/>
        <w:overflowPunct/>
        <w:topLinePunct w:val="0"/>
        <w:autoSpaceDE w:val="0"/>
        <w:autoSpaceDN w:val="0"/>
        <w:bidi w:val="0"/>
        <w:adjustRightInd w:val="0"/>
        <w:snapToGrid w:val="0"/>
        <w:spacing w:line="240" w:lineRule="auto"/>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drawing>
          <wp:inline distT="0" distB="0" distL="114300" distR="114300">
            <wp:extent cx="1743075" cy="1009650"/>
            <wp:effectExtent l="0" t="0" r="9525" b="0"/>
            <wp:docPr id="30" name="图片 30" descr="地下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地下水1"/>
                    <pic:cNvPicPr>
                      <a:picLocks noChangeAspect="1"/>
                    </pic:cNvPicPr>
                  </pic:nvPicPr>
                  <pic:blipFill>
                    <a:blip r:embed="rId33"/>
                    <a:stretch>
                      <a:fillRect/>
                    </a:stretch>
                  </pic:blipFill>
                  <pic:spPr>
                    <a:xfrm>
                      <a:off x="0" y="0"/>
                      <a:ext cx="1743075" cy="100965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式中：P</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i</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—第i个水质因子的标准指数，无量纲；</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 xml:space="preserve">      C</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i</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—第i个水质因子的监测浓度值（mg/L）；</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olor w:val="auto"/>
          <w:highlight w:val="none"/>
          <w:lang w:val="en-US" w:eastAsia="zh-CN"/>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 xml:space="preserve">      C</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si</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—第i个水质因子的标准浓度值（mg/L）。</w:t>
      </w:r>
    </w:p>
    <w:p>
      <w:pPr>
        <w:keepNext w:val="0"/>
        <w:keepLines w:val="0"/>
        <w:pageBreakBefore w:val="0"/>
        <w:widowControl/>
        <w:kinsoku w:val="0"/>
        <w:wordWrap/>
        <w:overflowPunct/>
        <w:topLinePunct w:val="0"/>
        <w:autoSpaceDE w:val="0"/>
        <w:autoSpaceDN w:val="0"/>
        <w:bidi w:val="0"/>
        <w:adjustRightInd w:val="0"/>
        <w:snapToGrid w:val="0"/>
        <w:spacing w:line="240" w:lineRule="auto"/>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drawing>
          <wp:inline distT="0" distB="0" distL="114300" distR="114300">
            <wp:extent cx="4114800" cy="2095500"/>
            <wp:effectExtent l="0" t="0" r="0" b="0"/>
            <wp:docPr id="29" name="图片 29" descr="地下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地下水2"/>
                    <pic:cNvPicPr>
                      <a:picLocks noChangeAspect="1"/>
                    </pic:cNvPicPr>
                  </pic:nvPicPr>
                  <pic:blipFill>
                    <a:blip r:embed="rId34"/>
                    <a:stretch>
                      <a:fillRect/>
                    </a:stretch>
                  </pic:blipFill>
                  <pic:spPr>
                    <a:xfrm>
                      <a:off x="0" y="0"/>
                      <a:ext cx="4114800" cy="209550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式中：P</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pH</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—pH的标准指数，无量纲；</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 xml:space="preserve">      pH—pH监测值；</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 xml:space="preserve">      pH</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su</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—pH值标准规定的上限值；</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 xml:space="preserve">      pH</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sd</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—pH标准规定的下限值。</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③评价标准</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石油类参照执行《地表水环境质量标准》（GB3838-2002）III类限值。其他监测项目执行《地下水质量标准》（GB/T14848-2017）中III类标准。</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④评价结果</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地下水环境现状评价结果见表4.2-9。</w:t>
      </w:r>
    </w:p>
    <w:p>
      <w:pP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br w:type="page"/>
      </w:r>
    </w:p>
    <w:p>
      <w:pPr>
        <w:pStyle w:val="11"/>
        <w:rPr>
          <w:rFonts w:hint="eastAsia"/>
          <w:color w:val="auto"/>
          <w:highlight w:val="none"/>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default" w:ascii="Times New Roman" w:hAnsi="Times New Roman" w:eastAsia="宋体" w:cs="Times New Roman"/>
          <w:b/>
          <w:bCs/>
          <w:color w:val="auto"/>
          <w:kern w:val="0"/>
          <w:sz w:val="21"/>
          <w:szCs w:val="21"/>
          <w:highlight w:val="none"/>
          <w:lang w:val="en-US" w:eastAsia="zh-CN" w:bidi="ar"/>
        </w:rPr>
        <w:t>4.</w:t>
      </w:r>
      <w:r>
        <w:rPr>
          <w:rFonts w:hint="eastAsia" w:ascii="Times New Roman" w:hAnsi="Times New Roman" w:eastAsia="宋体" w:cs="Times New Roman"/>
          <w:b/>
          <w:bCs/>
          <w:color w:val="auto"/>
          <w:kern w:val="0"/>
          <w:sz w:val="21"/>
          <w:szCs w:val="21"/>
          <w:highlight w:val="none"/>
          <w:lang w:val="en-US" w:eastAsia="zh-CN" w:bidi="ar"/>
        </w:rPr>
        <w:t>2</w:t>
      </w:r>
      <w:r>
        <w:rPr>
          <w:rFonts w:hint="default" w:ascii="Times New Roman" w:hAnsi="Times New Roman" w:eastAsia="宋体" w:cs="Times New Roman"/>
          <w:b/>
          <w:bCs/>
          <w:color w:val="auto"/>
          <w:kern w:val="0"/>
          <w:sz w:val="21"/>
          <w:szCs w:val="21"/>
          <w:highlight w:val="none"/>
          <w:lang w:val="en-US" w:eastAsia="zh-CN" w:bidi="ar"/>
        </w:rPr>
        <w:t>-</w:t>
      </w:r>
      <w:r>
        <w:rPr>
          <w:rFonts w:hint="eastAsia" w:cs="Times New Roman"/>
          <w:b/>
          <w:bCs/>
          <w:color w:val="auto"/>
          <w:kern w:val="0"/>
          <w:sz w:val="21"/>
          <w:szCs w:val="21"/>
          <w:highlight w:val="none"/>
          <w:lang w:val="en-US" w:eastAsia="zh-CN" w:bidi="ar"/>
        </w:rPr>
        <w:t>9</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地下水环境现状评价结果表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65"/>
        <w:gridCol w:w="1310"/>
        <w:gridCol w:w="1310"/>
        <w:gridCol w:w="1310"/>
        <w:gridCol w:w="1310"/>
        <w:gridCol w:w="1310"/>
        <w:gridCol w:w="1310"/>
        <w:gridCol w:w="1310"/>
        <w:gridCol w:w="1310"/>
        <w:gridCol w:w="1310"/>
        <w:gridCol w:w="131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widowControl w:val="0"/>
              <w:snapToGrid w:val="0"/>
              <w:spacing w:line="240" w:lineRule="auto"/>
              <w:jc w:val="left"/>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监测点位</w:t>
            </w:r>
          </w:p>
          <w:p>
            <w:pPr>
              <w:widowControl w:val="0"/>
              <w:snapToGrid w:val="0"/>
              <w:spacing w:line="240" w:lineRule="auto"/>
              <w:jc w:val="right"/>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监测项目</w:t>
            </w:r>
          </w:p>
        </w:tc>
        <w:tc>
          <w:tcPr>
            <w:tcW w:w="131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长青屯承压水井</w:t>
            </w:r>
          </w:p>
        </w:tc>
        <w:tc>
          <w:tcPr>
            <w:tcW w:w="131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新立屯散户潜水井</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olor w:val="auto"/>
                <w:highlight w:val="none"/>
                <w:lang w:val="en-US" w:eastAsia="zh-CN"/>
              </w:rPr>
              <w:t>大五家子潜水井</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河北</w:t>
            </w:r>
            <w:r>
              <w:rPr>
                <w:rFonts w:hint="eastAsia" w:cs="Times New Roman"/>
                <w:color w:val="auto"/>
                <w:sz w:val="21"/>
                <w:szCs w:val="21"/>
                <w:highlight w:val="none"/>
                <w:lang w:val="en-US" w:eastAsia="zh-CN"/>
              </w:rPr>
              <w:t>村</w:t>
            </w:r>
            <w:r>
              <w:rPr>
                <w:rFonts w:hint="eastAsia" w:ascii="Times New Roman" w:hAnsi="Times New Roman" w:eastAsia="宋体" w:cs="Times New Roman"/>
                <w:color w:val="auto"/>
                <w:sz w:val="21"/>
                <w:szCs w:val="21"/>
                <w:highlight w:val="none"/>
                <w:lang w:val="en-US" w:eastAsia="zh-CN"/>
              </w:rPr>
              <w:t>承压水井</w:t>
            </w:r>
          </w:p>
        </w:tc>
        <w:tc>
          <w:tcPr>
            <w:tcW w:w="131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西葫芦代潜水井</w:t>
            </w:r>
          </w:p>
        </w:tc>
        <w:tc>
          <w:tcPr>
            <w:tcW w:w="131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古龙镇承压水井</w:t>
            </w:r>
          </w:p>
        </w:tc>
        <w:tc>
          <w:tcPr>
            <w:tcW w:w="131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道宝村承压水井</w:t>
            </w:r>
          </w:p>
        </w:tc>
        <w:tc>
          <w:tcPr>
            <w:tcW w:w="131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道宝村潜水井</w:t>
            </w:r>
          </w:p>
        </w:tc>
        <w:tc>
          <w:tcPr>
            <w:tcW w:w="131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发展村承压水井</w:t>
            </w:r>
          </w:p>
        </w:tc>
        <w:tc>
          <w:tcPr>
            <w:tcW w:w="1313" w:type="dxa"/>
            <w:tcBorders>
              <w:tl2br w:val="nil"/>
              <w:tr2bl w:val="nil"/>
            </w:tcBorders>
            <w:vAlign w:val="center"/>
          </w:tcPr>
          <w:p>
            <w:pPr>
              <w:keepNext w:val="0"/>
              <w:keepLines w:val="0"/>
              <w:widowControl/>
              <w:suppressLineNumbers w:val="0"/>
              <w:jc w:val="center"/>
              <w:textAlignment w:val="center"/>
              <w:rPr>
                <w:rFonts w:hint="default" w:ascii="Arial" w:hAnsi="Arial" w:eastAsia="宋体" w:cs="Arial"/>
                <w:i w:val="0"/>
                <w:iCs w:val="0"/>
                <w:snapToGrid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卧龙</w:t>
            </w:r>
            <w:r>
              <w:rPr>
                <w:rFonts w:hint="eastAsia" w:cs="Times New Roman"/>
                <w:color w:val="auto"/>
                <w:sz w:val="21"/>
                <w:szCs w:val="21"/>
                <w:highlight w:val="none"/>
                <w:lang w:val="en-US" w:eastAsia="zh-CN"/>
              </w:rPr>
              <w:t>岱屯</w:t>
            </w:r>
            <w:r>
              <w:rPr>
                <w:rFonts w:hint="eastAsia" w:eastAsia="宋体" w:cs="Times New Roman"/>
                <w:color w:val="auto"/>
                <w:sz w:val="21"/>
                <w:szCs w:val="21"/>
                <w:highlight w:val="none"/>
                <w:lang w:val="en-US" w:eastAsia="zh-CN"/>
              </w:rPr>
              <w:t>潜水井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i w:val="0"/>
                <w:iCs w:val="0"/>
                <w:caps w:val="0"/>
                <w:smallCaps w:val="0"/>
                <w:color w:val="auto"/>
                <w:w w:val="100"/>
                <w:kern w:val="0"/>
                <w:sz w:val="21"/>
                <w:szCs w:val="21"/>
                <w:highlight w:val="none"/>
                <w:u w:val="none"/>
                <w:lang w:val="en-US" w:eastAsia="zh-CN" w:bidi="ar"/>
              </w:rPr>
              <w:t>k</w:t>
            </w:r>
            <w:r>
              <w:rPr>
                <w:rFonts w:hint="default" w:ascii="Times New Roman" w:hAnsi="Times New Roman" w:eastAsia="宋体" w:cs="Times New Roman"/>
                <w:i w:val="0"/>
                <w:iCs w:val="0"/>
                <w:caps w:val="0"/>
                <w:smallCaps w:val="0"/>
                <w:color w:val="auto"/>
                <w:w w:val="100"/>
                <w:kern w:val="2"/>
                <w:sz w:val="21"/>
                <w:szCs w:val="21"/>
                <w:highlight w:val="none"/>
                <w:u w:val="none"/>
                <w:vertAlign w:val="superscript"/>
                <w:lang w:val="en-US" w:eastAsia="zh-CN" w:bidi="ar-SA"/>
              </w:rPr>
              <w:t>+</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748" w:name="_Toc5356"/>
            <w:bookmarkStart w:id="749" w:name="_Toc17637"/>
            <w:r>
              <w:rPr>
                <w:rFonts w:hint="eastAsia" w:ascii="Times New Roman" w:hAnsi="Times New Roman" w:eastAsia="宋体" w:cs="Times New Roman"/>
                <w:color w:val="auto"/>
                <w:szCs w:val="21"/>
                <w:highlight w:val="none"/>
                <w:lang w:val="en-US" w:eastAsia="zh-CN"/>
              </w:rPr>
              <w:t>/</w:t>
            </w:r>
            <w:bookmarkEnd w:id="748"/>
            <w:bookmarkEnd w:id="74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50" w:name="_Toc31791"/>
            <w:bookmarkStart w:id="751" w:name="_Toc8599"/>
            <w:r>
              <w:rPr>
                <w:rFonts w:hint="eastAsia" w:ascii="Times New Roman" w:hAnsi="Times New Roman" w:eastAsia="宋体" w:cs="Times New Roman"/>
                <w:color w:val="auto"/>
                <w:szCs w:val="21"/>
                <w:highlight w:val="none"/>
                <w:lang w:val="en-US" w:eastAsia="zh-CN"/>
              </w:rPr>
              <w:t>/</w:t>
            </w:r>
            <w:bookmarkEnd w:id="750"/>
            <w:bookmarkEnd w:id="75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52" w:name="_Toc29723"/>
            <w:bookmarkStart w:id="753" w:name="_Toc27426"/>
            <w:r>
              <w:rPr>
                <w:rFonts w:hint="eastAsia" w:ascii="Times New Roman" w:hAnsi="Times New Roman" w:eastAsia="宋体" w:cs="Times New Roman"/>
                <w:color w:val="auto"/>
                <w:szCs w:val="21"/>
                <w:highlight w:val="none"/>
                <w:lang w:val="en-US" w:eastAsia="zh-CN"/>
              </w:rPr>
              <w:t>/</w:t>
            </w:r>
            <w:bookmarkEnd w:id="752"/>
            <w:bookmarkEnd w:id="75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54" w:name="_Toc21573"/>
            <w:bookmarkStart w:id="755" w:name="_Toc16948"/>
            <w:r>
              <w:rPr>
                <w:rFonts w:hint="eastAsia" w:ascii="Times New Roman" w:hAnsi="Times New Roman" w:eastAsia="宋体" w:cs="Times New Roman"/>
                <w:color w:val="auto"/>
                <w:szCs w:val="21"/>
                <w:highlight w:val="none"/>
                <w:lang w:val="en-US" w:eastAsia="zh-CN"/>
              </w:rPr>
              <w:t>/</w:t>
            </w:r>
            <w:bookmarkEnd w:id="754"/>
            <w:bookmarkEnd w:id="75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56" w:name="_Toc18603"/>
            <w:bookmarkStart w:id="757" w:name="_Toc19027"/>
            <w:r>
              <w:rPr>
                <w:rFonts w:hint="eastAsia" w:ascii="Times New Roman" w:hAnsi="Times New Roman" w:eastAsia="宋体" w:cs="Times New Roman"/>
                <w:color w:val="auto"/>
                <w:szCs w:val="21"/>
                <w:highlight w:val="none"/>
                <w:lang w:val="en-US" w:eastAsia="zh-CN"/>
              </w:rPr>
              <w:t>/</w:t>
            </w:r>
            <w:bookmarkEnd w:id="756"/>
            <w:bookmarkEnd w:id="75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58" w:name="_Toc6521"/>
            <w:bookmarkStart w:id="759" w:name="_Toc24048"/>
            <w:r>
              <w:rPr>
                <w:rFonts w:hint="eastAsia" w:ascii="Times New Roman" w:hAnsi="Times New Roman" w:eastAsia="宋体" w:cs="Times New Roman"/>
                <w:color w:val="auto"/>
                <w:szCs w:val="21"/>
                <w:highlight w:val="none"/>
                <w:lang w:val="en-US" w:eastAsia="zh-CN"/>
              </w:rPr>
              <w:t>/</w:t>
            </w:r>
            <w:bookmarkEnd w:id="758"/>
            <w:bookmarkEnd w:id="75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60" w:name="_Toc1802"/>
            <w:bookmarkStart w:id="761" w:name="_Toc29524"/>
            <w:r>
              <w:rPr>
                <w:rFonts w:hint="eastAsia" w:ascii="Times New Roman" w:hAnsi="Times New Roman" w:eastAsia="宋体" w:cs="Times New Roman"/>
                <w:color w:val="auto"/>
                <w:szCs w:val="21"/>
                <w:highlight w:val="none"/>
                <w:lang w:val="en-US" w:eastAsia="zh-CN"/>
              </w:rPr>
              <w:t>/</w:t>
            </w:r>
            <w:bookmarkEnd w:id="760"/>
            <w:bookmarkEnd w:id="76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62" w:name="_Toc1538"/>
            <w:bookmarkStart w:id="763" w:name="_Toc8317"/>
            <w:r>
              <w:rPr>
                <w:rFonts w:hint="eastAsia" w:ascii="Times New Roman" w:hAnsi="Times New Roman" w:eastAsia="宋体" w:cs="Times New Roman"/>
                <w:color w:val="auto"/>
                <w:szCs w:val="21"/>
                <w:highlight w:val="none"/>
                <w:lang w:val="en-US" w:eastAsia="zh-CN"/>
              </w:rPr>
              <w:t>/</w:t>
            </w:r>
            <w:bookmarkEnd w:id="762"/>
            <w:bookmarkEnd w:id="76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64" w:name="_Toc5151"/>
            <w:bookmarkStart w:id="765" w:name="_Toc7705"/>
            <w:r>
              <w:rPr>
                <w:rFonts w:hint="eastAsia" w:ascii="Times New Roman" w:hAnsi="Times New Roman" w:eastAsia="宋体" w:cs="Times New Roman"/>
                <w:color w:val="auto"/>
                <w:szCs w:val="21"/>
                <w:highlight w:val="none"/>
                <w:lang w:val="en-US" w:eastAsia="zh-CN"/>
              </w:rPr>
              <w:t>/</w:t>
            </w:r>
            <w:bookmarkEnd w:id="764"/>
            <w:bookmarkEnd w:id="76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766" w:name="_Toc19296"/>
            <w:bookmarkStart w:id="767" w:name="_Toc1526"/>
            <w:r>
              <w:rPr>
                <w:rFonts w:hint="eastAsia" w:ascii="Times New Roman" w:hAnsi="Times New Roman" w:eastAsia="宋体" w:cs="Times New Roman"/>
                <w:color w:val="auto"/>
                <w:szCs w:val="21"/>
                <w:highlight w:val="none"/>
                <w:lang w:val="en-US" w:eastAsia="zh-CN"/>
              </w:rPr>
              <w:t>/</w:t>
            </w:r>
            <w:bookmarkEnd w:id="766"/>
            <w:bookmarkEnd w:id="76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i w:val="0"/>
                <w:iCs w:val="0"/>
                <w:caps w:val="0"/>
                <w:smallCaps w:val="0"/>
                <w:color w:val="auto"/>
                <w:w w:val="100"/>
                <w:kern w:val="0"/>
                <w:sz w:val="21"/>
                <w:szCs w:val="21"/>
                <w:highlight w:val="none"/>
                <w:u w:val="none"/>
                <w:lang w:val="en-US" w:eastAsia="zh-CN" w:bidi="ar"/>
              </w:rPr>
              <w:t>Na</w:t>
            </w:r>
            <w:r>
              <w:rPr>
                <w:rFonts w:hint="default" w:ascii="Times New Roman" w:hAnsi="Times New Roman" w:eastAsia="宋体" w:cs="Times New Roman"/>
                <w:i w:val="0"/>
                <w:iCs w:val="0"/>
                <w:caps w:val="0"/>
                <w:smallCaps w:val="0"/>
                <w:color w:val="auto"/>
                <w:w w:val="100"/>
                <w:kern w:val="2"/>
                <w:sz w:val="21"/>
                <w:szCs w:val="21"/>
                <w:highlight w:val="none"/>
                <w:u w:val="none"/>
                <w:vertAlign w:val="superscript"/>
                <w:lang w:val="en-US" w:eastAsia="zh-CN" w:bidi="ar-SA"/>
              </w:rPr>
              <w:t>+</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68" w:name="_Toc28946"/>
            <w:bookmarkStart w:id="769" w:name="_Toc25640"/>
            <w:r>
              <w:rPr>
                <w:rFonts w:hint="eastAsia" w:ascii="Times New Roman" w:hAnsi="Times New Roman" w:eastAsia="宋体" w:cs="Times New Roman"/>
                <w:color w:val="auto"/>
                <w:szCs w:val="21"/>
                <w:highlight w:val="none"/>
                <w:lang w:val="en-US" w:eastAsia="zh-CN"/>
              </w:rPr>
              <w:t>0.14</w:t>
            </w:r>
            <w:bookmarkEnd w:id="768"/>
            <w:bookmarkEnd w:id="76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70" w:name="_Toc3290"/>
            <w:bookmarkStart w:id="771" w:name="_Toc8350"/>
            <w:r>
              <w:rPr>
                <w:rFonts w:hint="eastAsia" w:ascii="Times New Roman" w:hAnsi="Times New Roman" w:eastAsia="宋体" w:cs="Times New Roman"/>
                <w:color w:val="auto"/>
                <w:szCs w:val="21"/>
                <w:highlight w:val="none"/>
                <w:lang w:val="en-US" w:eastAsia="zh-CN"/>
              </w:rPr>
              <w:t>0.1</w:t>
            </w:r>
            <w:r>
              <w:rPr>
                <w:rFonts w:hint="eastAsia" w:cs="Times New Roman"/>
                <w:color w:val="auto"/>
                <w:szCs w:val="21"/>
                <w:highlight w:val="none"/>
                <w:lang w:val="en-US" w:eastAsia="zh-CN"/>
              </w:rPr>
              <w:t>9</w:t>
            </w:r>
            <w:bookmarkEnd w:id="770"/>
            <w:bookmarkEnd w:id="77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72" w:name="_Toc20360"/>
            <w:bookmarkStart w:id="773" w:name="_Toc4765"/>
            <w:r>
              <w:rPr>
                <w:rFonts w:hint="eastAsia" w:ascii="Times New Roman" w:hAnsi="Times New Roman" w:eastAsia="宋体" w:cs="Times New Roman"/>
                <w:color w:val="auto"/>
                <w:szCs w:val="21"/>
                <w:highlight w:val="none"/>
                <w:lang w:val="en-US" w:eastAsia="zh-CN"/>
              </w:rPr>
              <w:t>0.2</w:t>
            </w:r>
            <w:r>
              <w:rPr>
                <w:rFonts w:hint="eastAsia" w:cs="Times New Roman"/>
                <w:color w:val="auto"/>
                <w:szCs w:val="21"/>
                <w:highlight w:val="none"/>
                <w:lang w:val="en-US" w:eastAsia="zh-CN"/>
              </w:rPr>
              <w:t>1</w:t>
            </w:r>
            <w:bookmarkEnd w:id="772"/>
            <w:bookmarkEnd w:id="77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774" w:name="_Toc6547"/>
            <w:bookmarkStart w:id="775" w:name="_Toc14066"/>
            <w:r>
              <w:rPr>
                <w:rFonts w:hint="eastAsia" w:ascii="Times New Roman" w:hAnsi="Times New Roman" w:eastAsia="宋体" w:cs="Times New Roman"/>
                <w:color w:val="auto"/>
                <w:szCs w:val="21"/>
                <w:highlight w:val="none"/>
                <w:lang w:val="en-US" w:eastAsia="zh-CN"/>
              </w:rPr>
              <w:t>0.</w:t>
            </w:r>
            <w:r>
              <w:rPr>
                <w:rFonts w:hint="eastAsia" w:cs="Times New Roman"/>
                <w:color w:val="auto"/>
                <w:szCs w:val="21"/>
                <w:highlight w:val="none"/>
                <w:lang w:val="en-US" w:eastAsia="zh-CN"/>
              </w:rPr>
              <w:t>20</w:t>
            </w:r>
            <w:bookmarkEnd w:id="774"/>
            <w:bookmarkEnd w:id="77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76" w:name="_Toc9802"/>
            <w:bookmarkStart w:id="777" w:name="_Toc27656"/>
            <w:r>
              <w:rPr>
                <w:rFonts w:hint="eastAsia" w:ascii="Times New Roman" w:hAnsi="Times New Roman" w:eastAsia="宋体" w:cs="Times New Roman"/>
                <w:color w:val="auto"/>
                <w:szCs w:val="21"/>
                <w:highlight w:val="none"/>
                <w:lang w:val="en-US" w:eastAsia="zh-CN"/>
              </w:rPr>
              <w:t>0.24</w:t>
            </w:r>
            <w:bookmarkEnd w:id="776"/>
            <w:bookmarkEnd w:id="77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78" w:name="_Toc1046"/>
            <w:bookmarkStart w:id="779" w:name="_Toc2988"/>
            <w:r>
              <w:rPr>
                <w:rFonts w:hint="eastAsia" w:ascii="Times New Roman" w:hAnsi="Times New Roman" w:eastAsia="宋体" w:cs="Times New Roman"/>
                <w:color w:val="auto"/>
                <w:szCs w:val="21"/>
                <w:highlight w:val="none"/>
                <w:lang w:val="en-US" w:eastAsia="zh-CN"/>
              </w:rPr>
              <w:t>0.18</w:t>
            </w:r>
            <w:bookmarkEnd w:id="778"/>
            <w:bookmarkEnd w:id="77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80" w:name="_Toc27160"/>
            <w:bookmarkStart w:id="781" w:name="_Toc10233"/>
            <w:r>
              <w:rPr>
                <w:rFonts w:hint="eastAsia" w:ascii="Times New Roman" w:hAnsi="Times New Roman" w:eastAsia="宋体" w:cs="Times New Roman"/>
                <w:color w:val="auto"/>
                <w:szCs w:val="21"/>
                <w:highlight w:val="none"/>
                <w:lang w:val="en-US" w:eastAsia="zh-CN"/>
              </w:rPr>
              <w:t>0.19</w:t>
            </w:r>
            <w:bookmarkEnd w:id="780"/>
            <w:bookmarkEnd w:id="78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82" w:name="_Toc31146"/>
            <w:bookmarkStart w:id="783" w:name="_Toc22595"/>
            <w:r>
              <w:rPr>
                <w:rFonts w:hint="eastAsia" w:ascii="Times New Roman" w:hAnsi="Times New Roman" w:eastAsia="宋体" w:cs="Times New Roman"/>
                <w:color w:val="auto"/>
                <w:szCs w:val="21"/>
                <w:highlight w:val="none"/>
                <w:lang w:val="en-US" w:eastAsia="zh-CN"/>
              </w:rPr>
              <w:t>0.1</w:t>
            </w:r>
            <w:r>
              <w:rPr>
                <w:rFonts w:hint="eastAsia" w:cs="Times New Roman"/>
                <w:color w:val="auto"/>
                <w:szCs w:val="21"/>
                <w:highlight w:val="none"/>
                <w:lang w:val="en-US" w:eastAsia="zh-CN"/>
              </w:rPr>
              <w:t>9</w:t>
            </w:r>
            <w:bookmarkEnd w:id="782"/>
            <w:bookmarkEnd w:id="78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84" w:name="_Toc27940"/>
            <w:bookmarkStart w:id="785" w:name="_Toc11515"/>
            <w:r>
              <w:rPr>
                <w:rFonts w:hint="eastAsia" w:ascii="Times New Roman" w:hAnsi="Times New Roman" w:eastAsia="宋体" w:cs="Times New Roman"/>
                <w:color w:val="auto"/>
                <w:szCs w:val="21"/>
                <w:highlight w:val="none"/>
                <w:lang w:val="en-US" w:eastAsia="zh-CN"/>
              </w:rPr>
              <w:t>0.21</w:t>
            </w:r>
            <w:bookmarkEnd w:id="784"/>
            <w:bookmarkEnd w:id="78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86" w:name="_Toc16302"/>
            <w:bookmarkStart w:id="787" w:name="_Toc1357"/>
            <w:r>
              <w:rPr>
                <w:rFonts w:hint="eastAsia" w:ascii="Times New Roman" w:hAnsi="Times New Roman" w:eastAsia="宋体" w:cs="Times New Roman"/>
                <w:color w:val="auto"/>
                <w:szCs w:val="21"/>
                <w:highlight w:val="none"/>
                <w:lang w:val="en-US" w:eastAsia="zh-CN"/>
              </w:rPr>
              <w:t>0.24</w:t>
            </w:r>
            <w:bookmarkEnd w:id="786"/>
            <w:bookmarkEnd w:id="78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i w:val="0"/>
                <w:iCs w:val="0"/>
                <w:caps w:val="0"/>
                <w:smallCaps w:val="0"/>
                <w:color w:val="auto"/>
                <w:w w:val="100"/>
                <w:kern w:val="0"/>
                <w:sz w:val="21"/>
                <w:szCs w:val="21"/>
                <w:highlight w:val="none"/>
                <w:u w:val="none"/>
                <w:lang w:val="en-US" w:eastAsia="zh-CN" w:bidi="ar"/>
              </w:rPr>
              <w:t>Ca</w:t>
            </w:r>
            <w:r>
              <w:rPr>
                <w:rFonts w:hint="default" w:ascii="Times New Roman" w:hAnsi="Times New Roman" w:eastAsia="宋体" w:cs="Times New Roman"/>
                <w:i w:val="0"/>
                <w:iCs w:val="0"/>
                <w:caps w:val="0"/>
                <w:smallCaps w:val="0"/>
                <w:color w:val="auto"/>
                <w:w w:val="100"/>
                <w:kern w:val="2"/>
                <w:sz w:val="21"/>
                <w:szCs w:val="21"/>
                <w:highlight w:val="none"/>
                <w:u w:val="none"/>
                <w:vertAlign w:val="superscript"/>
                <w:lang w:val="en-US" w:eastAsia="zh-CN" w:bidi="ar-SA"/>
              </w:rPr>
              <w:t>2+</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88" w:name="_Toc9019"/>
            <w:bookmarkStart w:id="789" w:name="_Toc26608"/>
            <w:r>
              <w:rPr>
                <w:rFonts w:hint="eastAsia" w:ascii="Times New Roman" w:hAnsi="Times New Roman" w:eastAsia="宋体" w:cs="Times New Roman"/>
                <w:color w:val="auto"/>
                <w:szCs w:val="21"/>
                <w:highlight w:val="none"/>
                <w:lang w:val="en-US" w:eastAsia="zh-CN"/>
              </w:rPr>
              <w:t>/</w:t>
            </w:r>
            <w:bookmarkEnd w:id="788"/>
            <w:bookmarkEnd w:id="78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90" w:name="_Toc2309"/>
            <w:bookmarkStart w:id="791" w:name="_Toc7088"/>
            <w:r>
              <w:rPr>
                <w:rFonts w:hint="eastAsia" w:ascii="Times New Roman" w:hAnsi="Times New Roman" w:eastAsia="宋体" w:cs="Times New Roman"/>
                <w:color w:val="auto"/>
                <w:szCs w:val="21"/>
                <w:highlight w:val="none"/>
                <w:lang w:val="en-US" w:eastAsia="zh-CN"/>
              </w:rPr>
              <w:t>/</w:t>
            </w:r>
            <w:bookmarkEnd w:id="790"/>
            <w:bookmarkEnd w:id="79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92" w:name="_Toc9918"/>
            <w:bookmarkStart w:id="793" w:name="_Toc26472"/>
            <w:r>
              <w:rPr>
                <w:rFonts w:hint="eastAsia" w:ascii="Times New Roman" w:hAnsi="Times New Roman" w:eastAsia="宋体" w:cs="Times New Roman"/>
                <w:color w:val="auto"/>
                <w:szCs w:val="21"/>
                <w:highlight w:val="none"/>
                <w:lang w:val="en-US" w:eastAsia="zh-CN"/>
              </w:rPr>
              <w:t>/</w:t>
            </w:r>
            <w:bookmarkEnd w:id="792"/>
            <w:bookmarkEnd w:id="79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94" w:name="_Toc9919"/>
            <w:bookmarkStart w:id="795" w:name="_Toc6601"/>
            <w:r>
              <w:rPr>
                <w:rFonts w:hint="eastAsia" w:ascii="Times New Roman" w:hAnsi="Times New Roman" w:eastAsia="宋体" w:cs="Times New Roman"/>
                <w:color w:val="auto"/>
                <w:szCs w:val="21"/>
                <w:highlight w:val="none"/>
                <w:lang w:val="en-US" w:eastAsia="zh-CN"/>
              </w:rPr>
              <w:t>/</w:t>
            </w:r>
            <w:bookmarkEnd w:id="794"/>
            <w:bookmarkEnd w:id="79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96" w:name="_Toc2032"/>
            <w:bookmarkStart w:id="797" w:name="_Toc8887"/>
            <w:r>
              <w:rPr>
                <w:rFonts w:hint="eastAsia" w:ascii="Times New Roman" w:hAnsi="Times New Roman" w:eastAsia="宋体" w:cs="Times New Roman"/>
                <w:color w:val="auto"/>
                <w:szCs w:val="21"/>
                <w:highlight w:val="none"/>
                <w:lang w:val="en-US" w:eastAsia="zh-CN"/>
              </w:rPr>
              <w:t>/</w:t>
            </w:r>
            <w:bookmarkEnd w:id="796"/>
            <w:bookmarkEnd w:id="79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798" w:name="_Toc12978"/>
            <w:bookmarkStart w:id="799" w:name="_Toc19883"/>
            <w:r>
              <w:rPr>
                <w:rFonts w:hint="eastAsia" w:ascii="Times New Roman" w:hAnsi="Times New Roman" w:eastAsia="宋体" w:cs="Times New Roman"/>
                <w:color w:val="auto"/>
                <w:szCs w:val="21"/>
                <w:highlight w:val="none"/>
                <w:lang w:val="en-US" w:eastAsia="zh-CN"/>
              </w:rPr>
              <w:t>/</w:t>
            </w:r>
            <w:bookmarkEnd w:id="798"/>
            <w:bookmarkEnd w:id="79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00" w:name="_Toc18885"/>
            <w:bookmarkStart w:id="801" w:name="_Toc12703"/>
            <w:r>
              <w:rPr>
                <w:rFonts w:hint="eastAsia" w:ascii="Times New Roman" w:hAnsi="Times New Roman" w:eastAsia="宋体" w:cs="Times New Roman"/>
                <w:color w:val="auto"/>
                <w:szCs w:val="21"/>
                <w:highlight w:val="none"/>
                <w:lang w:val="en-US" w:eastAsia="zh-CN"/>
              </w:rPr>
              <w:t>/</w:t>
            </w:r>
            <w:bookmarkEnd w:id="800"/>
            <w:bookmarkEnd w:id="80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02" w:name="_Toc13315"/>
            <w:bookmarkStart w:id="803" w:name="_Toc14515"/>
            <w:r>
              <w:rPr>
                <w:rFonts w:hint="eastAsia" w:ascii="Times New Roman" w:hAnsi="Times New Roman" w:eastAsia="宋体" w:cs="Times New Roman"/>
                <w:color w:val="auto"/>
                <w:szCs w:val="21"/>
                <w:highlight w:val="none"/>
                <w:lang w:val="en-US" w:eastAsia="zh-CN"/>
              </w:rPr>
              <w:t>/</w:t>
            </w:r>
            <w:bookmarkEnd w:id="802"/>
            <w:bookmarkEnd w:id="80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04" w:name="_Toc21397"/>
            <w:bookmarkStart w:id="805" w:name="_Toc6484"/>
            <w:r>
              <w:rPr>
                <w:rFonts w:hint="eastAsia" w:ascii="Times New Roman" w:hAnsi="Times New Roman" w:eastAsia="宋体" w:cs="Times New Roman"/>
                <w:color w:val="auto"/>
                <w:szCs w:val="21"/>
                <w:highlight w:val="none"/>
                <w:lang w:val="en-US" w:eastAsia="zh-CN"/>
              </w:rPr>
              <w:t>/</w:t>
            </w:r>
            <w:bookmarkEnd w:id="804"/>
            <w:bookmarkEnd w:id="80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06" w:name="_Toc32643"/>
            <w:bookmarkStart w:id="807" w:name="_Toc32303"/>
            <w:r>
              <w:rPr>
                <w:rFonts w:hint="eastAsia" w:ascii="Times New Roman" w:hAnsi="Times New Roman" w:eastAsia="宋体" w:cs="Times New Roman"/>
                <w:color w:val="auto"/>
                <w:szCs w:val="21"/>
                <w:highlight w:val="none"/>
                <w:lang w:val="en-US" w:eastAsia="zh-CN"/>
              </w:rPr>
              <w:t>/</w:t>
            </w:r>
            <w:bookmarkEnd w:id="806"/>
            <w:bookmarkEnd w:id="80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i w:val="0"/>
                <w:iCs w:val="0"/>
                <w:caps w:val="0"/>
                <w:smallCaps w:val="0"/>
                <w:color w:val="auto"/>
                <w:w w:val="100"/>
                <w:kern w:val="0"/>
                <w:sz w:val="21"/>
                <w:szCs w:val="21"/>
                <w:highlight w:val="none"/>
                <w:u w:val="none"/>
                <w:lang w:val="en-US" w:eastAsia="zh-CN" w:bidi="ar"/>
              </w:rPr>
              <w:t>Mg</w:t>
            </w:r>
            <w:r>
              <w:rPr>
                <w:rFonts w:hint="default" w:ascii="Times New Roman" w:hAnsi="Times New Roman" w:eastAsia="宋体" w:cs="Times New Roman"/>
                <w:i w:val="0"/>
                <w:iCs w:val="0"/>
                <w:caps w:val="0"/>
                <w:smallCaps w:val="0"/>
                <w:color w:val="auto"/>
                <w:w w:val="100"/>
                <w:kern w:val="2"/>
                <w:sz w:val="21"/>
                <w:szCs w:val="21"/>
                <w:highlight w:val="none"/>
                <w:u w:val="none"/>
                <w:vertAlign w:val="superscript"/>
                <w:lang w:val="en-US" w:eastAsia="zh-CN" w:bidi="ar-SA"/>
              </w:rPr>
              <w:t>2+</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08" w:name="_Toc20070"/>
            <w:bookmarkStart w:id="809" w:name="_Toc7979"/>
            <w:r>
              <w:rPr>
                <w:rFonts w:hint="eastAsia" w:ascii="Times New Roman" w:hAnsi="Times New Roman" w:eastAsia="宋体" w:cs="Times New Roman"/>
                <w:color w:val="auto"/>
                <w:szCs w:val="21"/>
                <w:highlight w:val="none"/>
                <w:lang w:val="en-US" w:eastAsia="zh-CN"/>
              </w:rPr>
              <w:t>/</w:t>
            </w:r>
            <w:bookmarkEnd w:id="808"/>
            <w:bookmarkEnd w:id="80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10" w:name="_Toc19020"/>
            <w:bookmarkStart w:id="811" w:name="_Toc27100"/>
            <w:r>
              <w:rPr>
                <w:rFonts w:hint="eastAsia" w:ascii="Times New Roman" w:hAnsi="Times New Roman" w:eastAsia="宋体" w:cs="Times New Roman"/>
                <w:color w:val="auto"/>
                <w:szCs w:val="21"/>
                <w:highlight w:val="none"/>
                <w:lang w:val="en-US" w:eastAsia="zh-CN"/>
              </w:rPr>
              <w:t>/</w:t>
            </w:r>
            <w:bookmarkEnd w:id="810"/>
            <w:bookmarkEnd w:id="81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12" w:name="_Toc3406"/>
            <w:bookmarkStart w:id="813" w:name="_Toc6619"/>
            <w:r>
              <w:rPr>
                <w:rFonts w:hint="eastAsia" w:ascii="Times New Roman" w:hAnsi="Times New Roman" w:eastAsia="宋体" w:cs="Times New Roman"/>
                <w:color w:val="auto"/>
                <w:szCs w:val="21"/>
                <w:highlight w:val="none"/>
                <w:lang w:val="en-US" w:eastAsia="zh-CN"/>
              </w:rPr>
              <w:t>/</w:t>
            </w:r>
            <w:bookmarkEnd w:id="812"/>
            <w:bookmarkEnd w:id="81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14" w:name="_Toc3848"/>
            <w:bookmarkStart w:id="815" w:name="_Toc20135"/>
            <w:r>
              <w:rPr>
                <w:rFonts w:hint="eastAsia" w:ascii="Times New Roman" w:hAnsi="Times New Roman" w:eastAsia="宋体" w:cs="Times New Roman"/>
                <w:color w:val="auto"/>
                <w:szCs w:val="21"/>
                <w:highlight w:val="none"/>
                <w:lang w:val="en-US" w:eastAsia="zh-CN"/>
              </w:rPr>
              <w:t>/</w:t>
            </w:r>
            <w:bookmarkEnd w:id="814"/>
            <w:bookmarkEnd w:id="81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16" w:name="_Toc15896"/>
            <w:bookmarkStart w:id="817" w:name="_Toc8650"/>
            <w:r>
              <w:rPr>
                <w:rFonts w:hint="eastAsia" w:ascii="Times New Roman" w:hAnsi="Times New Roman" w:eastAsia="宋体" w:cs="Times New Roman"/>
                <w:color w:val="auto"/>
                <w:szCs w:val="21"/>
                <w:highlight w:val="none"/>
                <w:lang w:val="en-US" w:eastAsia="zh-CN"/>
              </w:rPr>
              <w:t>/</w:t>
            </w:r>
            <w:bookmarkEnd w:id="816"/>
            <w:bookmarkEnd w:id="81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18" w:name="_Toc31014"/>
            <w:bookmarkStart w:id="819" w:name="_Toc29113"/>
            <w:r>
              <w:rPr>
                <w:rFonts w:hint="eastAsia" w:ascii="Times New Roman" w:hAnsi="Times New Roman" w:eastAsia="宋体" w:cs="Times New Roman"/>
                <w:color w:val="auto"/>
                <w:szCs w:val="21"/>
                <w:highlight w:val="none"/>
                <w:lang w:val="en-US" w:eastAsia="zh-CN"/>
              </w:rPr>
              <w:t>/</w:t>
            </w:r>
            <w:bookmarkEnd w:id="818"/>
            <w:bookmarkEnd w:id="81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20" w:name="_Toc3754"/>
            <w:bookmarkStart w:id="821" w:name="_Toc32219"/>
            <w:r>
              <w:rPr>
                <w:rFonts w:hint="eastAsia" w:ascii="Times New Roman" w:hAnsi="Times New Roman" w:eastAsia="宋体" w:cs="Times New Roman"/>
                <w:color w:val="auto"/>
                <w:szCs w:val="21"/>
                <w:highlight w:val="none"/>
                <w:lang w:val="en-US" w:eastAsia="zh-CN"/>
              </w:rPr>
              <w:t>/</w:t>
            </w:r>
            <w:bookmarkEnd w:id="820"/>
            <w:bookmarkEnd w:id="82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22" w:name="_Toc5962"/>
            <w:bookmarkStart w:id="823" w:name="_Toc25172"/>
            <w:r>
              <w:rPr>
                <w:rFonts w:hint="eastAsia" w:ascii="Times New Roman" w:hAnsi="Times New Roman" w:eastAsia="宋体" w:cs="Times New Roman"/>
                <w:color w:val="auto"/>
                <w:szCs w:val="21"/>
                <w:highlight w:val="none"/>
                <w:lang w:val="en-US" w:eastAsia="zh-CN"/>
              </w:rPr>
              <w:t>/</w:t>
            </w:r>
            <w:bookmarkEnd w:id="822"/>
            <w:bookmarkEnd w:id="82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24" w:name="_Toc2629"/>
            <w:bookmarkStart w:id="825" w:name="_Toc25679"/>
            <w:r>
              <w:rPr>
                <w:rFonts w:hint="eastAsia" w:ascii="Times New Roman" w:hAnsi="Times New Roman" w:eastAsia="宋体" w:cs="Times New Roman"/>
                <w:color w:val="auto"/>
                <w:szCs w:val="21"/>
                <w:highlight w:val="none"/>
                <w:lang w:val="en-US" w:eastAsia="zh-CN"/>
              </w:rPr>
              <w:t>/</w:t>
            </w:r>
            <w:bookmarkEnd w:id="824"/>
            <w:bookmarkEnd w:id="82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26" w:name="_Toc18733"/>
            <w:bookmarkStart w:id="827" w:name="_Toc31383"/>
            <w:r>
              <w:rPr>
                <w:rFonts w:hint="eastAsia" w:ascii="Times New Roman" w:hAnsi="Times New Roman" w:eastAsia="宋体" w:cs="Times New Roman"/>
                <w:color w:val="auto"/>
                <w:szCs w:val="21"/>
                <w:highlight w:val="none"/>
                <w:lang w:val="en-US" w:eastAsia="zh-CN"/>
              </w:rPr>
              <w:t>/</w:t>
            </w:r>
            <w:bookmarkEnd w:id="826"/>
            <w:bookmarkEnd w:id="82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i w:val="0"/>
                <w:iCs w:val="0"/>
                <w:caps w:val="0"/>
                <w:smallCaps w:val="0"/>
                <w:color w:val="auto"/>
                <w:w w:val="100"/>
                <w:kern w:val="0"/>
                <w:sz w:val="21"/>
                <w:szCs w:val="21"/>
                <w:highlight w:val="none"/>
                <w:u w:val="none"/>
                <w:lang w:val="en-US" w:eastAsia="zh-CN" w:bidi="ar"/>
              </w:rPr>
              <w:t>CO</w:t>
            </w:r>
            <w:r>
              <w:rPr>
                <w:rFonts w:hint="default" w:ascii="Times New Roman" w:hAnsi="Times New Roman" w:eastAsia="宋体" w:cs="Times New Roman"/>
                <w:i w:val="0"/>
                <w:iCs w:val="0"/>
                <w:caps w:val="0"/>
                <w:smallCaps w:val="0"/>
                <w:color w:val="auto"/>
                <w:w w:val="100"/>
                <w:kern w:val="2"/>
                <w:sz w:val="21"/>
                <w:szCs w:val="21"/>
                <w:highlight w:val="none"/>
                <w:u w:val="none"/>
                <w:vertAlign w:val="subscript"/>
                <w:lang w:val="en-US" w:eastAsia="zh-CN" w:bidi="ar-SA"/>
              </w:rPr>
              <w:t>3</w:t>
            </w:r>
            <w:r>
              <w:rPr>
                <w:rFonts w:hint="default" w:ascii="Times New Roman" w:hAnsi="Times New Roman" w:eastAsia="宋体" w:cs="Times New Roman"/>
                <w:i w:val="0"/>
                <w:iCs w:val="0"/>
                <w:caps w:val="0"/>
                <w:smallCaps w:val="0"/>
                <w:color w:val="auto"/>
                <w:w w:val="100"/>
                <w:kern w:val="2"/>
                <w:sz w:val="21"/>
                <w:szCs w:val="21"/>
                <w:highlight w:val="none"/>
                <w:u w:val="none"/>
                <w:vertAlign w:val="superscript"/>
                <w:lang w:val="en-US" w:eastAsia="zh-CN" w:bidi="ar-SA"/>
              </w:rPr>
              <w:t>2-</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28" w:name="_Toc9159"/>
            <w:bookmarkStart w:id="829" w:name="_Toc18843"/>
            <w:r>
              <w:rPr>
                <w:rFonts w:hint="eastAsia" w:ascii="Times New Roman" w:hAnsi="Times New Roman" w:eastAsia="宋体" w:cs="Times New Roman"/>
                <w:color w:val="auto"/>
                <w:szCs w:val="21"/>
                <w:highlight w:val="none"/>
                <w:lang w:val="en-US" w:eastAsia="zh-CN"/>
              </w:rPr>
              <w:t>/</w:t>
            </w:r>
            <w:bookmarkEnd w:id="828"/>
            <w:bookmarkEnd w:id="82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30" w:name="_Toc25106"/>
            <w:bookmarkStart w:id="831" w:name="_Toc17109"/>
            <w:r>
              <w:rPr>
                <w:rFonts w:hint="eastAsia" w:ascii="Times New Roman" w:hAnsi="Times New Roman" w:eastAsia="宋体" w:cs="Times New Roman"/>
                <w:color w:val="auto"/>
                <w:szCs w:val="21"/>
                <w:highlight w:val="none"/>
                <w:lang w:val="en-US" w:eastAsia="zh-CN"/>
              </w:rPr>
              <w:t>/</w:t>
            </w:r>
            <w:bookmarkEnd w:id="830"/>
            <w:bookmarkEnd w:id="83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32" w:name="_Toc4553"/>
            <w:bookmarkStart w:id="833" w:name="_Toc16334"/>
            <w:r>
              <w:rPr>
                <w:rFonts w:hint="eastAsia" w:ascii="Times New Roman" w:hAnsi="Times New Roman" w:eastAsia="宋体" w:cs="Times New Roman"/>
                <w:color w:val="auto"/>
                <w:szCs w:val="21"/>
                <w:highlight w:val="none"/>
                <w:lang w:val="en-US" w:eastAsia="zh-CN"/>
              </w:rPr>
              <w:t>/</w:t>
            </w:r>
            <w:bookmarkEnd w:id="832"/>
            <w:bookmarkEnd w:id="83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34" w:name="_Toc13942"/>
            <w:bookmarkStart w:id="835" w:name="_Toc18996"/>
            <w:r>
              <w:rPr>
                <w:rFonts w:hint="eastAsia" w:ascii="Times New Roman" w:hAnsi="Times New Roman" w:eastAsia="宋体" w:cs="Times New Roman"/>
                <w:color w:val="auto"/>
                <w:szCs w:val="21"/>
                <w:highlight w:val="none"/>
                <w:lang w:val="en-US" w:eastAsia="zh-CN"/>
              </w:rPr>
              <w:t>/</w:t>
            </w:r>
            <w:bookmarkEnd w:id="834"/>
            <w:bookmarkEnd w:id="83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36" w:name="_Toc14306"/>
            <w:bookmarkStart w:id="837" w:name="_Toc3966"/>
            <w:r>
              <w:rPr>
                <w:rFonts w:hint="eastAsia" w:ascii="Times New Roman" w:hAnsi="Times New Roman" w:eastAsia="宋体" w:cs="Times New Roman"/>
                <w:color w:val="auto"/>
                <w:szCs w:val="21"/>
                <w:highlight w:val="none"/>
                <w:lang w:val="en-US" w:eastAsia="zh-CN"/>
              </w:rPr>
              <w:t>/</w:t>
            </w:r>
            <w:bookmarkEnd w:id="836"/>
            <w:bookmarkEnd w:id="83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38" w:name="_Toc8483"/>
            <w:bookmarkStart w:id="839" w:name="_Toc31789"/>
            <w:r>
              <w:rPr>
                <w:rFonts w:hint="eastAsia" w:ascii="Times New Roman" w:hAnsi="Times New Roman" w:eastAsia="宋体" w:cs="Times New Roman"/>
                <w:color w:val="auto"/>
                <w:szCs w:val="21"/>
                <w:highlight w:val="none"/>
                <w:lang w:val="en-US" w:eastAsia="zh-CN"/>
              </w:rPr>
              <w:t>/</w:t>
            </w:r>
            <w:bookmarkEnd w:id="838"/>
            <w:bookmarkEnd w:id="83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40" w:name="_Toc941"/>
            <w:bookmarkStart w:id="841" w:name="_Toc10242"/>
            <w:r>
              <w:rPr>
                <w:rFonts w:hint="eastAsia" w:ascii="Times New Roman" w:hAnsi="Times New Roman" w:eastAsia="宋体" w:cs="Times New Roman"/>
                <w:color w:val="auto"/>
                <w:szCs w:val="21"/>
                <w:highlight w:val="none"/>
                <w:lang w:val="en-US" w:eastAsia="zh-CN"/>
              </w:rPr>
              <w:t>/</w:t>
            </w:r>
            <w:bookmarkEnd w:id="840"/>
            <w:bookmarkEnd w:id="84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42" w:name="_Toc843"/>
            <w:bookmarkStart w:id="843" w:name="_Toc22002"/>
            <w:r>
              <w:rPr>
                <w:rFonts w:hint="eastAsia" w:ascii="Times New Roman" w:hAnsi="Times New Roman" w:eastAsia="宋体" w:cs="Times New Roman"/>
                <w:color w:val="auto"/>
                <w:szCs w:val="21"/>
                <w:highlight w:val="none"/>
                <w:lang w:val="en-US" w:eastAsia="zh-CN"/>
              </w:rPr>
              <w:t>/</w:t>
            </w:r>
            <w:bookmarkEnd w:id="842"/>
            <w:bookmarkEnd w:id="84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44" w:name="_Toc12937"/>
            <w:bookmarkStart w:id="845" w:name="_Toc30662"/>
            <w:r>
              <w:rPr>
                <w:rFonts w:hint="eastAsia" w:ascii="Times New Roman" w:hAnsi="Times New Roman" w:eastAsia="宋体" w:cs="Times New Roman"/>
                <w:color w:val="auto"/>
                <w:szCs w:val="21"/>
                <w:highlight w:val="none"/>
                <w:lang w:val="en-US" w:eastAsia="zh-CN"/>
              </w:rPr>
              <w:t>/</w:t>
            </w:r>
            <w:bookmarkEnd w:id="844"/>
            <w:bookmarkEnd w:id="84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46" w:name="_Toc24389"/>
            <w:bookmarkStart w:id="847" w:name="_Toc1022"/>
            <w:r>
              <w:rPr>
                <w:rFonts w:hint="eastAsia" w:ascii="Times New Roman" w:hAnsi="Times New Roman" w:eastAsia="宋体" w:cs="Times New Roman"/>
                <w:color w:val="auto"/>
                <w:szCs w:val="21"/>
                <w:highlight w:val="none"/>
                <w:lang w:val="en-US" w:eastAsia="zh-CN"/>
              </w:rPr>
              <w:t>/</w:t>
            </w:r>
            <w:bookmarkEnd w:id="846"/>
            <w:bookmarkEnd w:id="84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i w:val="0"/>
                <w:iCs w:val="0"/>
                <w:caps w:val="0"/>
                <w:smallCaps w:val="0"/>
                <w:color w:val="auto"/>
                <w:w w:val="100"/>
                <w:kern w:val="0"/>
                <w:sz w:val="21"/>
                <w:szCs w:val="21"/>
                <w:highlight w:val="none"/>
                <w:u w:val="none"/>
                <w:lang w:val="en-US" w:eastAsia="zh-CN" w:bidi="ar"/>
              </w:rPr>
              <w:t>HCO</w:t>
            </w:r>
            <w:r>
              <w:rPr>
                <w:rFonts w:hint="default" w:ascii="Times New Roman" w:hAnsi="Times New Roman" w:eastAsia="宋体" w:cs="Times New Roman"/>
                <w:i w:val="0"/>
                <w:iCs w:val="0"/>
                <w:caps w:val="0"/>
                <w:smallCaps w:val="0"/>
                <w:color w:val="auto"/>
                <w:w w:val="100"/>
                <w:kern w:val="2"/>
                <w:sz w:val="21"/>
                <w:szCs w:val="21"/>
                <w:highlight w:val="none"/>
                <w:u w:val="none"/>
                <w:vertAlign w:val="subscript"/>
                <w:lang w:val="en-US" w:eastAsia="zh-CN" w:bidi="ar-SA"/>
              </w:rPr>
              <w:t>3</w:t>
            </w:r>
            <w:r>
              <w:rPr>
                <w:rFonts w:hint="default" w:ascii="Times New Roman" w:hAnsi="Times New Roman" w:eastAsia="宋体" w:cs="Times New Roman"/>
                <w:i w:val="0"/>
                <w:iCs w:val="0"/>
                <w:caps w:val="0"/>
                <w:smallCaps w:val="0"/>
                <w:color w:val="auto"/>
                <w:w w:val="100"/>
                <w:kern w:val="2"/>
                <w:sz w:val="21"/>
                <w:szCs w:val="21"/>
                <w:highlight w:val="none"/>
                <w:u w:val="none"/>
                <w:vertAlign w:val="superscript"/>
                <w:lang w:val="en-US" w:eastAsia="zh-CN" w:bidi="ar-SA"/>
              </w:rPr>
              <w:t>-</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48" w:name="_Toc4646"/>
            <w:bookmarkStart w:id="849" w:name="_Toc7520"/>
            <w:r>
              <w:rPr>
                <w:rFonts w:hint="eastAsia" w:ascii="Times New Roman" w:hAnsi="Times New Roman" w:eastAsia="宋体" w:cs="Times New Roman"/>
                <w:color w:val="auto"/>
                <w:szCs w:val="21"/>
                <w:highlight w:val="none"/>
                <w:lang w:val="en-US" w:eastAsia="zh-CN"/>
              </w:rPr>
              <w:t>/</w:t>
            </w:r>
            <w:bookmarkEnd w:id="848"/>
            <w:bookmarkEnd w:id="84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50" w:name="_Toc21717"/>
            <w:bookmarkStart w:id="851" w:name="_Toc7590"/>
            <w:r>
              <w:rPr>
                <w:rFonts w:hint="eastAsia" w:ascii="Times New Roman" w:hAnsi="Times New Roman" w:eastAsia="宋体" w:cs="Times New Roman"/>
                <w:color w:val="auto"/>
                <w:szCs w:val="21"/>
                <w:highlight w:val="none"/>
                <w:lang w:val="en-US" w:eastAsia="zh-CN"/>
              </w:rPr>
              <w:t>/</w:t>
            </w:r>
            <w:bookmarkEnd w:id="850"/>
            <w:bookmarkEnd w:id="85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52" w:name="_Toc29826"/>
            <w:bookmarkStart w:id="853" w:name="_Toc5764"/>
            <w:r>
              <w:rPr>
                <w:rFonts w:hint="eastAsia" w:ascii="Times New Roman" w:hAnsi="Times New Roman" w:eastAsia="宋体" w:cs="Times New Roman"/>
                <w:color w:val="auto"/>
                <w:szCs w:val="21"/>
                <w:highlight w:val="none"/>
                <w:lang w:val="en-US" w:eastAsia="zh-CN"/>
              </w:rPr>
              <w:t>/</w:t>
            </w:r>
            <w:bookmarkEnd w:id="852"/>
            <w:bookmarkEnd w:id="85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54" w:name="_Toc25100"/>
            <w:bookmarkStart w:id="855" w:name="_Toc12610"/>
            <w:r>
              <w:rPr>
                <w:rFonts w:hint="eastAsia" w:ascii="Times New Roman" w:hAnsi="Times New Roman" w:eastAsia="宋体" w:cs="Times New Roman"/>
                <w:color w:val="auto"/>
                <w:szCs w:val="21"/>
                <w:highlight w:val="none"/>
                <w:lang w:val="en-US" w:eastAsia="zh-CN"/>
              </w:rPr>
              <w:t>/</w:t>
            </w:r>
            <w:bookmarkEnd w:id="854"/>
            <w:bookmarkEnd w:id="85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56" w:name="_Toc28378"/>
            <w:bookmarkStart w:id="857" w:name="_Toc13178"/>
            <w:r>
              <w:rPr>
                <w:rFonts w:hint="eastAsia" w:ascii="Times New Roman" w:hAnsi="Times New Roman" w:eastAsia="宋体" w:cs="Times New Roman"/>
                <w:color w:val="auto"/>
                <w:szCs w:val="21"/>
                <w:highlight w:val="none"/>
                <w:lang w:val="en-US" w:eastAsia="zh-CN"/>
              </w:rPr>
              <w:t>/</w:t>
            </w:r>
            <w:bookmarkEnd w:id="856"/>
            <w:bookmarkEnd w:id="85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58" w:name="_Toc17659"/>
            <w:bookmarkStart w:id="859" w:name="_Toc24523"/>
            <w:r>
              <w:rPr>
                <w:rFonts w:hint="eastAsia" w:ascii="Times New Roman" w:hAnsi="Times New Roman" w:eastAsia="宋体" w:cs="Times New Roman"/>
                <w:color w:val="auto"/>
                <w:szCs w:val="21"/>
                <w:highlight w:val="none"/>
                <w:lang w:val="en-US" w:eastAsia="zh-CN"/>
              </w:rPr>
              <w:t>/</w:t>
            </w:r>
            <w:bookmarkEnd w:id="858"/>
            <w:bookmarkEnd w:id="85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60" w:name="_Toc762"/>
            <w:bookmarkStart w:id="861" w:name="_Toc5775"/>
            <w:r>
              <w:rPr>
                <w:rFonts w:hint="eastAsia" w:ascii="Times New Roman" w:hAnsi="Times New Roman" w:eastAsia="宋体" w:cs="Times New Roman"/>
                <w:color w:val="auto"/>
                <w:szCs w:val="21"/>
                <w:highlight w:val="none"/>
                <w:lang w:val="en-US" w:eastAsia="zh-CN"/>
              </w:rPr>
              <w:t>/</w:t>
            </w:r>
            <w:bookmarkEnd w:id="860"/>
            <w:bookmarkEnd w:id="86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62" w:name="_Toc25565"/>
            <w:bookmarkStart w:id="863" w:name="_Toc17204"/>
            <w:r>
              <w:rPr>
                <w:rFonts w:hint="eastAsia" w:ascii="Times New Roman" w:hAnsi="Times New Roman" w:eastAsia="宋体" w:cs="Times New Roman"/>
                <w:color w:val="auto"/>
                <w:szCs w:val="21"/>
                <w:highlight w:val="none"/>
                <w:lang w:val="en-US" w:eastAsia="zh-CN"/>
              </w:rPr>
              <w:t>/</w:t>
            </w:r>
            <w:bookmarkEnd w:id="862"/>
            <w:bookmarkEnd w:id="86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64" w:name="_Toc15360"/>
            <w:bookmarkStart w:id="865" w:name="_Toc24224"/>
            <w:r>
              <w:rPr>
                <w:rFonts w:hint="eastAsia" w:ascii="Times New Roman" w:hAnsi="Times New Roman" w:eastAsia="宋体" w:cs="Times New Roman"/>
                <w:color w:val="auto"/>
                <w:szCs w:val="21"/>
                <w:highlight w:val="none"/>
                <w:lang w:val="en-US" w:eastAsia="zh-CN"/>
              </w:rPr>
              <w:t>/</w:t>
            </w:r>
            <w:bookmarkEnd w:id="864"/>
            <w:bookmarkEnd w:id="86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66" w:name="_Toc11202"/>
            <w:bookmarkStart w:id="867" w:name="_Toc8418"/>
            <w:r>
              <w:rPr>
                <w:rFonts w:hint="eastAsia" w:ascii="Times New Roman" w:hAnsi="Times New Roman" w:eastAsia="宋体" w:cs="Times New Roman"/>
                <w:color w:val="auto"/>
                <w:szCs w:val="21"/>
                <w:highlight w:val="none"/>
                <w:lang w:val="en-US" w:eastAsia="zh-CN"/>
              </w:rPr>
              <w:t>/</w:t>
            </w:r>
            <w:bookmarkEnd w:id="866"/>
            <w:bookmarkEnd w:id="86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氯化物</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68" w:name="_Toc26633"/>
            <w:bookmarkStart w:id="869" w:name="_Toc2844"/>
            <w:r>
              <w:rPr>
                <w:rFonts w:hint="eastAsia" w:ascii="Times New Roman" w:hAnsi="Times New Roman" w:eastAsia="宋体" w:cs="Times New Roman"/>
                <w:color w:val="auto"/>
                <w:szCs w:val="21"/>
                <w:highlight w:val="none"/>
                <w:lang w:val="en-US" w:eastAsia="zh-CN"/>
              </w:rPr>
              <w:t>0.1</w:t>
            </w:r>
            <w:r>
              <w:rPr>
                <w:rFonts w:hint="eastAsia" w:cs="Times New Roman"/>
                <w:color w:val="auto"/>
                <w:szCs w:val="21"/>
                <w:highlight w:val="none"/>
                <w:lang w:val="en-US" w:eastAsia="zh-CN"/>
              </w:rPr>
              <w:t>3</w:t>
            </w:r>
            <w:bookmarkEnd w:id="868"/>
            <w:bookmarkEnd w:id="86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70" w:name="_Toc27127"/>
            <w:bookmarkStart w:id="871" w:name="_Toc28368"/>
            <w:r>
              <w:rPr>
                <w:rFonts w:hint="eastAsia" w:ascii="Times New Roman" w:hAnsi="Times New Roman" w:eastAsia="宋体" w:cs="Times New Roman"/>
                <w:color w:val="auto"/>
                <w:szCs w:val="21"/>
                <w:highlight w:val="none"/>
                <w:lang w:val="en-US" w:eastAsia="zh-CN"/>
              </w:rPr>
              <w:t>0.1</w:t>
            </w:r>
            <w:r>
              <w:rPr>
                <w:rFonts w:hint="eastAsia" w:cs="Times New Roman"/>
                <w:color w:val="auto"/>
                <w:szCs w:val="21"/>
                <w:highlight w:val="none"/>
                <w:lang w:val="en-US" w:eastAsia="zh-CN"/>
              </w:rPr>
              <w:t>4</w:t>
            </w:r>
            <w:bookmarkEnd w:id="870"/>
            <w:bookmarkEnd w:id="87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72" w:name="_Toc18191"/>
            <w:bookmarkStart w:id="873" w:name="_Toc8991"/>
            <w:r>
              <w:rPr>
                <w:rFonts w:hint="eastAsia" w:ascii="Times New Roman" w:hAnsi="Times New Roman" w:eastAsia="宋体" w:cs="Times New Roman"/>
                <w:color w:val="auto"/>
                <w:szCs w:val="21"/>
                <w:highlight w:val="none"/>
                <w:lang w:val="en-US" w:eastAsia="zh-CN"/>
              </w:rPr>
              <w:t>0.17</w:t>
            </w:r>
            <w:bookmarkEnd w:id="872"/>
            <w:bookmarkEnd w:id="87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874" w:name="_Toc20786"/>
            <w:bookmarkStart w:id="875" w:name="_Toc5078"/>
            <w:r>
              <w:rPr>
                <w:rFonts w:hint="eastAsia" w:ascii="Times New Roman" w:hAnsi="Times New Roman" w:eastAsia="宋体" w:cs="Times New Roman"/>
                <w:color w:val="auto"/>
                <w:szCs w:val="21"/>
                <w:highlight w:val="none"/>
                <w:lang w:val="en-US" w:eastAsia="zh-CN"/>
              </w:rPr>
              <w:t>0.</w:t>
            </w:r>
            <w:r>
              <w:rPr>
                <w:rFonts w:hint="eastAsia" w:cs="Times New Roman"/>
                <w:color w:val="auto"/>
                <w:szCs w:val="21"/>
                <w:highlight w:val="none"/>
                <w:lang w:val="en-US" w:eastAsia="zh-CN"/>
              </w:rPr>
              <w:t>20</w:t>
            </w:r>
            <w:bookmarkEnd w:id="874"/>
            <w:bookmarkEnd w:id="87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876" w:name="_Toc21034"/>
            <w:bookmarkStart w:id="877" w:name="_Toc27207"/>
            <w:r>
              <w:rPr>
                <w:rFonts w:hint="eastAsia" w:ascii="Times New Roman" w:hAnsi="Times New Roman" w:eastAsia="宋体" w:cs="Times New Roman"/>
                <w:color w:val="auto"/>
                <w:szCs w:val="21"/>
                <w:highlight w:val="none"/>
                <w:lang w:val="en-US" w:eastAsia="zh-CN"/>
              </w:rPr>
              <w:t>0.1</w:t>
            </w:r>
            <w:r>
              <w:rPr>
                <w:rFonts w:hint="eastAsia" w:cs="Times New Roman"/>
                <w:color w:val="auto"/>
                <w:szCs w:val="21"/>
                <w:highlight w:val="none"/>
                <w:lang w:val="en-US" w:eastAsia="zh-CN"/>
              </w:rPr>
              <w:t>7</w:t>
            </w:r>
            <w:bookmarkEnd w:id="876"/>
            <w:bookmarkEnd w:id="87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878" w:name="_Toc25933"/>
            <w:bookmarkStart w:id="879" w:name="_Toc11425"/>
            <w:r>
              <w:rPr>
                <w:rFonts w:hint="eastAsia" w:ascii="Times New Roman" w:hAnsi="Times New Roman" w:eastAsia="宋体" w:cs="Times New Roman"/>
                <w:color w:val="auto"/>
                <w:szCs w:val="21"/>
                <w:highlight w:val="none"/>
                <w:lang w:val="en-US" w:eastAsia="zh-CN"/>
              </w:rPr>
              <w:t>0.1</w:t>
            </w:r>
            <w:r>
              <w:rPr>
                <w:rFonts w:hint="eastAsia" w:cs="Times New Roman"/>
                <w:color w:val="auto"/>
                <w:szCs w:val="21"/>
                <w:highlight w:val="none"/>
                <w:lang w:val="en-US" w:eastAsia="zh-CN"/>
              </w:rPr>
              <w:t>2</w:t>
            </w:r>
            <w:bookmarkEnd w:id="878"/>
            <w:bookmarkEnd w:id="87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80" w:name="_Toc20701"/>
            <w:bookmarkStart w:id="881" w:name="_Toc4758"/>
            <w:r>
              <w:rPr>
                <w:rFonts w:hint="eastAsia" w:ascii="Times New Roman" w:hAnsi="Times New Roman" w:eastAsia="宋体" w:cs="Times New Roman"/>
                <w:color w:val="auto"/>
                <w:szCs w:val="21"/>
                <w:highlight w:val="none"/>
                <w:lang w:val="en-US" w:eastAsia="zh-CN"/>
              </w:rPr>
              <w:t>0.1</w:t>
            </w:r>
            <w:r>
              <w:rPr>
                <w:rFonts w:hint="eastAsia" w:cs="Times New Roman"/>
                <w:color w:val="auto"/>
                <w:szCs w:val="21"/>
                <w:highlight w:val="none"/>
                <w:lang w:val="en-US" w:eastAsia="zh-CN"/>
              </w:rPr>
              <w:t>1</w:t>
            </w:r>
            <w:bookmarkEnd w:id="880"/>
            <w:bookmarkEnd w:id="88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82" w:name="_Toc10746"/>
            <w:bookmarkStart w:id="883" w:name="_Toc7978"/>
            <w:r>
              <w:rPr>
                <w:rFonts w:hint="eastAsia" w:ascii="Times New Roman" w:hAnsi="Times New Roman" w:eastAsia="宋体" w:cs="Times New Roman"/>
                <w:color w:val="auto"/>
                <w:szCs w:val="21"/>
                <w:highlight w:val="none"/>
                <w:lang w:val="en-US" w:eastAsia="zh-CN"/>
              </w:rPr>
              <w:t>0.1</w:t>
            </w:r>
            <w:r>
              <w:rPr>
                <w:rFonts w:hint="eastAsia" w:cs="Times New Roman"/>
                <w:color w:val="auto"/>
                <w:szCs w:val="21"/>
                <w:highlight w:val="none"/>
                <w:lang w:val="en-US" w:eastAsia="zh-CN"/>
              </w:rPr>
              <w:t>5</w:t>
            </w:r>
            <w:bookmarkEnd w:id="882"/>
            <w:bookmarkEnd w:id="88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884" w:name="_Toc17188"/>
            <w:bookmarkStart w:id="885" w:name="_Toc30248"/>
            <w:r>
              <w:rPr>
                <w:rFonts w:hint="eastAsia" w:ascii="Times New Roman" w:hAnsi="Times New Roman" w:eastAsia="宋体" w:cs="Times New Roman"/>
                <w:color w:val="auto"/>
                <w:szCs w:val="21"/>
                <w:highlight w:val="none"/>
                <w:lang w:val="en-US" w:eastAsia="zh-CN"/>
              </w:rPr>
              <w:t>0.1</w:t>
            </w:r>
            <w:r>
              <w:rPr>
                <w:rFonts w:hint="eastAsia" w:cs="Times New Roman"/>
                <w:color w:val="auto"/>
                <w:szCs w:val="21"/>
                <w:highlight w:val="none"/>
                <w:lang w:val="en-US" w:eastAsia="zh-CN"/>
              </w:rPr>
              <w:t>5</w:t>
            </w:r>
            <w:bookmarkEnd w:id="884"/>
            <w:bookmarkEnd w:id="88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86" w:name="_Toc19003"/>
            <w:bookmarkStart w:id="887" w:name="_Toc32318"/>
            <w:r>
              <w:rPr>
                <w:rFonts w:hint="eastAsia" w:ascii="Times New Roman" w:hAnsi="Times New Roman" w:eastAsia="宋体" w:cs="Times New Roman"/>
                <w:color w:val="auto"/>
                <w:szCs w:val="21"/>
                <w:highlight w:val="none"/>
                <w:lang w:val="en-US" w:eastAsia="zh-CN"/>
              </w:rPr>
              <w:t>0.1</w:t>
            </w:r>
            <w:r>
              <w:rPr>
                <w:rFonts w:hint="eastAsia" w:cs="Times New Roman"/>
                <w:color w:val="auto"/>
                <w:szCs w:val="21"/>
                <w:highlight w:val="none"/>
                <w:lang w:val="en-US" w:eastAsia="zh-CN"/>
              </w:rPr>
              <w:t>3</w:t>
            </w:r>
            <w:bookmarkEnd w:id="886"/>
            <w:bookmarkEnd w:id="88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硫酸</w:t>
            </w:r>
            <w:r>
              <w:rPr>
                <w:rFonts w:hint="eastAsia" w:ascii="宋体" w:hAnsi="宋体" w:eastAsia="宋体" w:cs="宋体"/>
                <w:i w:val="0"/>
                <w:iCs w:val="0"/>
                <w:caps w:val="0"/>
                <w:smallCaps w:val="0"/>
                <w:color w:val="auto"/>
                <w:w w:val="100"/>
                <w:kern w:val="2"/>
                <w:sz w:val="21"/>
                <w:szCs w:val="21"/>
                <w:highlight w:val="none"/>
                <w:u w:val="none"/>
                <w:lang w:val="en-US" w:eastAsia="zh-CN" w:bidi="ar-SA"/>
              </w:rPr>
              <w:t>盐</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888" w:name="_Toc16490"/>
            <w:bookmarkStart w:id="889" w:name="_Toc21640"/>
            <w:r>
              <w:rPr>
                <w:rFonts w:hint="eastAsia" w:ascii="Times New Roman" w:hAnsi="Times New Roman" w:eastAsia="宋体" w:cs="Times New Roman"/>
                <w:color w:val="auto"/>
                <w:szCs w:val="21"/>
                <w:highlight w:val="none"/>
                <w:lang w:val="en-US" w:eastAsia="zh-CN"/>
              </w:rPr>
              <w:t>0.0</w:t>
            </w:r>
            <w:r>
              <w:rPr>
                <w:rFonts w:hint="eastAsia" w:cs="Times New Roman"/>
                <w:color w:val="auto"/>
                <w:szCs w:val="21"/>
                <w:highlight w:val="none"/>
                <w:lang w:val="en-US" w:eastAsia="zh-CN"/>
              </w:rPr>
              <w:t>4</w:t>
            </w:r>
            <w:bookmarkEnd w:id="888"/>
            <w:bookmarkEnd w:id="88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890" w:name="_Toc12606"/>
            <w:bookmarkStart w:id="891" w:name="_Toc31780"/>
            <w:r>
              <w:rPr>
                <w:rFonts w:hint="eastAsia" w:ascii="Times New Roman" w:hAnsi="Times New Roman" w:eastAsia="宋体" w:cs="Times New Roman"/>
                <w:color w:val="auto"/>
                <w:szCs w:val="21"/>
                <w:highlight w:val="none"/>
                <w:lang w:val="en-US" w:eastAsia="zh-CN"/>
              </w:rPr>
              <w:t>0.0</w:t>
            </w:r>
            <w:r>
              <w:rPr>
                <w:rFonts w:hint="eastAsia" w:cs="Times New Roman"/>
                <w:color w:val="auto"/>
                <w:szCs w:val="21"/>
                <w:highlight w:val="none"/>
                <w:lang w:val="en-US" w:eastAsia="zh-CN"/>
              </w:rPr>
              <w:t>5</w:t>
            </w:r>
            <w:bookmarkEnd w:id="890"/>
            <w:bookmarkEnd w:id="89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92" w:name="_Toc11175"/>
            <w:bookmarkStart w:id="893" w:name="_Toc5391"/>
            <w:r>
              <w:rPr>
                <w:rFonts w:hint="eastAsia" w:ascii="Times New Roman" w:hAnsi="Times New Roman" w:eastAsia="宋体" w:cs="Times New Roman"/>
                <w:color w:val="auto"/>
                <w:szCs w:val="21"/>
                <w:highlight w:val="none"/>
                <w:lang w:val="en-US" w:eastAsia="zh-CN"/>
              </w:rPr>
              <w:t>0.0</w:t>
            </w:r>
            <w:r>
              <w:rPr>
                <w:rFonts w:hint="eastAsia" w:cs="Times New Roman"/>
                <w:color w:val="auto"/>
                <w:szCs w:val="21"/>
                <w:highlight w:val="none"/>
                <w:lang w:val="en-US" w:eastAsia="zh-CN"/>
              </w:rPr>
              <w:t>5</w:t>
            </w:r>
            <w:bookmarkEnd w:id="892"/>
            <w:bookmarkEnd w:id="89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94" w:name="_Toc3316"/>
            <w:bookmarkStart w:id="895" w:name="_Toc9650"/>
            <w:r>
              <w:rPr>
                <w:rFonts w:hint="eastAsia" w:ascii="Times New Roman" w:hAnsi="Times New Roman" w:eastAsia="宋体" w:cs="Times New Roman"/>
                <w:color w:val="auto"/>
                <w:szCs w:val="21"/>
                <w:highlight w:val="none"/>
                <w:lang w:val="en-US" w:eastAsia="zh-CN"/>
              </w:rPr>
              <w:t>0.3</w:t>
            </w:r>
            <w:r>
              <w:rPr>
                <w:rFonts w:hint="eastAsia" w:cs="Times New Roman"/>
                <w:color w:val="auto"/>
                <w:szCs w:val="21"/>
                <w:highlight w:val="none"/>
                <w:lang w:val="en-US" w:eastAsia="zh-CN"/>
              </w:rPr>
              <w:t>1</w:t>
            </w:r>
            <w:bookmarkEnd w:id="894"/>
            <w:bookmarkEnd w:id="89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896" w:name="_Toc3575"/>
            <w:bookmarkStart w:id="897" w:name="_Toc18346"/>
            <w:r>
              <w:rPr>
                <w:rFonts w:hint="eastAsia" w:ascii="Times New Roman" w:hAnsi="Times New Roman" w:eastAsia="宋体" w:cs="Times New Roman"/>
                <w:color w:val="auto"/>
                <w:szCs w:val="21"/>
                <w:highlight w:val="none"/>
                <w:lang w:val="en-US" w:eastAsia="zh-CN"/>
              </w:rPr>
              <w:t>0.0</w:t>
            </w:r>
            <w:r>
              <w:rPr>
                <w:rFonts w:hint="eastAsia" w:cs="Times New Roman"/>
                <w:color w:val="auto"/>
                <w:szCs w:val="21"/>
                <w:highlight w:val="none"/>
                <w:lang w:val="en-US" w:eastAsia="zh-CN"/>
              </w:rPr>
              <w:t>8</w:t>
            </w:r>
            <w:bookmarkEnd w:id="896"/>
            <w:bookmarkEnd w:id="89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898" w:name="_Toc17516"/>
            <w:bookmarkStart w:id="899" w:name="_Toc19204"/>
            <w:r>
              <w:rPr>
                <w:rFonts w:hint="eastAsia" w:ascii="Times New Roman" w:hAnsi="Times New Roman" w:eastAsia="宋体" w:cs="Times New Roman"/>
                <w:color w:val="auto"/>
                <w:szCs w:val="21"/>
                <w:highlight w:val="none"/>
                <w:lang w:val="en-US" w:eastAsia="zh-CN"/>
              </w:rPr>
              <w:t>0.0</w:t>
            </w:r>
            <w:r>
              <w:rPr>
                <w:rFonts w:hint="eastAsia" w:cs="Times New Roman"/>
                <w:color w:val="auto"/>
                <w:szCs w:val="21"/>
                <w:highlight w:val="none"/>
                <w:lang w:val="en-US" w:eastAsia="zh-CN"/>
              </w:rPr>
              <w:t>6</w:t>
            </w:r>
            <w:bookmarkEnd w:id="898"/>
            <w:bookmarkEnd w:id="89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00" w:name="_Toc19379"/>
            <w:bookmarkStart w:id="901" w:name="_Toc5749"/>
            <w:r>
              <w:rPr>
                <w:rFonts w:hint="eastAsia" w:ascii="Times New Roman" w:hAnsi="Times New Roman" w:eastAsia="宋体" w:cs="Times New Roman"/>
                <w:color w:val="auto"/>
                <w:szCs w:val="21"/>
                <w:highlight w:val="none"/>
                <w:lang w:val="en-US" w:eastAsia="zh-CN"/>
              </w:rPr>
              <w:t>0.04</w:t>
            </w:r>
            <w:r>
              <w:rPr>
                <w:rFonts w:hint="eastAsia" w:cs="Times New Roman"/>
                <w:color w:val="auto"/>
                <w:szCs w:val="21"/>
                <w:highlight w:val="none"/>
                <w:lang w:val="en-US" w:eastAsia="zh-CN"/>
              </w:rPr>
              <w:t>5</w:t>
            </w:r>
            <w:bookmarkEnd w:id="900"/>
            <w:bookmarkEnd w:id="90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902" w:name="_Toc9175"/>
            <w:bookmarkStart w:id="903" w:name="_Toc3226"/>
            <w:r>
              <w:rPr>
                <w:rFonts w:hint="eastAsia" w:ascii="Times New Roman" w:hAnsi="Times New Roman" w:eastAsia="宋体" w:cs="Times New Roman"/>
                <w:color w:val="auto"/>
                <w:szCs w:val="21"/>
                <w:highlight w:val="none"/>
                <w:lang w:val="en-US" w:eastAsia="zh-CN"/>
              </w:rPr>
              <w:t>0.0</w:t>
            </w:r>
            <w:r>
              <w:rPr>
                <w:rFonts w:hint="eastAsia" w:cs="Times New Roman"/>
                <w:color w:val="auto"/>
                <w:szCs w:val="21"/>
                <w:highlight w:val="none"/>
                <w:lang w:val="en-US" w:eastAsia="zh-CN"/>
              </w:rPr>
              <w:t>6</w:t>
            </w:r>
            <w:bookmarkEnd w:id="902"/>
            <w:bookmarkEnd w:id="90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04" w:name="_Toc7168"/>
            <w:bookmarkStart w:id="905" w:name="_Toc411"/>
            <w:r>
              <w:rPr>
                <w:rFonts w:hint="eastAsia" w:ascii="Times New Roman" w:hAnsi="Times New Roman" w:eastAsia="宋体" w:cs="Times New Roman"/>
                <w:color w:val="auto"/>
                <w:szCs w:val="21"/>
                <w:highlight w:val="none"/>
                <w:lang w:val="en-US" w:eastAsia="zh-CN"/>
              </w:rPr>
              <w:t>0.06</w:t>
            </w:r>
            <w:bookmarkEnd w:id="904"/>
            <w:bookmarkEnd w:id="90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06" w:name="_Toc1071"/>
            <w:bookmarkStart w:id="907" w:name="_Toc1962"/>
            <w:r>
              <w:rPr>
                <w:rFonts w:hint="eastAsia" w:ascii="Times New Roman" w:hAnsi="Times New Roman" w:eastAsia="宋体" w:cs="Times New Roman"/>
                <w:color w:val="auto"/>
                <w:szCs w:val="21"/>
                <w:highlight w:val="none"/>
                <w:lang w:val="en-US" w:eastAsia="zh-CN"/>
              </w:rPr>
              <w:t>0.0</w:t>
            </w:r>
            <w:r>
              <w:rPr>
                <w:rFonts w:hint="eastAsia" w:cs="Times New Roman"/>
                <w:color w:val="auto"/>
                <w:szCs w:val="21"/>
                <w:highlight w:val="none"/>
                <w:lang w:val="en-US" w:eastAsia="zh-CN"/>
              </w:rPr>
              <w:t>4</w:t>
            </w:r>
            <w:bookmarkEnd w:id="906"/>
            <w:bookmarkEnd w:id="90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i w:val="0"/>
                <w:iCs w:val="0"/>
                <w:caps w:val="0"/>
                <w:smallCaps w:val="0"/>
                <w:color w:val="auto"/>
                <w:w w:val="100"/>
                <w:kern w:val="0"/>
                <w:sz w:val="21"/>
                <w:szCs w:val="21"/>
                <w:highlight w:val="none"/>
                <w:u w:val="none"/>
                <w:lang w:val="en-US" w:eastAsia="zh-CN" w:bidi="ar"/>
              </w:rPr>
              <w:t>pH</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08" w:name="_Toc25021"/>
            <w:bookmarkStart w:id="909" w:name="_Toc6524"/>
            <w:r>
              <w:rPr>
                <w:rFonts w:hint="eastAsia" w:ascii="Times New Roman" w:hAnsi="Times New Roman" w:eastAsia="宋体" w:cs="Times New Roman"/>
                <w:color w:val="auto"/>
                <w:szCs w:val="21"/>
                <w:highlight w:val="none"/>
                <w:lang w:val="en-US" w:eastAsia="zh-CN"/>
              </w:rPr>
              <w:t>0.07</w:t>
            </w:r>
            <w:bookmarkEnd w:id="908"/>
            <w:bookmarkEnd w:id="90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10" w:name="_Toc31860"/>
            <w:bookmarkStart w:id="911" w:name="_Toc7386"/>
            <w:r>
              <w:rPr>
                <w:rFonts w:hint="eastAsia" w:ascii="Times New Roman" w:hAnsi="Times New Roman" w:eastAsia="宋体" w:cs="Times New Roman"/>
                <w:color w:val="auto"/>
                <w:szCs w:val="21"/>
                <w:highlight w:val="none"/>
                <w:lang w:val="en-US" w:eastAsia="zh-CN"/>
              </w:rPr>
              <w:t>0</w:t>
            </w:r>
            <w:bookmarkEnd w:id="910"/>
            <w:bookmarkEnd w:id="91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912" w:name="_Toc10347"/>
            <w:bookmarkStart w:id="913" w:name="_Toc16796"/>
            <w:r>
              <w:rPr>
                <w:rFonts w:hint="eastAsia" w:ascii="Times New Roman" w:hAnsi="Times New Roman" w:eastAsia="宋体" w:cs="Times New Roman"/>
                <w:color w:val="auto"/>
                <w:szCs w:val="21"/>
                <w:highlight w:val="none"/>
                <w:lang w:val="en-US" w:eastAsia="zh-CN"/>
              </w:rPr>
              <w:t>0.67</w:t>
            </w:r>
            <w:bookmarkEnd w:id="912"/>
            <w:bookmarkEnd w:id="91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14" w:name="_Toc2911"/>
            <w:bookmarkStart w:id="915" w:name="_Toc7344"/>
            <w:r>
              <w:rPr>
                <w:rFonts w:hint="eastAsia" w:ascii="Times New Roman" w:hAnsi="Times New Roman" w:eastAsia="宋体" w:cs="Times New Roman"/>
                <w:color w:val="auto"/>
                <w:szCs w:val="21"/>
                <w:highlight w:val="none"/>
                <w:lang w:val="en-US" w:eastAsia="zh-CN"/>
              </w:rPr>
              <w:t>0.93</w:t>
            </w:r>
            <w:bookmarkEnd w:id="914"/>
            <w:bookmarkEnd w:id="91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16" w:name="_Toc28056"/>
            <w:bookmarkStart w:id="917" w:name="_Toc23655"/>
            <w:r>
              <w:rPr>
                <w:rFonts w:hint="eastAsia" w:ascii="Times New Roman" w:hAnsi="Times New Roman" w:eastAsia="宋体" w:cs="Times New Roman"/>
                <w:color w:val="auto"/>
                <w:szCs w:val="21"/>
                <w:highlight w:val="none"/>
                <w:lang w:val="en-US" w:eastAsia="zh-CN"/>
              </w:rPr>
              <w:t>0.13</w:t>
            </w:r>
            <w:bookmarkEnd w:id="916"/>
            <w:bookmarkEnd w:id="91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18" w:name="_Toc12367"/>
            <w:bookmarkStart w:id="919" w:name="_Toc23016"/>
            <w:r>
              <w:rPr>
                <w:rFonts w:hint="eastAsia" w:ascii="Times New Roman" w:hAnsi="Times New Roman" w:eastAsia="宋体" w:cs="Times New Roman"/>
                <w:color w:val="auto"/>
                <w:szCs w:val="21"/>
                <w:highlight w:val="none"/>
                <w:lang w:val="en-US" w:eastAsia="zh-CN"/>
              </w:rPr>
              <w:t>0.33</w:t>
            </w:r>
            <w:bookmarkEnd w:id="918"/>
            <w:bookmarkEnd w:id="91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920" w:name="_Toc392"/>
            <w:bookmarkStart w:id="921" w:name="_Toc10127"/>
            <w:r>
              <w:rPr>
                <w:rFonts w:hint="eastAsia" w:ascii="Times New Roman" w:hAnsi="Times New Roman" w:eastAsia="宋体" w:cs="Times New Roman"/>
                <w:color w:val="auto"/>
                <w:szCs w:val="21"/>
                <w:highlight w:val="none"/>
                <w:lang w:val="en-US" w:eastAsia="zh-CN"/>
              </w:rPr>
              <w:t>0.20</w:t>
            </w:r>
            <w:bookmarkEnd w:id="920"/>
            <w:bookmarkEnd w:id="92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22" w:name="_Toc14277"/>
            <w:bookmarkStart w:id="923" w:name="_Toc316"/>
            <w:r>
              <w:rPr>
                <w:rFonts w:hint="eastAsia" w:ascii="Times New Roman" w:hAnsi="Times New Roman" w:eastAsia="宋体" w:cs="Times New Roman"/>
                <w:color w:val="auto"/>
                <w:szCs w:val="21"/>
                <w:highlight w:val="none"/>
                <w:lang w:val="en-US" w:eastAsia="zh-CN"/>
              </w:rPr>
              <w:t>0.13</w:t>
            </w:r>
            <w:bookmarkEnd w:id="922"/>
            <w:bookmarkEnd w:id="92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924" w:name="_Toc22904"/>
            <w:bookmarkStart w:id="925" w:name="_Toc18644"/>
            <w:r>
              <w:rPr>
                <w:rFonts w:hint="eastAsia" w:ascii="Times New Roman" w:hAnsi="Times New Roman" w:eastAsia="宋体" w:cs="Times New Roman"/>
                <w:color w:val="auto"/>
                <w:szCs w:val="21"/>
                <w:highlight w:val="none"/>
                <w:lang w:val="en-US" w:eastAsia="zh-CN"/>
              </w:rPr>
              <w:t>0.20</w:t>
            </w:r>
            <w:bookmarkEnd w:id="924"/>
            <w:bookmarkEnd w:id="92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26" w:name="_Toc30318"/>
            <w:bookmarkStart w:id="927" w:name="_Toc2301"/>
            <w:r>
              <w:rPr>
                <w:rFonts w:hint="eastAsia" w:ascii="Times New Roman" w:hAnsi="Times New Roman" w:eastAsia="宋体" w:cs="Times New Roman"/>
                <w:color w:val="auto"/>
                <w:szCs w:val="21"/>
                <w:highlight w:val="none"/>
                <w:lang w:val="en-US" w:eastAsia="zh-CN"/>
              </w:rPr>
              <w:t>0.27</w:t>
            </w:r>
            <w:bookmarkEnd w:id="926"/>
            <w:bookmarkEnd w:id="92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总硬度</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28" w:name="_Toc22137"/>
            <w:bookmarkStart w:id="929" w:name="_Toc27516"/>
            <w:r>
              <w:rPr>
                <w:rFonts w:hint="eastAsia" w:ascii="Times New Roman" w:hAnsi="Times New Roman" w:eastAsia="宋体" w:cs="Times New Roman"/>
                <w:color w:val="auto"/>
                <w:szCs w:val="21"/>
                <w:highlight w:val="none"/>
                <w:lang w:val="en-US" w:eastAsia="zh-CN"/>
              </w:rPr>
              <w:t>0.26</w:t>
            </w:r>
            <w:bookmarkEnd w:id="928"/>
            <w:bookmarkEnd w:id="92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30" w:name="_Toc23844"/>
            <w:bookmarkStart w:id="931" w:name="_Toc12721"/>
            <w:r>
              <w:rPr>
                <w:rFonts w:hint="eastAsia" w:ascii="Times New Roman" w:hAnsi="Times New Roman" w:eastAsia="宋体" w:cs="Times New Roman"/>
                <w:color w:val="auto"/>
                <w:szCs w:val="21"/>
                <w:highlight w:val="none"/>
                <w:lang w:val="en-US" w:eastAsia="zh-CN"/>
              </w:rPr>
              <w:t>0.27</w:t>
            </w:r>
            <w:bookmarkEnd w:id="930"/>
            <w:bookmarkEnd w:id="93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32" w:name="_Toc13586"/>
            <w:bookmarkStart w:id="933" w:name="_Toc4966"/>
            <w:r>
              <w:rPr>
                <w:rFonts w:hint="eastAsia" w:ascii="Times New Roman" w:hAnsi="Times New Roman" w:eastAsia="宋体" w:cs="Times New Roman"/>
                <w:color w:val="auto"/>
                <w:szCs w:val="21"/>
                <w:highlight w:val="none"/>
                <w:lang w:val="en-US" w:eastAsia="zh-CN"/>
              </w:rPr>
              <w:t>0.2</w:t>
            </w:r>
            <w:r>
              <w:rPr>
                <w:rFonts w:hint="eastAsia" w:cs="Times New Roman"/>
                <w:color w:val="auto"/>
                <w:szCs w:val="21"/>
                <w:highlight w:val="none"/>
                <w:lang w:val="en-US" w:eastAsia="zh-CN"/>
              </w:rPr>
              <w:t>4</w:t>
            </w:r>
            <w:bookmarkEnd w:id="932"/>
            <w:bookmarkEnd w:id="93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934" w:name="_Toc9209"/>
            <w:bookmarkStart w:id="935" w:name="_Toc5927"/>
            <w:r>
              <w:rPr>
                <w:rFonts w:hint="eastAsia" w:ascii="Times New Roman" w:hAnsi="Times New Roman" w:eastAsia="宋体" w:cs="Times New Roman"/>
                <w:color w:val="auto"/>
                <w:szCs w:val="21"/>
                <w:highlight w:val="none"/>
                <w:lang w:val="en-US" w:eastAsia="zh-CN"/>
              </w:rPr>
              <w:t>0.2</w:t>
            </w:r>
            <w:r>
              <w:rPr>
                <w:rFonts w:hint="eastAsia" w:cs="Times New Roman"/>
                <w:color w:val="auto"/>
                <w:szCs w:val="21"/>
                <w:highlight w:val="none"/>
                <w:lang w:val="en-US" w:eastAsia="zh-CN"/>
              </w:rPr>
              <w:t>2</w:t>
            </w:r>
            <w:bookmarkEnd w:id="934"/>
            <w:bookmarkEnd w:id="93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36" w:name="_Toc6429"/>
            <w:bookmarkStart w:id="937" w:name="_Toc27190"/>
            <w:r>
              <w:rPr>
                <w:rFonts w:hint="eastAsia" w:ascii="Times New Roman" w:hAnsi="Times New Roman" w:eastAsia="宋体" w:cs="Times New Roman"/>
                <w:color w:val="auto"/>
                <w:szCs w:val="21"/>
                <w:highlight w:val="none"/>
                <w:lang w:val="en-US" w:eastAsia="zh-CN"/>
              </w:rPr>
              <w:t>0.27</w:t>
            </w:r>
            <w:bookmarkEnd w:id="936"/>
            <w:bookmarkEnd w:id="93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38" w:name="_Toc8276"/>
            <w:bookmarkStart w:id="939" w:name="_Toc11595"/>
            <w:r>
              <w:rPr>
                <w:rFonts w:hint="eastAsia" w:ascii="Times New Roman" w:hAnsi="Times New Roman" w:eastAsia="宋体" w:cs="Times New Roman"/>
                <w:color w:val="auto"/>
                <w:szCs w:val="21"/>
                <w:highlight w:val="none"/>
                <w:lang w:val="en-US" w:eastAsia="zh-CN"/>
              </w:rPr>
              <w:t>0.2</w:t>
            </w:r>
            <w:r>
              <w:rPr>
                <w:rFonts w:hint="eastAsia" w:cs="Times New Roman"/>
                <w:color w:val="auto"/>
                <w:szCs w:val="21"/>
                <w:highlight w:val="none"/>
                <w:lang w:val="en-US" w:eastAsia="zh-CN"/>
              </w:rPr>
              <w:t>6</w:t>
            </w:r>
            <w:bookmarkEnd w:id="938"/>
            <w:bookmarkEnd w:id="93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40" w:name="_Toc24206"/>
            <w:bookmarkStart w:id="941" w:name="_Toc7521"/>
            <w:r>
              <w:rPr>
                <w:rFonts w:hint="eastAsia" w:ascii="Times New Roman" w:hAnsi="Times New Roman" w:eastAsia="宋体" w:cs="Times New Roman"/>
                <w:color w:val="auto"/>
                <w:szCs w:val="21"/>
                <w:highlight w:val="none"/>
                <w:lang w:val="en-US" w:eastAsia="zh-CN"/>
              </w:rPr>
              <w:t>0.2</w:t>
            </w:r>
            <w:r>
              <w:rPr>
                <w:rFonts w:hint="eastAsia" w:cs="Times New Roman"/>
                <w:color w:val="auto"/>
                <w:szCs w:val="21"/>
                <w:highlight w:val="none"/>
                <w:lang w:val="en-US" w:eastAsia="zh-CN"/>
              </w:rPr>
              <w:t>7</w:t>
            </w:r>
            <w:bookmarkEnd w:id="940"/>
            <w:bookmarkEnd w:id="94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42" w:name="_Toc30415"/>
            <w:bookmarkStart w:id="943" w:name="_Toc28913"/>
            <w:r>
              <w:rPr>
                <w:rFonts w:hint="eastAsia" w:ascii="Times New Roman" w:hAnsi="Times New Roman" w:eastAsia="宋体" w:cs="Times New Roman"/>
                <w:color w:val="auto"/>
                <w:szCs w:val="21"/>
                <w:highlight w:val="none"/>
                <w:lang w:val="en-US" w:eastAsia="zh-CN"/>
              </w:rPr>
              <w:t>0.28</w:t>
            </w:r>
            <w:bookmarkEnd w:id="942"/>
            <w:bookmarkEnd w:id="94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944" w:name="_Toc5932"/>
            <w:bookmarkStart w:id="945" w:name="_Toc19892"/>
            <w:r>
              <w:rPr>
                <w:rFonts w:hint="eastAsia" w:ascii="Times New Roman" w:hAnsi="Times New Roman" w:eastAsia="宋体" w:cs="Times New Roman"/>
                <w:color w:val="auto"/>
                <w:szCs w:val="21"/>
                <w:highlight w:val="none"/>
                <w:lang w:val="en-US" w:eastAsia="zh-CN"/>
              </w:rPr>
              <w:t>0.66</w:t>
            </w:r>
            <w:bookmarkEnd w:id="944"/>
            <w:bookmarkEnd w:id="94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46" w:name="_Toc10303"/>
            <w:bookmarkStart w:id="947" w:name="_Toc5348"/>
            <w:r>
              <w:rPr>
                <w:rFonts w:hint="eastAsia" w:ascii="Times New Roman" w:hAnsi="Times New Roman" w:eastAsia="宋体" w:cs="Times New Roman"/>
                <w:color w:val="auto"/>
                <w:szCs w:val="21"/>
                <w:highlight w:val="none"/>
                <w:lang w:val="en-US" w:eastAsia="zh-CN"/>
              </w:rPr>
              <w:t>0.48</w:t>
            </w:r>
            <w:bookmarkEnd w:id="946"/>
            <w:bookmarkEnd w:id="94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氨氮</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948" w:name="_Toc8339"/>
            <w:bookmarkStart w:id="949" w:name="_Toc28869"/>
            <w:r>
              <w:rPr>
                <w:rFonts w:hint="eastAsia" w:ascii="Times New Roman" w:hAnsi="Times New Roman" w:eastAsia="宋体" w:cs="Times New Roman"/>
                <w:color w:val="auto"/>
                <w:szCs w:val="21"/>
                <w:highlight w:val="none"/>
                <w:lang w:val="en-US" w:eastAsia="zh-CN"/>
              </w:rPr>
              <w:t>0.1</w:t>
            </w:r>
            <w:r>
              <w:rPr>
                <w:rFonts w:hint="eastAsia" w:cs="Times New Roman"/>
                <w:color w:val="auto"/>
                <w:szCs w:val="21"/>
                <w:highlight w:val="none"/>
                <w:lang w:val="en-US" w:eastAsia="zh-CN"/>
              </w:rPr>
              <w:t>4</w:t>
            </w:r>
            <w:bookmarkEnd w:id="948"/>
            <w:bookmarkEnd w:id="94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950" w:name="_Toc18876"/>
            <w:bookmarkStart w:id="951" w:name="_Toc20585"/>
            <w:r>
              <w:rPr>
                <w:rFonts w:hint="eastAsia" w:ascii="Times New Roman" w:hAnsi="Times New Roman" w:eastAsia="宋体" w:cs="Times New Roman"/>
                <w:color w:val="auto"/>
                <w:szCs w:val="21"/>
                <w:highlight w:val="none"/>
                <w:lang w:val="en-US" w:eastAsia="zh-CN"/>
              </w:rPr>
              <w:t>1.3</w:t>
            </w:r>
            <w:r>
              <w:rPr>
                <w:rFonts w:hint="eastAsia" w:cs="Times New Roman"/>
                <w:color w:val="auto"/>
                <w:szCs w:val="21"/>
                <w:highlight w:val="none"/>
                <w:lang w:val="en-US" w:eastAsia="zh-CN"/>
              </w:rPr>
              <w:t>7</w:t>
            </w:r>
            <w:bookmarkEnd w:id="950"/>
            <w:bookmarkEnd w:id="95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52" w:name="_Toc30198"/>
            <w:bookmarkStart w:id="953" w:name="_Toc9311"/>
            <w:r>
              <w:rPr>
                <w:rFonts w:hint="eastAsia" w:ascii="Times New Roman" w:hAnsi="Times New Roman" w:eastAsia="宋体" w:cs="Times New Roman"/>
                <w:color w:val="auto"/>
                <w:szCs w:val="21"/>
                <w:highlight w:val="none"/>
                <w:lang w:val="en-US" w:eastAsia="zh-CN"/>
              </w:rPr>
              <w:t>0.88</w:t>
            </w:r>
            <w:bookmarkEnd w:id="952"/>
            <w:bookmarkEnd w:id="95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54" w:name="_Toc5397"/>
            <w:bookmarkStart w:id="955" w:name="_Toc13383"/>
            <w:r>
              <w:rPr>
                <w:rFonts w:hint="eastAsia" w:ascii="Times New Roman" w:hAnsi="Times New Roman" w:eastAsia="宋体" w:cs="Times New Roman"/>
                <w:color w:val="auto"/>
                <w:szCs w:val="21"/>
                <w:highlight w:val="none"/>
                <w:lang w:val="en-US" w:eastAsia="zh-CN"/>
              </w:rPr>
              <w:t>0.93</w:t>
            </w:r>
            <w:bookmarkEnd w:id="954"/>
            <w:bookmarkEnd w:id="95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56" w:name="_Toc32423"/>
            <w:bookmarkStart w:id="957" w:name="_Toc12478"/>
            <w:r>
              <w:rPr>
                <w:rFonts w:hint="eastAsia" w:ascii="Times New Roman" w:hAnsi="Times New Roman" w:eastAsia="宋体" w:cs="Times New Roman"/>
                <w:color w:val="auto"/>
                <w:szCs w:val="21"/>
                <w:highlight w:val="none"/>
                <w:lang w:val="en-US" w:eastAsia="zh-CN"/>
              </w:rPr>
              <w:t>1.31</w:t>
            </w:r>
            <w:bookmarkEnd w:id="956"/>
            <w:bookmarkEnd w:id="95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58" w:name="_Toc1381"/>
            <w:bookmarkStart w:id="959" w:name="_Toc6388"/>
            <w:r>
              <w:rPr>
                <w:rFonts w:hint="eastAsia" w:ascii="Times New Roman" w:hAnsi="Times New Roman" w:eastAsia="宋体" w:cs="Times New Roman"/>
                <w:color w:val="auto"/>
                <w:szCs w:val="21"/>
                <w:highlight w:val="none"/>
                <w:lang w:val="en-US" w:eastAsia="zh-CN"/>
              </w:rPr>
              <w:t>0.65</w:t>
            </w:r>
            <w:bookmarkEnd w:id="958"/>
            <w:bookmarkEnd w:id="95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60" w:name="_Toc6267"/>
            <w:bookmarkStart w:id="961" w:name="_Toc26292"/>
            <w:r>
              <w:rPr>
                <w:rFonts w:hint="eastAsia" w:ascii="Times New Roman" w:hAnsi="Times New Roman" w:eastAsia="宋体" w:cs="Times New Roman"/>
                <w:color w:val="auto"/>
                <w:szCs w:val="21"/>
                <w:highlight w:val="none"/>
                <w:lang w:val="en-US" w:eastAsia="zh-CN"/>
              </w:rPr>
              <w:t>0.81</w:t>
            </w:r>
            <w:bookmarkEnd w:id="960"/>
            <w:bookmarkEnd w:id="96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62" w:name="_Toc21572"/>
            <w:bookmarkStart w:id="963" w:name="_Toc19628"/>
            <w:r>
              <w:rPr>
                <w:rFonts w:hint="eastAsia" w:ascii="Times New Roman" w:hAnsi="Times New Roman" w:eastAsia="宋体" w:cs="Times New Roman"/>
                <w:color w:val="auto"/>
                <w:szCs w:val="21"/>
                <w:highlight w:val="none"/>
                <w:lang w:val="en-US" w:eastAsia="zh-CN"/>
              </w:rPr>
              <w:t>0.76</w:t>
            </w:r>
            <w:bookmarkEnd w:id="962"/>
            <w:bookmarkEnd w:id="96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64" w:name="_Toc2361"/>
            <w:bookmarkStart w:id="965" w:name="_Toc32136"/>
            <w:r>
              <w:rPr>
                <w:rFonts w:hint="eastAsia" w:ascii="Times New Roman" w:hAnsi="Times New Roman" w:eastAsia="宋体" w:cs="Times New Roman"/>
                <w:color w:val="auto"/>
                <w:szCs w:val="21"/>
                <w:highlight w:val="none"/>
                <w:lang w:val="en-US" w:eastAsia="zh-CN"/>
              </w:rPr>
              <w:t>0.70</w:t>
            </w:r>
            <w:bookmarkEnd w:id="964"/>
            <w:bookmarkEnd w:id="96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66" w:name="_Toc4442"/>
            <w:bookmarkStart w:id="967" w:name="_Toc6942"/>
            <w:r>
              <w:rPr>
                <w:rFonts w:hint="eastAsia" w:ascii="Times New Roman" w:hAnsi="Times New Roman" w:eastAsia="宋体" w:cs="Times New Roman"/>
                <w:color w:val="auto"/>
                <w:szCs w:val="21"/>
                <w:highlight w:val="none"/>
                <w:lang w:val="en-US" w:eastAsia="zh-CN"/>
              </w:rPr>
              <w:t>0.43</w:t>
            </w:r>
            <w:bookmarkEnd w:id="966"/>
            <w:bookmarkEnd w:id="96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氰化物</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68" w:name="_Toc13991"/>
            <w:bookmarkStart w:id="969" w:name="_Toc22035"/>
            <w:r>
              <w:rPr>
                <w:rFonts w:hint="eastAsia" w:ascii="Times New Roman" w:hAnsi="Times New Roman" w:eastAsia="宋体" w:cs="Times New Roman"/>
                <w:color w:val="auto"/>
                <w:szCs w:val="21"/>
                <w:highlight w:val="none"/>
                <w:lang w:val="en-US" w:eastAsia="zh-CN"/>
              </w:rPr>
              <w:t>未检出</w:t>
            </w:r>
            <w:bookmarkEnd w:id="968"/>
            <w:bookmarkEnd w:id="96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70" w:name="_Toc26788"/>
            <w:bookmarkStart w:id="971" w:name="_Toc2679"/>
            <w:r>
              <w:rPr>
                <w:rFonts w:hint="eastAsia" w:ascii="Times New Roman" w:hAnsi="Times New Roman" w:eastAsia="宋体" w:cs="Times New Roman"/>
                <w:color w:val="auto"/>
                <w:szCs w:val="21"/>
                <w:highlight w:val="none"/>
                <w:lang w:val="en-US" w:eastAsia="zh-CN"/>
              </w:rPr>
              <w:t>未检出</w:t>
            </w:r>
            <w:bookmarkEnd w:id="970"/>
            <w:bookmarkEnd w:id="97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72" w:name="_Toc24683"/>
            <w:bookmarkStart w:id="973" w:name="_Toc22512"/>
            <w:r>
              <w:rPr>
                <w:rFonts w:hint="eastAsia" w:ascii="Times New Roman" w:hAnsi="Times New Roman" w:eastAsia="宋体" w:cs="Times New Roman"/>
                <w:color w:val="auto"/>
                <w:szCs w:val="21"/>
                <w:highlight w:val="none"/>
                <w:lang w:val="en-US" w:eastAsia="zh-CN"/>
              </w:rPr>
              <w:t>未检出</w:t>
            </w:r>
            <w:bookmarkEnd w:id="972"/>
            <w:bookmarkEnd w:id="97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74" w:name="_Toc8263"/>
            <w:bookmarkStart w:id="975" w:name="_Toc13711"/>
            <w:r>
              <w:rPr>
                <w:rFonts w:hint="eastAsia" w:ascii="Times New Roman" w:hAnsi="Times New Roman" w:eastAsia="宋体" w:cs="Times New Roman"/>
                <w:color w:val="auto"/>
                <w:szCs w:val="21"/>
                <w:highlight w:val="none"/>
                <w:lang w:val="en-US" w:eastAsia="zh-CN"/>
              </w:rPr>
              <w:t>未检出</w:t>
            </w:r>
            <w:bookmarkEnd w:id="974"/>
            <w:bookmarkEnd w:id="97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76" w:name="_Toc8940"/>
            <w:bookmarkStart w:id="977" w:name="_Toc4014"/>
            <w:r>
              <w:rPr>
                <w:rFonts w:hint="eastAsia" w:ascii="Times New Roman" w:hAnsi="Times New Roman" w:eastAsia="宋体" w:cs="Times New Roman"/>
                <w:color w:val="auto"/>
                <w:szCs w:val="21"/>
                <w:highlight w:val="none"/>
                <w:lang w:val="en-US" w:eastAsia="zh-CN"/>
              </w:rPr>
              <w:t>未检出</w:t>
            </w:r>
            <w:bookmarkEnd w:id="976"/>
            <w:bookmarkEnd w:id="97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78" w:name="_Toc2015"/>
            <w:bookmarkStart w:id="979" w:name="_Toc32310"/>
            <w:r>
              <w:rPr>
                <w:rFonts w:hint="eastAsia" w:ascii="Times New Roman" w:hAnsi="Times New Roman" w:eastAsia="宋体" w:cs="Times New Roman"/>
                <w:color w:val="auto"/>
                <w:szCs w:val="21"/>
                <w:highlight w:val="none"/>
                <w:lang w:val="en-US" w:eastAsia="zh-CN"/>
              </w:rPr>
              <w:t>未检出</w:t>
            </w:r>
            <w:bookmarkEnd w:id="978"/>
            <w:bookmarkEnd w:id="97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80" w:name="_Toc8222"/>
            <w:bookmarkStart w:id="981" w:name="_Toc4623"/>
            <w:r>
              <w:rPr>
                <w:rFonts w:hint="eastAsia" w:ascii="Times New Roman" w:hAnsi="Times New Roman" w:eastAsia="宋体" w:cs="Times New Roman"/>
                <w:color w:val="auto"/>
                <w:szCs w:val="21"/>
                <w:highlight w:val="none"/>
                <w:lang w:val="en-US" w:eastAsia="zh-CN"/>
              </w:rPr>
              <w:t>未检出</w:t>
            </w:r>
            <w:bookmarkEnd w:id="980"/>
            <w:bookmarkEnd w:id="98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82" w:name="_Toc18405"/>
            <w:bookmarkStart w:id="983" w:name="_Toc18115"/>
            <w:r>
              <w:rPr>
                <w:rFonts w:hint="eastAsia" w:ascii="Times New Roman" w:hAnsi="Times New Roman" w:eastAsia="宋体" w:cs="Times New Roman"/>
                <w:color w:val="auto"/>
                <w:szCs w:val="21"/>
                <w:highlight w:val="none"/>
                <w:lang w:val="en-US" w:eastAsia="zh-CN"/>
              </w:rPr>
              <w:t>未检出</w:t>
            </w:r>
            <w:bookmarkEnd w:id="982"/>
            <w:bookmarkEnd w:id="98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84" w:name="_Toc25379"/>
            <w:bookmarkStart w:id="985" w:name="_Toc30379"/>
            <w:r>
              <w:rPr>
                <w:rFonts w:hint="eastAsia" w:ascii="Times New Roman" w:hAnsi="Times New Roman" w:eastAsia="宋体" w:cs="Times New Roman"/>
                <w:color w:val="auto"/>
                <w:szCs w:val="21"/>
                <w:highlight w:val="none"/>
                <w:lang w:val="en-US" w:eastAsia="zh-CN"/>
              </w:rPr>
              <w:t>未检出</w:t>
            </w:r>
            <w:bookmarkEnd w:id="984"/>
            <w:bookmarkEnd w:id="98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86" w:name="_Toc27997"/>
            <w:bookmarkStart w:id="987" w:name="_Toc24732"/>
            <w:r>
              <w:rPr>
                <w:rFonts w:hint="eastAsia" w:ascii="Times New Roman" w:hAnsi="Times New Roman" w:eastAsia="宋体" w:cs="Times New Roman"/>
                <w:color w:val="auto"/>
                <w:szCs w:val="21"/>
                <w:highlight w:val="none"/>
                <w:lang w:val="en-US" w:eastAsia="zh-CN"/>
              </w:rPr>
              <w:t>未检出</w:t>
            </w:r>
            <w:bookmarkEnd w:id="986"/>
            <w:bookmarkEnd w:id="98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挥发</w:t>
            </w:r>
            <w:r>
              <w:rPr>
                <w:rFonts w:hint="eastAsia" w:ascii="宋体" w:hAnsi="宋体" w:eastAsia="宋体" w:cs="宋体"/>
                <w:i w:val="0"/>
                <w:iCs w:val="0"/>
                <w:caps w:val="0"/>
                <w:smallCaps w:val="0"/>
                <w:color w:val="auto"/>
                <w:w w:val="100"/>
                <w:kern w:val="2"/>
                <w:sz w:val="21"/>
                <w:szCs w:val="21"/>
                <w:highlight w:val="none"/>
                <w:u w:val="none"/>
                <w:lang w:val="en-US" w:eastAsia="zh-CN" w:bidi="ar-SA"/>
              </w:rPr>
              <w:t>性酚类</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988" w:name="_Toc17982"/>
            <w:bookmarkStart w:id="989" w:name="_Toc17475"/>
            <w:r>
              <w:rPr>
                <w:rFonts w:hint="eastAsia" w:ascii="Times New Roman" w:hAnsi="Times New Roman" w:eastAsia="宋体" w:cs="Times New Roman"/>
                <w:color w:val="auto"/>
                <w:szCs w:val="21"/>
                <w:highlight w:val="none"/>
                <w:lang w:val="en-US" w:eastAsia="zh-CN"/>
              </w:rPr>
              <w:t>未检出</w:t>
            </w:r>
            <w:bookmarkEnd w:id="988"/>
            <w:bookmarkEnd w:id="98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90" w:name="_Toc640"/>
            <w:bookmarkStart w:id="991" w:name="_Toc14764"/>
            <w:r>
              <w:rPr>
                <w:rFonts w:hint="eastAsia" w:ascii="Times New Roman" w:hAnsi="Times New Roman" w:eastAsia="宋体" w:cs="Times New Roman"/>
                <w:color w:val="auto"/>
                <w:szCs w:val="21"/>
                <w:highlight w:val="none"/>
                <w:lang w:val="en-US" w:eastAsia="zh-CN"/>
              </w:rPr>
              <w:t>未检出</w:t>
            </w:r>
            <w:bookmarkEnd w:id="990"/>
            <w:bookmarkEnd w:id="99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92" w:name="_Toc21481"/>
            <w:bookmarkStart w:id="993" w:name="_Toc1622"/>
            <w:r>
              <w:rPr>
                <w:rFonts w:hint="eastAsia" w:ascii="Times New Roman" w:hAnsi="Times New Roman" w:eastAsia="宋体" w:cs="Times New Roman"/>
                <w:color w:val="auto"/>
                <w:szCs w:val="21"/>
                <w:highlight w:val="none"/>
                <w:lang w:val="en-US" w:eastAsia="zh-CN"/>
              </w:rPr>
              <w:t>未检出</w:t>
            </w:r>
            <w:bookmarkEnd w:id="992"/>
            <w:bookmarkEnd w:id="99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94" w:name="_Toc12205"/>
            <w:bookmarkStart w:id="995" w:name="_Toc31874"/>
            <w:r>
              <w:rPr>
                <w:rFonts w:hint="eastAsia" w:ascii="Times New Roman" w:hAnsi="Times New Roman" w:eastAsia="宋体" w:cs="Times New Roman"/>
                <w:color w:val="auto"/>
                <w:szCs w:val="21"/>
                <w:highlight w:val="none"/>
                <w:lang w:val="en-US" w:eastAsia="zh-CN"/>
              </w:rPr>
              <w:t>未检出</w:t>
            </w:r>
            <w:bookmarkEnd w:id="994"/>
            <w:bookmarkEnd w:id="99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96" w:name="_Toc14613"/>
            <w:bookmarkStart w:id="997" w:name="_Toc10410"/>
            <w:r>
              <w:rPr>
                <w:rFonts w:hint="eastAsia" w:ascii="Times New Roman" w:hAnsi="Times New Roman" w:eastAsia="宋体" w:cs="Times New Roman"/>
                <w:color w:val="auto"/>
                <w:szCs w:val="21"/>
                <w:highlight w:val="none"/>
                <w:lang w:val="en-US" w:eastAsia="zh-CN"/>
              </w:rPr>
              <w:t>未检出</w:t>
            </w:r>
            <w:bookmarkEnd w:id="996"/>
            <w:bookmarkEnd w:id="99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998" w:name="_Toc12868"/>
            <w:bookmarkStart w:id="999" w:name="_Toc32010"/>
            <w:r>
              <w:rPr>
                <w:rFonts w:hint="eastAsia" w:ascii="Times New Roman" w:hAnsi="Times New Roman" w:eastAsia="宋体" w:cs="Times New Roman"/>
                <w:color w:val="auto"/>
                <w:szCs w:val="21"/>
                <w:highlight w:val="none"/>
                <w:lang w:val="en-US" w:eastAsia="zh-CN"/>
              </w:rPr>
              <w:t>未检出</w:t>
            </w:r>
            <w:bookmarkEnd w:id="998"/>
            <w:bookmarkEnd w:id="99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00" w:name="_Toc21873"/>
            <w:bookmarkStart w:id="1001" w:name="_Toc21842"/>
            <w:r>
              <w:rPr>
                <w:rFonts w:hint="eastAsia" w:ascii="Times New Roman" w:hAnsi="Times New Roman" w:eastAsia="宋体" w:cs="Times New Roman"/>
                <w:color w:val="auto"/>
                <w:szCs w:val="21"/>
                <w:highlight w:val="none"/>
                <w:lang w:val="en-US" w:eastAsia="zh-CN"/>
              </w:rPr>
              <w:t>未检出</w:t>
            </w:r>
            <w:bookmarkEnd w:id="1000"/>
            <w:bookmarkEnd w:id="100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02" w:name="_Toc11250"/>
            <w:bookmarkStart w:id="1003" w:name="_Toc27756"/>
            <w:r>
              <w:rPr>
                <w:rFonts w:hint="eastAsia" w:ascii="Times New Roman" w:hAnsi="Times New Roman" w:eastAsia="宋体" w:cs="Times New Roman"/>
                <w:color w:val="auto"/>
                <w:szCs w:val="21"/>
                <w:highlight w:val="none"/>
                <w:lang w:val="en-US" w:eastAsia="zh-CN"/>
              </w:rPr>
              <w:t>未检出</w:t>
            </w:r>
            <w:bookmarkEnd w:id="1002"/>
            <w:bookmarkEnd w:id="100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04" w:name="_Toc22831"/>
            <w:bookmarkStart w:id="1005" w:name="_Toc9915"/>
            <w:r>
              <w:rPr>
                <w:rFonts w:hint="eastAsia" w:ascii="Times New Roman" w:hAnsi="Times New Roman" w:eastAsia="宋体" w:cs="Times New Roman"/>
                <w:color w:val="auto"/>
                <w:szCs w:val="21"/>
                <w:highlight w:val="none"/>
                <w:lang w:val="en-US" w:eastAsia="zh-CN"/>
              </w:rPr>
              <w:t>未检出</w:t>
            </w:r>
            <w:bookmarkEnd w:id="1004"/>
            <w:bookmarkEnd w:id="100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06" w:name="_Toc25191"/>
            <w:bookmarkStart w:id="1007" w:name="_Toc6825"/>
            <w:r>
              <w:rPr>
                <w:rFonts w:hint="eastAsia" w:ascii="Times New Roman" w:hAnsi="Times New Roman" w:eastAsia="宋体" w:cs="Times New Roman"/>
                <w:color w:val="auto"/>
                <w:szCs w:val="21"/>
                <w:highlight w:val="none"/>
                <w:lang w:val="en-US" w:eastAsia="zh-CN"/>
              </w:rPr>
              <w:t>未检出</w:t>
            </w:r>
            <w:bookmarkEnd w:id="1006"/>
            <w:bookmarkEnd w:id="100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Times New Roman" w:hAnsi="Times New Roman" w:eastAsia="宋体" w:cs="Times New Roman"/>
                <w:i w:val="0"/>
                <w:iCs w:val="0"/>
                <w:caps w:val="0"/>
                <w:smallCaps w:val="0"/>
                <w:color w:val="auto"/>
                <w:w w:val="100"/>
                <w:kern w:val="0"/>
                <w:sz w:val="21"/>
                <w:szCs w:val="21"/>
                <w:highlight w:val="none"/>
                <w:u w:val="none"/>
                <w:lang w:val="en-US" w:eastAsia="zh-CN" w:bidi="ar"/>
              </w:rPr>
            </w:pPr>
            <w:r>
              <w:rPr>
                <w:rFonts w:hint="default" w:ascii="Times New Roman" w:hAnsi="Times New Roman" w:eastAsia="宋体" w:cs="Times New Roman"/>
                <w:i w:val="0"/>
                <w:iCs w:val="0"/>
                <w:caps w:val="0"/>
                <w:smallCaps w:val="0"/>
                <w:color w:val="auto"/>
                <w:w w:val="100"/>
                <w:kern w:val="0"/>
                <w:sz w:val="21"/>
                <w:szCs w:val="21"/>
                <w:highlight w:val="none"/>
                <w:u w:val="none"/>
                <w:lang w:val="en-US" w:eastAsia="zh-CN" w:bidi="ar"/>
              </w:rPr>
              <w:t>耗氧量（以O</w:t>
            </w:r>
            <w:r>
              <w:rPr>
                <w:rFonts w:hint="default" w:ascii="Times New Roman" w:hAnsi="Times New Roman" w:eastAsia="宋体" w:cs="Times New Roman"/>
                <w:i w:val="0"/>
                <w:iCs w:val="0"/>
                <w:caps w:val="0"/>
                <w:smallCaps w:val="0"/>
                <w:color w:val="auto"/>
                <w:w w:val="100"/>
                <w:kern w:val="0"/>
                <w:sz w:val="21"/>
                <w:szCs w:val="21"/>
                <w:highlight w:val="none"/>
                <w:u w:val="none"/>
                <w:vertAlign w:val="subscript"/>
                <w:lang w:val="en-US" w:eastAsia="zh-CN" w:bidi="ar"/>
              </w:rPr>
              <w:t>2</w:t>
            </w:r>
            <w:r>
              <w:rPr>
                <w:rFonts w:hint="default" w:ascii="Times New Roman" w:hAnsi="Times New Roman" w:eastAsia="宋体" w:cs="Times New Roman"/>
                <w:i w:val="0"/>
                <w:iCs w:val="0"/>
                <w:caps w:val="0"/>
                <w:smallCaps w:val="0"/>
                <w:color w:val="auto"/>
                <w:w w:val="100"/>
                <w:kern w:val="0"/>
                <w:sz w:val="21"/>
                <w:szCs w:val="21"/>
                <w:highlight w:val="none"/>
                <w:u w:val="none"/>
                <w:lang w:val="en-US" w:eastAsia="zh-CN" w:bidi="ar"/>
              </w:rPr>
              <w:t>计）</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08" w:name="_Toc26147"/>
            <w:bookmarkStart w:id="1009" w:name="_Toc12608"/>
            <w:r>
              <w:rPr>
                <w:rFonts w:hint="eastAsia" w:ascii="Times New Roman" w:hAnsi="Times New Roman" w:eastAsia="宋体" w:cs="Times New Roman"/>
                <w:color w:val="auto"/>
                <w:szCs w:val="21"/>
                <w:highlight w:val="none"/>
                <w:lang w:val="en-US" w:eastAsia="zh-CN"/>
              </w:rPr>
              <w:t>0.7</w:t>
            </w:r>
            <w:bookmarkEnd w:id="1008"/>
            <w:bookmarkEnd w:id="100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10" w:name="_Toc17796"/>
            <w:bookmarkStart w:id="1011" w:name="_Toc17973"/>
            <w:r>
              <w:rPr>
                <w:rFonts w:hint="eastAsia" w:ascii="Times New Roman" w:hAnsi="Times New Roman" w:eastAsia="宋体" w:cs="Times New Roman"/>
                <w:color w:val="auto"/>
                <w:szCs w:val="21"/>
                <w:highlight w:val="none"/>
                <w:lang w:val="en-US" w:eastAsia="zh-CN"/>
              </w:rPr>
              <w:t>0.63</w:t>
            </w:r>
            <w:bookmarkEnd w:id="1010"/>
            <w:bookmarkEnd w:id="101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12" w:name="_Toc18400"/>
            <w:bookmarkStart w:id="1013" w:name="_Toc13067"/>
            <w:r>
              <w:rPr>
                <w:rFonts w:hint="eastAsia" w:ascii="Times New Roman" w:hAnsi="Times New Roman" w:eastAsia="宋体" w:cs="Times New Roman"/>
                <w:color w:val="auto"/>
                <w:szCs w:val="21"/>
                <w:highlight w:val="none"/>
                <w:lang w:val="en-US" w:eastAsia="zh-CN"/>
              </w:rPr>
              <w:t>0.6</w:t>
            </w:r>
            <w:bookmarkEnd w:id="1012"/>
            <w:bookmarkEnd w:id="101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14" w:name="_Toc29228"/>
            <w:bookmarkStart w:id="1015" w:name="_Toc5166"/>
            <w:r>
              <w:rPr>
                <w:rFonts w:hint="eastAsia" w:ascii="Times New Roman" w:hAnsi="Times New Roman" w:eastAsia="宋体" w:cs="Times New Roman"/>
                <w:color w:val="auto"/>
                <w:szCs w:val="21"/>
                <w:highlight w:val="none"/>
                <w:lang w:val="en-US" w:eastAsia="zh-CN"/>
              </w:rPr>
              <w:t>0.57</w:t>
            </w:r>
            <w:bookmarkEnd w:id="1014"/>
            <w:bookmarkEnd w:id="101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16" w:name="_Toc26253"/>
            <w:bookmarkStart w:id="1017" w:name="_Toc14731"/>
            <w:r>
              <w:rPr>
                <w:rFonts w:hint="eastAsia" w:ascii="Times New Roman" w:hAnsi="Times New Roman" w:eastAsia="宋体" w:cs="Times New Roman"/>
                <w:color w:val="auto"/>
                <w:szCs w:val="21"/>
                <w:highlight w:val="none"/>
                <w:lang w:val="en-US" w:eastAsia="zh-CN"/>
              </w:rPr>
              <w:t>0.67</w:t>
            </w:r>
            <w:bookmarkEnd w:id="1016"/>
            <w:bookmarkEnd w:id="101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18" w:name="_Toc27662"/>
            <w:bookmarkStart w:id="1019" w:name="_Toc23891"/>
            <w:r>
              <w:rPr>
                <w:rFonts w:hint="eastAsia" w:ascii="Times New Roman" w:hAnsi="Times New Roman" w:eastAsia="宋体" w:cs="Times New Roman"/>
                <w:color w:val="auto"/>
                <w:szCs w:val="21"/>
                <w:highlight w:val="none"/>
                <w:lang w:val="en-US" w:eastAsia="zh-CN"/>
              </w:rPr>
              <w:t>0.7</w:t>
            </w:r>
            <w:bookmarkEnd w:id="1018"/>
            <w:bookmarkEnd w:id="101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20" w:name="_Toc11215"/>
            <w:bookmarkStart w:id="1021" w:name="_Toc15954"/>
            <w:r>
              <w:rPr>
                <w:rFonts w:hint="eastAsia" w:ascii="Times New Roman" w:hAnsi="Times New Roman" w:eastAsia="宋体" w:cs="Times New Roman"/>
                <w:color w:val="auto"/>
                <w:szCs w:val="21"/>
                <w:highlight w:val="none"/>
                <w:lang w:val="en-US" w:eastAsia="zh-CN"/>
              </w:rPr>
              <w:t>0.6</w:t>
            </w:r>
            <w:bookmarkEnd w:id="1020"/>
            <w:bookmarkEnd w:id="102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22" w:name="_Toc16161"/>
            <w:bookmarkStart w:id="1023" w:name="_Toc29328"/>
            <w:r>
              <w:rPr>
                <w:rFonts w:hint="eastAsia" w:ascii="Times New Roman" w:hAnsi="Times New Roman" w:eastAsia="宋体" w:cs="Times New Roman"/>
                <w:color w:val="auto"/>
                <w:szCs w:val="21"/>
                <w:highlight w:val="none"/>
                <w:lang w:val="en-US" w:eastAsia="zh-CN"/>
              </w:rPr>
              <w:t>0.63</w:t>
            </w:r>
            <w:bookmarkEnd w:id="1022"/>
            <w:bookmarkEnd w:id="102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24" w:name="_Toc13844"/>
            <w:bookmarkStart w:id="1025" w:name="_Toc10403"/>
            <w:r>
              <w:rPr>
                <w:rFonts w:hint="eastAsia" w:ascii="Times New Roman" w:hAnsi="Times New Roman" w:eastAsia="宋体" w:cs="Times New Roman"/>
                <w:color w:val="auto"/>
                <w:szCs w:val="21"/>
                <w:highlight w:val="none"/>
                <w:lang w:val="en-US" w:eastAsia="zh-CN"/>
              </w:rPr>
              <w:t>0.73</w:t>
            </w:r>
            <w:bookmarkEnd w:id="1024"/>
            <w:bookmarkEnd w:id="102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26" w:name="_Toc1159"/>
            <w:bookmarkStart w:id="1027" w:name="_Toc17560"/>
            <w:r>
              <w:rPr>
                <w:rFonts w:hint="eastAsia" w:ascii="Times New Roman" w:hAnsi="Times New Roman" w:eastAsia="宋体" w:cs="Times New Roman"/>
                <w:color w:val="auto"/>
                <w:szCs w:val="21"/>
                <w:highlight w:val="none"/>
                <w:lang w:val="en-US" w:eastAsia="zh-CN"/>
              </w:rPr>
              <w:t>0.6</w:t>
            </w:r>
            <w:bookmarkEnd w:id="1026"/>
            <w:bookmarkEnd w:id="102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氟化物</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28" w:name="_Toc24824"/>
            <w:bookmarkStart w:id="1029" w:name="_Toc24220"/>
            <w:r>
              <w:rPr>
                <w:rFonts w:hint="eastAsia" w:ascii="Times New Roman" w:hAnsi="Times New Roman" w:eastAsia="宋体" w:cs="Times New Roman"/>
                <w:color w:val="auto"/>
                <w:szCs w:val="21"/>
                <w:highlight w:val="none"/>
                <w:lang w:val="en-US" w:eastAsia="zh-CN"/>
              </w:rPr>
              <w:t>0.21</w:t>
            </w:r>
            <w:bookmarkEnd w:id="1028"/>
            <w:bookmarkEnd w:id="102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30" w:name="_Toc3896"/>
            <w:bookmarkStart w:id="1031" w:name="_Toc3480"/>
            <w:r>
              <w:rPr>
                <w:rFonts w:hint="eastAsia" w:ascii="Times New Roman" w:hAnsi="Times New Roman" w:eastAsia="宋体" w:cs="Times New Roman"/>
                <w:color w:val="auto"/>
                <w:szCs w:val="21"/>
                <w:highlight w:val="none"/>
                <w:lang w:val="en-US" w:eastAsia="zh-CN"/>
              </w:rPr>
              <w:t>0.1</w:t>
            </w:r>
            <w:r>
              <w:rPr>
                <w:rFonts w:hint="eastAsia" w:cs="Times New Roman"/>
                <w:color w:val="auto"/>
                <w:szCs w:val="21"/>
                <w:highlight w:val="none"/>
                <w:lang w:val="en-US" w:eastAsia="zh-CN"/>
              </w:rPr>
              <w:t>1</w:t>
            </w:r>
            <w:bookmarkEnd w:id="1030"/>
            <w:bookmarkEnd w:id="103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32" w:name="_Toc4854"/>
            <w:bookmarkStart w:id="1033" w:name="_Toc30071"/>
            <w:r>
              <w:rPr>
                <w:rFonts w:hint="eastAsia" w:ascii="Times New Roman" w:hAnsi="Times New Roman" w:eastAsia="宋体" w:cs="Times New Roman"/>
                <w:color w:val="auto"/>
                <w:szCs w:val="21"/>
                <w:highlight w:val="none"/>
                <w:lang w:val="en-US" w:eastAsia="zh-CN"/>
              </w:rPr>
              <w:t>0.25</w:t>
            </w:r>
            <w:bookmarkEnd w:id="1032"/>
            <w:bookmarkEnd w:id="103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34" w:name="_Toc30040"/>
            <w:bookmarkStart w:id="1035" w:name="_Toc23447"/>
            <w:r>
              <w:rPr>
                <w:rFonts w:hint="eastAsia" w:ascii="Times New Roman" w:hAnsi="Times New Roman" w:eastAsia="宋体" w:cs="Times New Roman"/>
                <w:color w:val="auto"/>
                <w:szCs w:val="21"/>
                <w:highlight w:val="none"/>
                <w:lang w:val="en-US" w:eastAsia="zh-CN"/>
              </w:rPr>
              <w:t>0.2</w:t>
            </w:r>
            <w:r>
              <w:rPr>
                <w:rFonts w:hint="eastAsia" w:cs="Times New Roman"/>
                <w:color w:val="auto"/>
                <w:szCs w:val="21"/>
                <w:highlight w:val="none"/>
                <w:lang w:val="en-US" w:eastAsia="zh-CN"/>
              </w:rPr>
              <w:t>5</w:t>
            </w:r>
            <w:bookmarkEnd w:id="1034"/>
            <w:bookmarkEnd w:id="103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36" w:name="_Toc4481"/>
            <w:bookmarkStart w:id="1037" w:name="_Toc7026"/>
            <w:r>
              <w:rPr>
                <w:rFonts w:hint="eastAsia" w:ascii="Times New Roman" w:hAnsi="Times New Roman" w:eastAsia="宋体" w:cs="Times New Roman"/>
                <w:color w:val="auto"/>
                <w:szCs w:val="21"/>
                <w:highlight w:val="none"/>
                <w:lang w:val="en-US" w:eastAsia="zh-CN"/>
              </w:rPr>
              <w:t>0.6</w:t>
            </w:r>
            <w:r>
              <w:rPr>
                <w:rFonts w:hint="eastAsia" w:cs="Times New Roman"/>
                <w:color w:val="auto"/>
                <w:szCs w:val="21"/>
                <w:highlight w:val="none"/>
                <w:lang w:val="en-US" w:eastAsia="zh-CN"/>
              </w:rPr>
              <w:t>2</w:t>
            </w:r>
            <w:bookmarkEnd w:id="1036"/>
            <w:bookmarkEnd w:id="103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38" w:name="_Toc10378"/>
            <w:bookmarkStart w:id="1039" w:name="_Toc25309"/>
            <w:r>
              <w:rPr>
                <w:rFonts w:hint="eastAsia" w:ascii="Times New Roman" w:hAnsi="Times New Roman" w:eastAsia="宋体" w:cs="Times New Roman"/>
                <w:color w:val="auto"/>
                <w:szCs w:val="21"/>
                <w:highlight w:val="none"/>
                <w:lang w:val="en-US" w:eastAsia="zh-CN"/>
              </w:rPr>
              <w:t>0.</w:t>
            </w:r>
            <w:r>
              <w:rPr>
                <w:rFonts w:hint="eastAsia" w:cs="Times New Roman"/>
                <w:color w:val="auto"/>
                <w:szCs w:val="21"/>
                <w:highlight w:val="none"/>
                <w:lang w:val="en-US" w:eastAsia="zh-CN"/>
              </w:rPr>
              <w:t>30</w:t>
            </w:r>
            <w:bookmarkEnd w:id="1038"/>
            <w:bookmarkEnd w:id="103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40" w:name="_Toc16529"/>
            <w:bookmarkStart w:id="1041" w:name="_Toc7829"/>
            <w:r>
              <w:rPr>
                <w:rFonts w:hint="eastAsia" w:ascii="Times New Roman" w:hAnsi="Times New Roman" w:eastAsia="宋体" w:cs="Times New Roman"/>
                <w:color w:val="auto"/>
                <w:szCs w:val="21"/>
                <w:highlight w:val="none"/>
                <w:lang w:val="en-US" w:eastAsia="zh-CN"/>
              </w:rPr>
              <w:t>0.39</w:t>
            </w:r>
            <w:bookmarkEnd w:id="1040"/>
            <w:bookmarkEnd w:id="104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42" w:name="_Toc16899"/>
            <w:bookmarkStart w:id="1043" w:name="_Toc179"/>
            <w:r>
              <w:rPr>
                <w:rFonts w:hint="eastAsia" w:ascii="Times New Roman" w:hAnsi="Times New Roman" w:eastAsia="宋体" w:cs="Times New Roman"/>
                <w:color w:val="auto"/>
                <w:szCs w:val="21"/>
                <w:highlight w:val="none"/>
                <w:lang w:val="en-US" w:eastAsia="zh-CN"/>
              </w:rPr>
              <w:t>0.34</w:t>
            </w:r>
            <w:bookmarkEnd w:id="1042"/>
            <w:bookmarkEnd w:id="104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44" w:name="_Toc32333"/>
            <w:bookmarkStart w:id="1045" w:name="_Toc30969"/>
            <w:r>
              <w:rPr>
                <w:rFonts w:hint="eastAsia" w:ascii="Times New Roman" w:hAnsi="Times New Roman" w:eastAsia="宋体" w:cs="Times New Roman"/>
                <w:color w:val="auto"/>
                <w:szCs w:val="21"/>
                <w:highlight w:val="none"/>
                <w:lang w:val="en-US" w:eastAsia="zh-CN"/>
              </w:rPr>
              <w:t>0.4</w:t>
            </w:r>
            <w:r>
              <w:rPr>
                <w:rFonts w:hint="eastAsia" w:cs="Times New Roman"/>
                <w:color w:val="auto"/>
                <w:szCs w:val="21"/>
                <w:highlight w:val="none"/>
                <w:lang w:val="en-US" w:eastAsia="zh-CN"/>
              </w:rPr>
              <w:t>3</w:t>
            </w:r>
            <w:bookmarkEnd w:id="1044"/>
            <w:bookmarkEnd w:id="104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46" w:name="_Toc28671"/>
            <w:bookmarkStart w:id="1047" w:name="_Toc22771"/>
            <w:r>
              <w:rPr>
                <w:rFonts w:hint="eastAsia" w:ascii="Times New Roman" w:hAnsi="Times New Roman" w:eastAsia="宋体" w:cs="Times New Roman"/>
                <w:color w:val="auto"/>
                <w:szCs w:val="21"/>
                <w:highlight w:val="none"/>
                <w:lang w:val="en-US" w:eastAsia="zh-CN"/>
              </w:rPr>
              <w:t>0.53</w:t>
            </w:r>
            <w:bookmarkEnd w:id="1046"/>
            <w:bookmarkEnd w:id="104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汞</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3"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砷</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3"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镉</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3"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六价铬</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3"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铁</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48" w:name="_Toc12434"/>
            <w:bookmarkStart w:id="1049" w:name="_Toc11748"/>
            <w:r>
              <w:rPr>
                <w:rFonts w:hint="eastAsia" w:cs="Times New Roman"/>
                <w:color w:val="auto"/>
                <w:szCs w:val="21"/>
                <w:highlight w:val="none"/>
                <w:lang w:val="en-US" w:eastAsia="zh-CN"/>
              </w:rPr>
              <w:t>/</w:t>
            </w:r>
            <w:bookmarkEnd w:id="1048"/>
            <w:bookmarkEnd w:id="104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50" w:name="_Toc26422"/>
            <w:bookmarkStart w:id="1051" w:name="_Toc3391"/>
            <w:r>
              <w:rPr>
                <w:rFonts w:hint="eastAsia" w:ascii="Times New Roman" w:hAnsi="Times New Roman" w:eastAsia="宋体" w:cs="Times New Roman"/>
                <w:color w:val="auto"/>
                <w:szCs w:val="21"/>
                <w:highlight w:val="none"/>
                <w:lang w:val="en-US" w:eastAsia="zh-CN"/>
              </w:rPr>
              <w:t>0.8</w:t>
            </w:r>
            <w:bookmarkEnd w:id="1050"/>
            <w:bookmarkEnd w:id="105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52" w:name="_Toc7790"/>
            <w:bookmarkStart w:id="1053" w:name="_Toc11786"/>
            <w:r>
              <w:rPr>
                <w:rFonts w:hint="eastAsia" w:ascii="Times New Roman" w:hAnsi="Times New Roman" w:eastAsia="宋体" w:cs="Times New Roman"/>
                <w:color w:val="auto"/>
                <w:szCs w:val="21"/>
                <w:highlight w:val="none"/>
                <w:lang w:val="en-US" w:eastAsia="zh-CN"/>
              </w:rPr>
              <w:t>0.67</w:t>
            </w:r>
            <w:bookmarkEnd w:id="1052"/>
            <w:bookmarkEnd w:id="105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54" w:name="_Toc23217"/>
            <w:bookmarkStart w:id="1055" w:name="_Toc17120"/>
            <w:r>
              <w:rPr>
                <w:rFonts w:hint="eastAsia" w:ascii="Times New Roman" w:hAnsi="Times New Roman" w:eastAsia="宋体" w:cs="Times New Roman"/>
                <w:color w:val="auto"/>
                <w:szCs w:val="21"/>
                <w:highlight w:val="none"/>
                <w:lang w:val="en-US" w:eastAsia="zh-CN"/>
              </w:rPr>
              <w:t>0.7</w:t>
            </w:r>
            <w:bookmarkEnd w:id="1054"/>
            <w:bookmarkEnd w:id="105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56" w:name="_Toc5266"/>
            <w:bookmarkStart w:id="1057" w:name="_Toc7637"/>
            <w:r>
              <w:rPr>
                <w:rFonts w:hint="eastAsia" w:ascii="Times New Roman" w:hAnsi="Times New Roman" w:eastAsia="宋体" w:cs="Times New Roman"/>
                <w:color w:val="auto"/>
                <w:szCs w:val="21"/>
                <w:highlight w:val="none"/>
                <w:lang w:val="en-US" w:eastAsia="zh-CN"/>
              </w:rPr>
              <w:t>1.27</w:t>
            </w:r>
            <w:bookmarkEnd w:id="1056"/>
            <w:bookmarkEnd w:id="105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58" w:name="_Toc21392"/>
            <w:bookmarkStart w:id="1059" w:name="_Toc9329"/>
            <w:r>
              <w:rPr>
                <w:rFonts w:hint="eastAsia" w:ascii="Times New Roman" w:hAnsi="Times New Roman" w:eastAsia="宋体" w:cs="Times New Roman"/>
                <w:color w:val="auto"/>
                <w:szCs w:val="21"/>
                <w:highlight w:val="none"/>
                <w:lang w:val="en-US" w:eastAsia="zh-CN"/>
              </w:rPr>
              <w:t>0.73</w:t>
            </w:r>
            <w:bookmarkEnd w:id="1058"/>
            <w:bookmarkEnd w:id="105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60" w:name="_Toc14287"/>
            <w:bookmarkStart w:id="1061" w:name="_Toc28633"/>
            <w:r>
              <w:rPr>
                <w:rFonts w:hint="eastAsia" w:ascii="Times New Roman" w:hAnsi="Times New Roman" w:eastAsia="宋体" w:cs="Times New Roman"/>
                <w:color w:val="auto"/>
                <w:szCs w:val="21"/>
                <w:highlight w:val="none"/>
                <w:lang w:val="en-US" w:eastAsia="zh-CN"/>
              </w:rPr>
              <w:t>0.93</w:t>
            </w:r>
            <w:bookmarkEnd w:id="1060"/>
            <w:bookmarkEnd w:id="106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62" w:name="_Toc11438"/>
            <w:bookmarkStart w:id="1063" w:name="_Toc25928"/>
            <w:r>
              <w:rPr>
                <w:rFonts w:hint="eastAsia" w:ascii="Times New Roman" w:hAnsi="Times New Roman" w:eastAsia="宋体" w:cs="Times New Roman"/>
                <w:color w:val="auto"/>
                <w:szCs w:val="21"/>
                <w:highlight w:val="none"/>
                <w:lang w:val="en-US" w:eastAsia="zh-CN"/>
              </w:rPr>
              <w:t>0.77</w:t>
            </w:r>
            <w:bookmarkEnd w:id="1062"/>
            <w:bookmarkEnd w:id="106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64" w:name="_Toc6489"/>
            <w:bookmarkStart w:id="1065" w:name="_Toc2231"/>
            <w:r>
              <w:rPr>
                <w:rFonts w:hint="eastAsia" w:ascii="Times New Roman" w:hAnsi="Times New Roman" w:eastAsia="宋体" w:cs="Times New Roman"/>
                <w:color w:val="auto"/>
                <w:szCs w:val="21"/>
                <w:highlight w:val="none"/>
                <w:lang w:val="en-US" w:eastAsia="zh-CN"/>
              </w:rPr>
              <w:t>0.63</w:t>
            </w:r>
            <w:bookmarkEnd w:id="1064"/>
            <w:bookmarkEnd w:id="106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66" w:name="_Toc7524"/>
            <w:bookmarkStart w:id="1067" w:name="_Toc10482"/>
            <w:r>
              <w:rPr>
                <w:rFonts w:hint="eastAsia" w:ascii="Times New Roman" w:hAnsi="Times New Roman" w:eastAsia="宋体" w:cs="Times New Roman"/>
                <w:color w:val="auto"/>
                <w:szCs w:val="21"/>
                <w:highlight w:val="none"/>
                <w:lang w:val="en-US" w:eastAsia="zh-CN"/>
              </w:rPr>
              <w:t>0.93</w:t>
            </w:r>
            <w:bookmarkEnd w:id="1066"/>
            <w:bookmarkEnd w:id="106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锰</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068" w:name="_Toc992"/>
            <w:bookmarkStart w:id="1069" w:name="_Toc4873"/>
            <w:r>
              <w:rPr>
                <w:rFonts w:hint="eastAsia" w:cs="Times New Roman"/>
                <w:color w:val="auto"/>
                <w:szCs w:val="21"/>
                <w:highlight w:val="none"/>
                <w:lang w:val="en-US" w:eastAsia="zh-CN"/>
              </w:rPr>
              <w:t>/</w:t>
            </w:r>
            <w:bookmarkEnd w:id="1068"/>
            <w:bookmarkEnd w:id="106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70" w:name="_Toc32020"/>
            <w:bookmarkStart w:id="1071" w:name="_Toc16019"/>
            <w:r>
              <w:rPr>
                <w:rFonts w:hint="eastAsia" w:ascii="Times New Roman" w:hAnsi="Times New Roman" w:eastAsia="宋体" w:cs="Times New Roman"/>
                <w:color w:val="auto"/>
                <w:szCs w:val="21"/>
                <w:highlight w:val="none"/>
                <w:lang w:val="en-US" w:eastAsia="zh-CN"/>
              </w:rPr>
              <w:t>1.1</w:t>
            </w:r>
            <w:bookmarkEnd w:id="1070"/>
            <w:bookmarkEnd w:id="107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72" w:name="_Toc28920"/>
            <w:bookmarkStart w:id="1073" w:name="_Toc11570"/>
            <w:r>
              <w:rPr>
                <w:rFonts w:hint="eastAsia" w:ascii="Times New Roman" w:hAnsi="Times New Roman" w:eastAsia="宋体" w:cs="Times New Roman"/>
                <w:color w:val="auto"/>
                <w:szCs w:val="21"/>
                <w:highlight w:val="none"/>
                <w:lang w:val="en-US" w:eastAsia="zh-CN"/>
              </w:rPr>
              <w:t>1.5</w:t>
            </w:r>
            <w:bookmarkEnd w:id="1072"/>
            <w:bookmarkEnd w:id="107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74" w:name="_Toc27523"/>
            <w:bookmarkStart w:id="1075" w:name="_Toc23690"/>
            <w:r>
              <w:rPr>
                <w:rFonts w:hint="eastAsia" w:ascii="Times New Roman" w:hAnsi="Times New Roman" w:eastAsia="宋体" w:cs="Times New Roman"/>
                <w:color w:val="auto"/>
                <w:szCs w:val="21"/>
                <w:highlight w:val="none"/>
                <w:lang w:val="en-US" w:eastAsia="zh-CN"/>
              </w:rPr>
              <w:t>1.5</w:t>
            </w:r>
            <w:bookmarkEnd w:id="1074"/>
            <w:bookmarkEnd w:id="107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76" w:name="_Toc23330"/>
            <w:bookmarkStart w:id="1077" w:name="_Toc12320"/>
            <w:r>
              <w:rPr>
                <w:rFonts w:hint="eastAsia" w:ascii="Times New Roman" w:hAnsi="Times New Roman" w:eastAsia="宋体" w:cs="Times New Roman"/>
                <w:color w:val="auto"/>
                <w:szCs w:val="21"/>
                <w:highlight w:val="none"/>
                <w:lang w:val="en-US" w:eastAsia="zh-CN"/>
              </w:rPr>
              <w:t>2.2</w:t>
            </w:r>
            <w:bookmarkEnd w:id="1076"/>
            <w:bookmarkEnd w:id="107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78" w:name="_Toc28977"/>
            <w:bookmarkStart w:id="1079" w:name="_Toc28272"/>
            <w:r>
              <w:rPr>
                <w:rFonts w:hint="eastAsia" w:ascii="Times New Roman" w:hAnsi="Times New Roman" w:eastAsia="宋体" w:cs="Times New Roman"/>
                <w:color w:val="auto"/>
                <w:szCs w:val="21"/>
                <w:highlight w:val="none"/>
                <w:lang w:val="en-US" w:eastAsia="zh-CN"/>
              </w:rPr>
              <w:t>0.7</w:t>
            </w:r>
            <w:bookmarkEnd w:id="1078"/>
            <w:bookmarkEnd w:id="107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80" w:name="_Toc11894"/>
            <w:bookmarkStart w:id="1081" w:name="_Toc14381"/>
            <w:r>
              <w:rPr>
                <w:rFonts w:hint="eastAsia" w:ascii="Times New Roman" w:hAnsi="Times New Roman" w:eastAsia="宋体" w:cs="Times New Roman"/>
                <w:color w:val="auto"/>
                <w:szCs w:val="21"/>
                <w:highlight w:val="none"/>
                <w:lang w:val="en-US" w:eastAsia="zh-CN"/>
              </w:rPr>
              <w:t>0.8</w:t>
            </w:r>
            <w:bookmarkEnd w:id="1080"/>
            <w:bookmarkEnd w:id="108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82" w:name="_Toc24560"/>
            <w:bookmarkStart w:id="1083" w:name="_Toc19190"/>
            <w:r>
              <w:rPr>
                <w:rFonts w:hint="eastAsia" w:ascii="Times New Roman" w:hAnsi="Times New Roman" w:eastAsia="宋体" w:cs="Times New Roman"/>
                <w:color w:val="auto"/>
                <w:szCs w:val="21"/>
                <w:highlight w:val="none"/>
                <w:lang w:val="en-US" w:eastAsia="zh-CN"/>
              </w:rPr>
              <w:t>0.6</w:t>
            </w:r>
            <w:bookmarkEnd w:id="1082"/>
            <w:bookmarkEnd w:id="108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84" w:name="_Toc27123"/>
            <w:bookmarkStart w:id="1085" w:name="_Toc14189"/>
            <w:r>
              <w:rPr>
                <w:rFonts w:hint="eastAsia" w:ascii="Times New Roman" w:hAnsi="Times New Roman" w:eastAsia="宋体" w:cs="Times New Roman"/>
                <w:color w:val="auto"/>
                <w:szCs w:val="21"/>
                <w:highlight w:val="none"/>
                <w:lang w:val="en-US" w:eastAsia="zh-CN"/>
              </w:rPr>
              <w:t>0.9</w:t>
            </w:r>
            <w:bookmarkEnd w:id="1084"/>
            <w:bookmarkEnd w:id="108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86" w:name="_Toc25868"/>
            <w:bookmarkStart w:id="1087" w:name="_Toc8634"/>
            <w:r>
              <w:rPr>
                <w:rFonts w:hint="eastAsia" w:ascii="Times New Roman" w:hAnsi="Times New Roman" w:eastAsia="宋体" w:cs="Times New Roman"/>
                <w:color w:val="auto"/>
                <w:szCs w:val="21"/>
                <w:highlight w:val="none"/>
                <w:lang w:val="en-US" w:eastAsia="zh-CN"/>
              </w:rPr>
              <w:t>0.6</w:t>
            </w:r>
            <w:bookmarkEnd w:id="1086"/>
            <w:bookmarkEnd w:id="108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铅</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88" w:name="_Toc11236"/>
            <w:bookmarkStart w:id="1089" w:name="_Toc6229"/>
            <w:r>
              <w:rPr>
                <w:rFonts w:hint="eastAsia" w:ascii="Times New Roman" w:hAnsi="Times New Roman" w:eastAsia="宋体" w:cs="Times New Roman"/>
                <w:color w:val="auto"/>
                <w:szCs w:val="21"/>
                <w:highlight w:val="none"/>
                <w:lang w:val="en-US" w:eastAsia="zh-CN"/>
              </w:rPr>
              <w:t>未检出</w:t>
            </w:r>
            <w:bookmarkEnd w:id="1088"/>
            <w:bookmarkEnd w:id="108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90" w:name="_Toc19066"/>
            <w:bookmarkStart w:id="1091" w:name="_Toc8214"/>
            <w:r>
              <w:rPr>
                <w:rFonts w:hint="eastAsia" w:ascii="Times New Roman" w:hAnsi="Times New Roman" w:eastAsia="宋体" w:cs="Times New Roman"/>
                <w:color w:val="auto"/>
                <w:szCs w:val="21"/>
                <w:highlight w:val="none"/>
                <w:lang w:val="en-US" w:eastAsia="zh-CN"/>
              </w:rPr>
              <w:t>未检出</w:t>
            </w:r>
            <w:bookmarkEnd w:id="1090"/>
            <w:bookmarkEnd w:id="109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92" w:name="_Toc21983"/>
            <w:bookmarkStart w:id="1093" w:name="_Toc3773"/>
            <w:r>
              <w:rPr>
                <w:rFonts w:hint="eastAsia" w:ascii="Times New Roman" w:hAnsi="Times New Roman" w:eastAsia="宋体" w:cs="Times New Roman"/>
                <w:color w:val="auto"/>
                <w:szCs w:val="21"/>
                <w:highlight w:val="none"/>
                <w:lang w:val="en-US" w:eastAsia="zh-CN"/>
              </w:rPr>
              <w:t>未检出</w:t>
            </w:r>
            <w:bookmarkEnd w:id="1092"/>
            <w:bookmarkEnd w:id="109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94" w:name="_Toc13777"/>
            <w:bookmarkStart w:id="1095" w:name="_Toc24082"/>
            <w:r>
              <w:rPr>
                <w:rFonts w:hint="eastAsia" w:ascii="Times New Roman" w:hAnsi="Times New Roman" w:eastAsia="宋体" w:cs="Times New Roman"/>
                <w:color w:val="auto"/>
                <w:szCs w:val="21"/>
                <w:highlight w:val="none"/>
                <w:lang w:val="en-US" w:eastAsia="zh-CN"/>
              </w:rPr>
              <w:t>未检出</w:t>
            </w:r>
            <w:bookmarkEnd w:id="1094"/>
            <w:bookmarkEnd w:id="109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96" w:name="_Toc26301"/>
            <w:bookmarkStart w:id="1097" w:name="_Toc6441"/>
            <w:r>
              <w:rPr>
                <w:rFonts w:hint="eastAsia" w:ascii="Times New Roman" w:hAnsi="Times New Roman" w:eastAsia="宋体" w:cs="Times New Roman"/>
                <w:color w:val="auto"/>
                <w:szCs w:val="21"/>
                <w:highlight w:val="none"/>
                <w:lang w:val="en-US" w:eastAsia="zh-CN"/>
              </w:rPr>
              <w:t>未检出</w:t>
            </w:r>
            <w:bookmarkEnd w:id="1096"/>
            <w:bookmarkEnd w:id="109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098" w:name="_Toc20258"/>
            <w:bookmarkStart w:id="1099" w:name="_Toc2267"/>
            <w:r>
              <w:rPr>
                <w:rFonts w:hint="eastAsia" w:ascii="Times New Roman" w:hAnsi="Times New Roman" w:eastAsia="宋体" w:cs="Times New Roman"/>
                <w:color w:val="auto"/>
                <w:szCs w:val="21"/>
                <w:highlight w:val="none"/>
                <w:lang w:val="en-US" w:eastAsia="zh-CN"/>
              </w:rPr>
              <w:t>未检出</w:t>
            </w:r>
            <w:bookmarkEnd w:id="1098"/>
            <w:bookmarkEnd w:id="109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00" w:name="_Toc7222"/>
            <w:bookmarkStart w:id="1101" w:name="_Toc16968"/>
            <w:r>
              <w:rPr>
                <w:rFonts w:hint="eastAsia" w:ascii="Times New Roman" w:hAnsi="Times New Roman" w:eastAsia="宋体" w:cs="Times New Roman"/>
                <w:color w:val="auto"/>
                <w:szCs w:val="21"/>
                <w:highlight w:val="none"/>
                <w:lang w:val="en-US" w:eastAsia="zh-CN"/>
              </w:rPr>
              <w:t>未检出</w:t>
            </w:r>
            <w:bookmarkEnd w:id="1100"/>
            <w:bookmarkEnd w:id="110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02" w:name="_Toc15207"/>
            <w:bookmarkStart w:id="1103" w:name="_Toc14817"/>
            <w:r>
              <w:rPr>
                <w:rFonts w:hint="eastAsia" w:ascii="Times New Roman" w:hAnsi="Times New Roman" w:eastAsia="宋体" w:cs="Times New Roman"/>
                <w:color w:val="auto"/>
                <w:szCs w:val="21"/>
                <w:highlight w:val="none"/>
                <w:lang w:val="en-US" w:eastAsia="zh-CN"/>
              </w:rPr>
              <w:t>未检出</w:t>
            </w:r>
            <w:bookmarkEnd w:id="1102"/>
            <w:bookmarkEnd w:id="110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04" w:name="_Toc19220"/>
            <w:bookmarkStart w:id="1105" w:name="_Toc25348"/>
            <w:r>
              <w:rPr>
                <w:rFonts w:hint="eastAsia" w:ascii="Times New Roman" w:hAnsi="Times New Roman" w:eastAsia="宋体" w:cs="Times New Roman"/>
                <w:color w:val="auto"/>
                <w:szCs w:val="21"/>
                <w:highlight w:val="none"/>
                <w:lang w:val="en-US" w:eastAsia="zh-CN"/>
              </w:rPr>
              <w:t>未检出</w:t>
            </w:r>
            <w:bookmarkEnd w:id="1104"/>
            <w:bookmarkEnd w:id="110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06" w:name="_Toc27053"/>
            <w:bookmarkStart w:id="1107" w:name="_Toc11794"/>
            <w:r>
              <w:rPr>
                <w:rFonts w:hint="eastAsia" w:ascii="Times New Roman" w:hAnsi="Times New Roman" w:eastAsia="宋体" w:cs="Times New Roman"/>
                <w:color w:val="auto"/>
                <w:szCs w:val="21"/>
                <w:highlight w:val="none"/>
                <w:lang w:val="en-US" w:eastAsia="zh-CN"/>
              </w:rPr>
              <w:t>未检出</w:t>
            </w:r>
            <w:bookmarkEnd w:id="1106"/>
            <w:bookmarkEnd w:id="110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亚硝酸盐（以</w:t>
            </w:r>
            <w:r>
              <w:rPr>
                <w:rFonts w:hint="default" w:ascii="Times New Roman" w:hAnsi="Times New Roman" w:eastAsia="宋体" w:cs="Times New Roman"/>
                <w:i w:val="0"/>
                <w:iCs w:val="0"/>
                <w:caps w:val="0"/>
                <w:smallCaps w:val="0"/>
                <w:color w:val="auto"/>
                <w:w w:val="100"/>
                <w:kern w:val="2"/>
                <w:sz w:val="21"/>
                <w:szCs w:val="21"/>
                <w:highlight w:val="none"/>
                <w:u w:val="none"/>
                <w:lang w:val="en-US" w:eastAsia="zh-CN" w:bidi="ar-SA"/>
              </w:rPr>
              <w:t>N</w:t>
            </w:r>
            <w:r>
              <w:rPr>
                <w:rFonts w:hint="eastAsia" w:ascii="宋体" w:hAnsi="宋体" w:eastAsia="宋体" w:cs="宋体"/>
                <w:i w:val="0"/>
                <w:iCs w:val="0"/>
                <w:caps w:val="0"/>
                <w:smallCaps w:val="0"/>
                <w:color w:val="auto"/>
                <w:w w:val="100"/>
                <w:kern w:val="2"/>
                <w:sz w:val="21"/>
                <w:szCs w:val="21"/>
                <w:highlight w:val="none"/>
                <w:u w:val="none"/>
                <w:lang w:val="en-US" w:eastAsia="zh-CN" w:bidi="ar-SA"/>
              </w:rPr>
              <w:t>计）</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08" w:name="_Toc457"/>
            <w:bookmarkStart w:id="1109" w:name="_Toc31203"/>
            <w:r>
              <w:rPr>
                <w:rFonts w:hint="eastAsia" w:ascii="Times New Roman" w:hAnsi="Times New Roman" w:eastAsia="宋体" w:cs="Times New Roman"/>
                <w:color w:val="auto"/>
                <w:szCs w:val="21"/>
                <w:highlight w:val="none"/>
                <w:lang w:val="en-US" w:eastAsia="zh-CN"/>
              </w:rPr>
              <w:t>未检出</w:t>
            </w:r>
            <w:bookmarkEnd w:id="1108"/>
            <w:bookmarkEnd w:id="110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10" w:name="_Toc3908"/>
            <w:bookmarkStart w:id="1111" w:name="_Toc18078"/>
            <w:r>
              <w:rPr>
                <w:rFonts w:hint="eastAsia" w:ascii="Times New Roman" w:hAnsi="Times New Roman" w:eastAsia="宋体" w:cs="Times New Roman"/>
                <w:color w:val="auto"/>
                <w:szCs w:val="21"/>
                <w:highlight w:val="none"/>
                <w:lang w:val="en-US" w:eastAsia="zh-CN"/>
              </w:rPr>
              <w:t>未检出</w:t>
            </w:r>
            <w:bookmarkEnd w:id="1110"/>
            <w:bookmarkEnd w:id="111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12" w:name="_Toc27275"/>
            <w:bookmarkStart w:id="1113" w:name="_Toc4320"/>
            <w:r>
              <w:rPr>
                <w:rFonts w:hint="eastAsia" w:ascii="Times New Roman" w:hAnsi="Times New Roman" w:eastAsia="宋体" w:cs="Times New Roman"/>
                <w:color w:val="auto"/>
                <w:szCs w:val="21"/>
                <w:highlight w:val="none"/>
                <w:lang w:val="en-US" w:eastAsia="zh-CN"/>
              </w:rPr>
              <w:t>未检出</w:t>
            </w:r>
            <w:bookmarkEnd w:id="1112"/>
            <w:bookmarkEnd w:id="111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14" w:name="_Toc526"/>
            <w:bookmarkStart w:id="1115" w:name="_Toc6613"/>
            <w:r>
              <w:rPr>
                <w:rFonts w:hint="eastAsia" w:ascii="Times New Roman" w:hAnsi="Times New Roman" w:eastAsia="宋体" w:cs="Times New Roman"/>
                <w:color w:val="auto"/>
                <w:szCs w:val="21"/>
                <w:highlight w:val="none"/>
                <w:lang w:val="en-US" w:eastAsia="zh-CN"/>
              </w:rPr>
              <w:t>未检出</w:t>
            </w:r>
            <w:bookmarkEnd w:id="1114"/>
            <w:bookmarkEnd w:id="111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16" w:name="_Toc12270"/>
            <w:bookmarkStart w:id="1117" w:name="_Toc20086"/>
            <w:r>
              <w:rPr>
                <w:rFonts w:hint="default" w:ascii="Times New Roman" w:hAnsi="Times New Roman" w:eastAsia="宋体" w:cs="Times New Roman"/>
                <w:color w:val="auto"/>
                <w:szCs w:val="21"/>
                <w:highlight w:val="none"/>
                <w:lang w:val="en-US" w:eastAsia="zh-CN"/>
              </w:rPr>
              <w:t>2.35</w:t>
            </w:r>
            <w:bookmarkEnd w:id="1116"/>
            <w:bookmarkEnd w:id="111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18" w:name="_Toc28173"/>
            <w:bookmarkStart w:id="1119" w:name="_Toc14275"/>
            <w:r>
              <w:rPr>
                <w:rFonts w:hint="eastAsia" w:ascii="Times New Roman" w:hAnsi="Times New Roman" w:eastAsia="宋体" w:cs="Times New Roman"/>
                <w:color w:val="auto"/>
                <w:szCs w:val="21"/>
                <w:highlight w:val="none"/>
                <w:lang w:val="en-US" w:eastAsia="zh-CN"/>
              </w:rPr>
              <w:t>未检出</w:t>
            </w:r>
            <w:bookmarkEnd w:id="1118"/>
            <w:bookmarkEnd w:id="111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20" w:name="_Toc2056"/>
            <w:bookmarkStart w:id="1121" w:name="_Toc27355"/>
            <w:r>
              <w:rPr>
                <w:rFonts w:hint="eastAsia" w:ascii="Times New Roman" w:hAnsi="Times New Roman" w:eastAsia="宋体" w:cs="Times New Roman"/>
                <w:color w:val="auto"/>
                <w:szCs w:val="21"/>
                <w:highlight w:val="none"/>
                <w:lang w:val="en-US" w:eastAsia="zh-CN"/>
              </w:rPr>
              <w:t>未检出</w:t>
            </w:r>
            <w:bookmarkEnd w:id="1120"/>
            <w:bookmarkEnd w:id="112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22" w:name="_Toc13564"/>
            <w:bookmarkStart w:id="1123" w:name="_Toc31814"/>
            <w:r>
              <w:rPr>
                <w:rFonts w:hint="eastAsia" w:ascii="Times New Roman" w:hAnsi="Times New Roman" w:eastAsia="宋体" w:cs="Times New Roman"/>
                <w:color w:val="auto"/>
                <w:szCs w:val="21"/>
                <w:highlight w:val="none"/>
                <w:lang w:val="en-US" w:eastAsia="zh-CN"/>
              </w:rPr>
              <w:t>未检出</w:t>
            </w:r>
            <w:bookmarkEnd w:id="1122"/>
            <w:bookmarkEnd w:id="112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24" w:name="_Toc8906"/>
            <w:bookmarkStart w:id="1125" w:name="_Toc5039"/>
            <w:r>
              <w:rPr>
                <w:rFonts w:hint="eastAsia" w:ascii="Times New Roman" w:hAnsi="Times New Roman" w:eastAsia="宋体" w:cs="Times New Roman"/>
                <w:color w:val="auto"/>
                <w:szCs w:val="21"/>
                <w:highlight w:val="none"/>
                <w:lang w:val="en-US" w:eastAsia="zh-CN"/>
              </w:rPr>
              <w:t>未检出</w:t>
            </w:r>
            <w:bookmarkEnd w:id="1124"/>
            <w:bookmarkEnd w:id="112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26" w:name="_Toc20866"/>
            <w:bookmarkStart w:id="1127" w:name="_Toc249"/>
            <w:r>
              <w:rPr>
                <w:rFonts w:hint="eastAsia" w:ascii="Times New Roman" w:hAnsi="Times New Roman" w:eastAsia="宋体" w:cs="Times New Roman"/>
                <w:color w:val="auto"/>
                <w:szCs w:val="21"/>
                <w:highlight w:val="none"/>
                <w:lang w:val="en-US" w:eastAsia="zh-CN"/>
              </w:rPr>
              <w:t>未检出</w:t>
            </w:r>
            <w:bookmarkEnd w:id="1126"/>
            <w:bookmarkEnd w:id="112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硝酸盐（以</w:t>
            </w:r>
            <w:r>
              <w:rPr>
                <w:rFonts w:hint="default" w:ascii="Times New Roman" w:hAnsi="Times New Roman" w:eastAsia="宋体" w:cs="Times New Roman"/>
                <w:i w:val="0"/>
                <w:iCs w:val="0"/>
                <w:caps w:val="0"/>
                <w:smallCaps w:val="0"/>
                <w:color w:val="auto"/>
                <w:w w:val="100"/>
                <w:kern w:val="2"/>
                <w:sz w:val="21"/>
                <w:szCs w:val="21"/>
                <w:highlight w:val="none"/>
                <w:u w:val="none"/>
                <w:lang w:val="en-US" w:eastAsia="zh-CN" w:bidi="ar-SA"/>
              </w:rPr>
              <w:t>N</w:t>
            </w:r>
            <w:r>
              <w:rPr>
                <w:rFonts w:hint="eastAsia" w:ascii="宋体" w:hAnsi="宋体" w:eastAsia="宋体" w:cs="宋体"/>
                <w:i w:val="0"/>
                <w:iCs w:val="0"/>
                <w:caps w:val="0"/>
                <w:smallCaps w:val="0"/>
                <w:color w:val="auto"/>
                <w:w w:val="100"/>
                <w:kern w:val="2"/>
                <w:sz w:val="21"/>
                <w:szCs w:val="21"/>
                <w:highlight w:val="none"/>
                <w:u w:val="none"/>
                <w:lang w:val="en-US" w:eastAsia="zh-CN" w:bidi="ar-SA"/>
              </w:rPr>
              <w:t>计）</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128" w:name="_Toc11962"/>
            <w:bookmarkStart w:id="1129" w:name="_Toc1764"/>
            <w:r>
              <w:rPr>
                <w:rFonts w:hint="eastAsia" w:ascii="Times New Roman" w:hAnsi="Times New Roman" w:eastAsia="宋体" w:cs="Times New Roman"/>
                <w:color w:val="auto"/>
                <w:szCs w:val="21"/>
                <w:highlight w:val="none"/>
                <w:lang w:val="en-US" w:eastAsia="zh-CN"/>
              </w:rPr>
              <w:t>0.1</w:t>
            </w:r>
            <w:r>
              <w:rPr>
                <w:rFonts w:hint="eastAsia" w:cs="Times New Roman"/>
                <w:color w:val="auto"/>
                <w:szCs w:val="21"/>
                <w:highlight w:val="none"/>
                <w:lang w:val="en-US" w:eastAsia="zh-CN"/>
              </w:rPr>
              <w:t>1</w:t>
            </w:r>
            <w:bookmarkEnd w:id="1128"/>
            <w:bookmarkEnd w:id="112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30" w:name="_Toc19663"/>
            <w:bookmarkStart w:id="1131" w:name="_Toc21518"/>
            <w:r>
              <w:rPr>
                <w:rFonts w:hint="eastAsia" w:ascii="Times New Roman" w:hAnsi="Times New Roman" w:eastAsia="宋体" w:cs="Times New Roman"/>
                <w:color w:val="auto"/>
                <w:szCs w:val="21"/>
                <w:highlight w:val="none"/>
                <w:lang w:val="en-US" w:eastAsia="zh-CN"/>
              </w:rPr>
              <w:t>0.14</w:t>
            </w:r>
            <w:bookmarkEnd w:id="1130"/>
            <w:bookmarkEnd w:id="113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132" w:name="_Toc27128"/>
            <w:bookmarkStart w:id="1133" w:name="_Toc25787"/>
            <w:r>
              <w:rPr>
                <w:rFonts w:hint="eastAsia" w:cs="Times New Roman"/>
                <w:color w:val="auto"/>
                <w:szCs w:val="21"/>
                <w:highlight w:val="none"/>
                <w:lang w:val="en-US" w:eastAsia="zh-CN"/>
              </w:rPr>
              <w:t>/</w:t>
            </w:r>
            <w:bookmarkEnd w:id="1132"/>
            <w:bookmarkEnd w:id="113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134" w:name="_Toc8568"/>
            <w:bookmarkStart w:id="1135" w:name="_Toc28065"/>
            <w:r>
              <w:rPr>
                <w:rFonts w:hint="eastAsia" w:cs="Times New Roman"/>
                <w:color w:val="auto"/>
                <w:szCs w:val="21"/>
                <w:highlight w:val="none"/>
                <w:lang w:val="en-US" w:eastAsia="zh-CN"/>
              </w:rPr>
              <w:t>/</w:t>
            </w:r>
            <w:bookmarkEnd w:id="1134"/>
            <w:bookmarkEnd w:id="113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136" w:name="_Toc11888"/>
            <w:bookmarkStart w:id="1137" w:name="_Toc21023"/>
            <w:r>
              <w:rPr>
                <w:rFonts w:hint="eastAsia" w:ascii="Times New Roman" w:hAnsi="Times New Roman" w:eastAsia="宋体" w:cs="Times New Roman"/>
                <w:color w:val="auto"/>
                <w:szCs w:val="21"/>
                <w:highlight w:val="none"/>
                <w:lang w:val="en-US" w:eastAsia="zh-CN"/>
              </w:rPr>
              <w:t>0.02</w:t>
            </w:r>
            <w:bookmarkEnd w:id="1136"/>
            <w:bookmarkEnd w:id="113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38" w:name="_Toc4995"/>
            <w:bookmarkStart w:id="1139" w:name="_Toc20374"/>
            <w:r>
              <w:rPr>
                <w:rFonts w:hint="eastAsia" w:ascii="Times New Roman" w:hAnsi="Times New Roman" w:eastAsia="宋体" w:cs="Times New Roman"/>
                <w:color w:val="auto"/>
                <w:szCs w:val="21"/>
                <w:highlight w:val="none"/>
                <w:lang w:val="en-US" w:eastAsia="zh-CN"/>
              </w:rPr>
              <w:t>0.02</w:t>
            </w:r>
            <w:bookmarkEnd w:id="1138"/>
            <w:bookmarkEnd w:id="113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40" w:name="_Toc11431"/>
            <w:bookmarkStart w:id="1141" w:name="_Toc32107"/>
            <w:r>
              <w:rPr>
                <w:rFonts w:hint="eastAsia" w:ascii="Times New Roman" w:hAnsi="Times New Roman" w:eastAsia="宋体" w:cs="Times New Roman"/>
                <w:color w:val="auto"/>
                <w:szCs w:val="21"/>
                <w:highlight w:val="none"/>
                <w:lang w:val="en-US" w:eastAsia="zh-CN"/>
              </w:rPr>
              <w:t>0.01</w:t>
            </w:r>
            <w:bookmarkEnd w:id="1140"/>
            <w:bookmarkEnd w:id="114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142" w:name="_Toc18901"/>
            <w:bookmarkStart w:id="1143" w:name="_Toc1384"/>
            <w:r>
              <w:rPr>
                <w:rFonts w:hint="eastAsia" w:cs="Times New Roman"/>
                <w:color w:val="auto"/>
                <w:szCs w:val="21"/>
                <w:highlight w:val="none"/>
                <w:lang w:val="en-US" w:eastAsia="zh-CN"/>
              </w:rPr>
              <w:t>/</w:t>
            </w:r>
            <w:bookmarkEnd w:id="1142"/>
            <w:bookmarkEnd w:id="114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144" w:name="_Toc13142"/>
            <w:bookmarkStart w:id="1145" w:name="_Toc27775"/>
            <w:r>
              <w:rPr>
                <w:rFonts w:hint="eastAsia" w:cs="Times New Roman"/>
                <w:color w:val="auto"/>
                <w:szCs w:val="21"/>
                <w:highlight w:val="none"/>
                <w:lang w:val="en-US" w:eastAsia="zh-CN"/>
              </w:rPr>
              <w:t>/</w:t>
            </w:r>
            <w:bookmarkEnd w:id="1144"/>
            <w:bookmarkEnd w:id="114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146" w:name="_Toc22821"/>
            <w:bookmarkStart w:id="1147" w:name="_Toc2435"/>
            <w:r>
              <w:rPr>
                <w:rFonts w:hint="eastAsia" w:cs="Times New Roman"/>
                <w:color w:val="auto"/>
                <w:szCs w:val="21"/>
                <w:highlight w:val="none"/>
                <w:lang w:val="en-US" w:eastAsia="zh-CN"/>
              </w:rPr>
              <w:t>/</w:t>
            </w:r>
            <w:bookmarkEnd w:id="1146"/>
            <w:bookmarkEnd w:id="114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溶解性总固体</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48" w:name="_Toc3404"/>
            <w:bookmarkStart w:id="1149" w:name="_Toc4213"/>
            <w:r>
              <w:rPr>
                <w:rFonts w:hint="eastAsia" w:ascii="Times New Roman" w:hAnsi="Times New Roman" w:eastAsia="宋体" w:cs="Times New Roman"/>
                <w:color w:val="auto"/>
                <w:szCs w:val="21"/>
                <w:highlight w:val="none"/>
                <w:lang w:val="en-US" w:eastAsia="zh-CN"/>
              </w:rPr>
              <w:t>0.</w:t>
            </w:r>
            <w:r>
              <w:rPr>
                <w:rFonts w:hint="default" w:ascii="Times New Roman" w:hAnsi="Times New Roman" w:eastAsia="宋体" w:cs="Times New Roman"/>
                <w:color w:val="auto"/>
                <w:szCs w:val="21"/>
                <w:highlight w:val="none"/>
                <w:lang w:val="en-US" w:eastAsia="zh-CN"/>
              </w:rPr>
              <w:t>23</w:t>
            </w:r>
            <w:bookmarkEnd w:id="1148"/>
            <w:bookmarkEnd w:id="114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150" w:name="_Toc16695"/>
            <w:bookmarkStart w:id="1151" w:name="_Toc15456"/>
            <w:r>
              <w:rPr>
                <w:rFonts w:hint="eastAsia" w:ascii="Times New Roman" w:hAnsi="Times New Roman" w:eastAsia="宋体" w:cs="Times New Roman"/>
                <w:color w:val="auto"/>
                <w:szCs w:val="21"/>
                <w:highlight w:val="none"/>
                <w:lang w:val="en-US" w:eastAsia="zh-CN"/>
              </w:rPr>
              <w:t>0.</w:t>
            </w:r>
            <w:r>
              <w:rPr>
                <w:rFonts w:hint="default" w:ascii="Times New Roman" w:hAnsi="Times New Roman" w:eastAsia="宋体" w:cs="Times New Roman"/>
                <w:color w:val="auto"/>
                <w:szCs w:val="21"/>
                <w:highlight w:val="none"/>
                <w:lang w:val="en-US" w:eastAsia="zh-CN"/>
              </w:rPr>
              <w:t>2</w:t>
            </w:r>
            <w:r>
              <w:rPr>
                <w:rFonts w:hint="eastAsia" w:cs="Times New Roman"/>
                <w:color w:val="auto"/>
                <w:szCs w:val="21"/>
                <w:highlight w:val="none"/>
                <w:lang w:val="en-US" w:eastAsia="zh-CN"/>
              </w:rPr>
              <w:t>5</w:t>
            </w:r>
            <w:bookmarkEnd w:id="1150"/>
            <w:bookmarkEnd w:id="115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152" w:name="_Toc24331"/>
            <w:bookmarkStart w:id="1153" w:name="_Toc30734"/>
            <w:r>
              <w:rPr>
                <w:rFonts w:hint="eastAsia" w:ascii="Times New Roman" w:hAnsi="Times New Roman" w:eastAsia="宋体" w:cs="Times New Roman"/>
                <w:color w:val="auto"/>
                <w:szCs w:val="21"/>
                <w:highlight w:val="none"/>
                <w:lang w:val="en-US" w:eastAsia="zh-CN"/>
              </w:rPr>
              <w:t>0.</w:t>
            </w:r>
            <w:r>
              <w:rPr>
                <w:rFonts w:hint="default" w:ascii="Times New Roman" w:hAnsi="Times New Roman" w:eastAsia="宋体" w:cs="Times New Roman"/>
                <w:color w:val="auto"/>
                <w:szCs w:val="21"/>
                <w:highlight w:val="none"/>
                <w:lang w:val="en-US" w:eastAsia="zh-CN"/>
              </w:rPr>
              <w:t>2</w:t>
            </w:r>
            <w:r>
              <w:rPr>
                <w:rFonts w:hint="eastAsia" w:cs="Times New Roman"/>
                <w:color w:val="auto"/>
                <w:szCs w:val="21"/>
                <w:highlight w:val="none"/>
                <w:lang w:val="en-US" w:eastAsia="zh-CN"/>
              </w:rPr>
              <w:t>2</w:t>
            </w:r>
            <w:bookmarkEnd w:id="1152"/>
            <w:bookmarkEnd w:id="115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154" w:name="_Toc2504"/>
            <w:bookmarkStart w:id="1155" w:name="_Toc20647"/>
            <w:r>
              <w:rPr>
                <w:rFonts w:hint="eastAsia" w:ascii="Times New Roman" w:hAnsi="Times New Roman" w:eastAsia="宋体" w:cs="Times New Roman"/>
                <w:color w:val="auto"/>
                <w:szCs w:val="21"/>
                <w:highlight w:val="none"/>
                <w:lang w:val="en-US" w:eastAsia="zh-CN"/>
              </w:rPr>
              <w:t>0.</w:t>
            </w:r>
            <w:r>
              <w:rPr>
                <w:rFonts w:hint="default" w:ascii="Times New Roman" w:hAnsi="Times New Roman" w:eastAsia="宋体" w:cs="Times New Roman"/>
                <w:color w:val="auto"/>
                <w:szCs w:val="21"/>
                <w:highlight w:val="none"/>
                <w:lang w:val="en-US" w:eastAsia="zh-CN"/>
              </w:rPr>
              <w:t>20</w:t>
            </w:r>
            <w:r>
              <w:rPr>
                <w:rFonts w:hint="eastAsia" w:cs="Times New Roman"/>
                <w:color w:val="auto"/>
                <w:szCs w:val="21"/>
                <w:highlight w:val="none"/>
                <w:lang w:val="en-US" w:eastAsia="zh-CN"/>
              </w:rPr>
              <w:t>1</w:t>
            </w:r>
            <w:bookmarkEnd w:id="1154"/>
            <w:bookmarkEnd w:id="115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156" w:name="_Toc10756"/>
            <w:bookmarkStart w:id="1157" w:name="_Toc1586"/>
            <w:r>
              <w:rPr>
                <w:rFonts w:hint="eastAsia" w:ascii="Times New Roman" w:hAnsi="Times New Roman" w:eastAsia="宋体" w:cs="Times New Roman"/>
                <w:color w:val="auto"/>
                <w:szCs w:val="21"/>
                <w:highlight w:val="none"/>
                <w:lang w:val="en-US" w:eastAsia="zh-CN"/>
              </w:rPr>
              <w:t>0.</w:t>
            </w:r>
            <w:r>
              <w:rPr>
                <w:rFonts w:hint="default" w:ascii="Times New Roman" w:hAnsi="Times New Roman" w:eastAsia="宋体" w:cs="Times New Roman"/>
                <w:color w:val="auto"/>
                <w:szCs w:val="21"/>
                <w:highlight w:val="none"/>
                <w:lang w:val="en-US" w:eastAsia="zh-CN"/>
              </w:rPr>
              <w:t>1</w:t>
            </w:r>
            <w:r>
              <w:rPr>
                <w:rFonts w:hint="eastAsia" w:cs="Times New Roman"/>
                <w:color w:val="auto"/>
                <w:szCs w:val="21"/>
                <w:highlight w:val="none"/>
                <w:lang w:val="en-US" w:eastAsia="zh-CN"/>
              </w:rPr>
              <w:t>9</w:t>
            </w:r>
            <w:bookmarkEnd w:id="1156"/>
            <w:bookmarkEnd w:id="115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58" w:name="_Toc17278"/>
            <w:bookmarkStart w:id="1159" w:name="_Toc7651"/>
            <w:r>
              <w:rPr>
                <w:rFonts w:hint="eastAsia" w:ascii="Times New Roman" w:hAnsi="Times New Roman" w:eastAsia="宋体" w:cs="Times New Roman"/>
                <w:color w:val="auto"/>
                <w:szCs w:val="21"/>
                <w:highlight w:val="none"/>
                <w:lang w:val="en-US" w:eastAsia="zh-CN"/>
              </w:rPr>
              <w:t>0.</w:t>
            </w:r>
            <w:r>
              <w:rPr>
                <w:rFonts w:hint="default" w:ascii="Times New Roman" w:hAnsi="Times New Roman" w:eastAsia="宋体" w:cs="Times New Roman"/>
                <w:color w:val="auto"/>
                <w:szCs w:val="21"/>
                <w:highlight w:val="none"/>
                <w:lang w:val="en-US" w:eastAsia="zh-CN"/>
              </w:rPr>
              <w:t>23</w:t>
            </w:r>
            <w:bookmarkEnd w:id="1158"/>
            <w:bookmarkEnd w:id="115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60" w:name="_Toc25280"/>
            <w:bookmarkStart w:id="1161" w:name="_Toc24066"/>
            <w:r>
              <w:rPr>
                <w:rFonts w:hint="eastAsia" w:ascii="Times New Roman" w:hAnsi="Times New Roman" w:eastAsia="宋体" w:cs="Times New Roman"/>
                <w:color w:val="auto"/>
                <w:szCs w:val="21"/>
                <w:highlight w:val="none"/>
                <w:lang w:val="en-US" w:eastAsia="zh-CN"/>
              </w:rPr>
              <w:t>0.</w:t>
            </w:r>
            <w:r>
              <w:rPr>
                <w:rFonts w:hint="default" w:ascii="Times New Roman" w:hAnsi="Times New Roman" w:eastAsia="宋体" w:cs="Times New Roman"/>
                <w:color w:val="auto"/>
                <w:szCs w:val="21"/>
                <w:highlight w:val="none"/>
                <w:lang w:val="en-US" w:eastAsia="zh-CN"/>
              </w:rPr>
              <w:t>24</w:t>
            </w:r>
            <w:bookmarkEnd w:id="1160"/>
            <w:bookmarkEnd w:id="116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62" w:name="_Toc4781"/>
            <w:bookmarkStart w:id="1163" w:name="_Toc6186"/>
            <w:r>
              <w:rPr>
                <w:rFonts w:hint="eastAsia" w:ascii="Times New Roman" w:hAnsi="Times New Roman" w:eastAsia="宋体" w:cs="Times New Roman"/>
                <w:color w:val="auto"/>
                <w:szCs w:val="21"/>
                <w:highlight w:val="none"/>
                <w:lang w:val="en-US" w:eastAsia="zh-CN"/>
              </w:rPr>
              <w:t>0.</w:t>
            </w:r>
            <w:r>
              <w:rPr>
                <w:rFonts w:hint="default" w:ascii="Times New Roman" w:hAnsi="Times New Roman" w:eastAsia="宋体" w:cs="Times New Roman"/>
                <w:color w:val="auto"/>
                <w:szCs w:val="21"/>
                <w:highlight w:val="none"/>
                <w:lang w:val="en-US" w:eastAsia="zh-CN"/>
              </w:rPr>
              <w:t>25</w:t>
            </w:r>
            <w:bookmarkEnd w:id="1162"/>
            <w:bookmarkEnd w:id="116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Cs w:val="21"/>
                <w:highlight w:val="none"/>
                <w:lang w:val="en-US" w:eastAsia="zh-CN"/>
              </w:rPr>
            </w:pPr>
            <w:bookmarkStart w:id="1164" w:name="_Toc13751"/>
            <w:bookmarkStart w:id="1165" w:name="_Toc31644"/>
            <w:r>
              <w:rPr>
                <w:rFonts w:hint="eastAsia" w:ascii="Times New Roman" w:hAnsi="Times New Roman" w:eastAsia="宋体" w:cs="Times New Roman"/>
                <w:color w:val="auto"/>
                <w:szCs w:val="21"/>
                <w:highlight w:val="none"/>
                <w:lang w:val="en-US" w:eastAsia="zh-CN"/>
              </w:rPr>
              <w:t>0.</w:t>
            </w:r>
            <w:r>
              <w:rPr>
                <w:rFonts w:hint="default" w:ascii="Times New Roman" w:hAnsi="Times New Roman" w:eastAsia="宋体" w:cs="Times New Roman"/>
                <w:color w:val="auto"/>
                <w:szCs w:val="21"/>
                <w:highlight w:val="none"/>
                <w:lang w:val="en-US" w:eastAsia="zh-CN"/>
              </w:rPr>
              <w:t>5</w:t>
            </w:r>
            <w:r>
              <w:rPr>
                <w:rFonts w:hint="eastAsia" w:cs="Times New Roman"/>
                <w:color w:val="auto"/>
                <w:szCs w:val="21"/>
                <w:highlight w:val="none"/>
                <w:lang w:val="en-US" w:eastAsia="zh-CN"/>
              </w:rPr>
              <w:t>7</w:t>
            </w:r>
            <w:bookmarkEnd w:id="1164"/>
            <w:bookmarkEnd w:id="116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66" w:name="_Toc22311"/>
            <w:bookmarkStart w:id="1167" w:name="_Toc24686"/>
            <w:r>
              <w:rPr>
                <w:rFonts w:hint="eastAsia" w:ascii="Times New Roman" w:hAnsi="Times New Roman" w:eastAsia="宋体" w:cs="Times New Roman"/>
                <w:color w:val="auto"/>
                <w:szCs w:val="21"/>
                <w:highlight w:val="none"/>
                <w:lang w:val="en-US" w:eastAsia="zh-CN"/>
              </w:rPr>
              <w:t>0.</w:t>
            </w:r>
            <w:r>
              <w:rPr>
                <w:rFonts w:hint="default" w:ascii="Times New Roman" w:hAnsi="Times New Roman" w:eastAsia="宋体" w:cs="Times New Roman"/>
                <w:color w:val="auto"/>
                <w:szCs w:val="21"/>
                <w:highlight w:val="none"/>
                <w:lang w:val="en-US" w:eastAsia="zh-CN"/>
              </w:rPr>
              <w:t>41</w:t>
            </w:r>
            <w:bookmarkEnd w:id="1166"/>
            <w:bookmarkEnd w:id="116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总大肠菌群</w:t>
            </w:r>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68" w:name="_Toc24569"/>
            <w:bookmarkStart w:id="1169" w:name="_Toc16401"/>
            <w:r>
              <w:rPr>
                <w:rFonts w:hint="eastAsia" w:ascii="Times New Roman" w:hAnsi="Times New Roman" w:eastAsia="宋体" w:cs="Times New Roman"/>
                <w:color w:val="auto"/>
                <w:szCs w:val="21"/>
                <w:highlight w:val="none"/>
                <w:lang w:val="en-US" w:eastAsia="zh-CN"/>
              </w:rPr>
              <w:t>未检出</w:t>
            </w:r>
            <w:bookmarkEnd w:id="1168"/>
            <w:bookmarkEnd w:id="116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70" w:name="_Toc11042"/>
            <w:bookmarkStart w:id="1171" w:name="_Toc28852"/>
            <w:r>
              <w:rPr>
                <w:rFonts w:hint="eastAsia" w:ascii="Times New Roman" w:hAnsi="Times New Roman" w:eastAsia="宋体" w:cs="Times New Roman"/>
                <w:color w:val="auto"/>
                <w:szCs w:val="21"/>
                <w:highlight w:val="none"/>
                <w:lang w:val="en-US" w:eastAsia="zh-CN"/>
              </w:rPr>
              <w:t>未检出</w:t>
            </w:r>
            <w:bookmarkEnd w:id="1170"/>
            <w:bookmarkEnd w:id="117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72" w:name="_Toc28467"/>
            <w:bookmarkStart w:id="1173" w:name="_Toc9499"/>
            <w:r>
              <w:rPr>
                <w:rFonts w:hint="eastAsia" w:ascii="Times New Roman" w:hAnsi="Times New Roman" w:eastAsia="宋体" w:cs="Times New Roman"/>
                <w:color w:val="auto"/>
                <w:szCs w:val="21"/>
                <w:highlight w:val="none"/>
                <w:lang w:val="en-US" w:eastAsia="zh-CN"/>
              </w:rPr>
              <w:t>未检出</w:t>
            </w:r>
            <w:bookmarkEnd w:id="1172"/>
            <w:bookmarkEnd w:id="117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74" w:name="_Toc22031"/>
            <w:bookmarkStart w:id="1175" w:name="_Toc28446"/>
            <w:r>
              <w:rPr>
                <w:rFonts w:hint="eastAsia" w:ascii="Times New Roman" w:hAnsi="Times New Roman" w:eastAsia="宋体" w:cs="Times New Roman"/>
                <w:color w:val="auto"/>
                <w:szCs w:val="21"/>
                <w:highlight w:val="none"/>
                <w:lang w:val="en-US" w:eastAsia="zh-CN"/>
              </w:rPr>
              <w:t>未检出</w:t>
            </w:r>
            <w:bookmarkEnd w:id="1174"/>
            <w:bookmarkEnd w:id="1175"/>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76" w:name="_Toc14134"/>
            <w:bookmarkStart w:id="1177" w:name="_Toc4841"/>
            <w:r>
              <w:rPr>
                <w:rFonts w:hint="eastAsia" w:ascii="Times New Roman" w:hAnsi="Times New Roman" w:eastAsia="宋体" w:cs="Times New Roman"/>
                <w:color w:val="auto"/>
                <w:szCs w:val="21"/>
                <w:highlight w:val="none"/>
                <w:lang w:val="en-US" w:eastAsia="zh-CN"/>
              </w:rPr>
              <w:t>未检出</w:t>
            </w:r>
            <w:bookmarkEnd w:id="1176"/>
            <w:bookmarkEnd w:id="1177"/>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78" w:name="_Toc17108"/>
            <w:bookmarkStart w:id="1179" w:name="_Toc32426"/>
            <w:r>
              <w:rPr>
                <w:rFonts w:hint="eastAsia" w:ascii="Times New Roman" w:hAnsi="Times New Roman" w:eastAsia="宋体" w:cs="Times New Roman"/>
                <w:color w:val="auto"/>
                <w:szCs w:val="21"/>
                <w:highlight w:val="none"/>
                <w:lang w:val="en-US" w:eastAsia="zh-CN"/>
              </w:rPr>
              <w:t>未检出</w:t>
            </w:r>
            <w:bookmarkEnd w:id="1178"/>
            <w:bookmarkEnd w:id="1179"/>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80" w:name="_Toc24618"/>
            <w:bookmarkStart w:id="1181" w:name="_Toc500"/>
            <w:r>
              <w:rPr>
                <w:rFonts w:hint="eastAsia" w:ascii="Times New Roman" w:hAnsi="Times New Roman" w:eastAsia="宋体" w:cs="Times New Roman"/>
                <w:color w:val="auto"/>
                <w:szCs w:val="21"/>
                <w:highlight w:val="none"/>
                <w:lang w:val="en-US" w:eastAsia="zh-CN"/>
              </w:rPr>
              <w:t>未检出</w:t>
            </w:r>
            <w:bookmarkEnd w:id="1180"/>
            <w:bookmarkEnd w:id="1181"/>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82" w:name="_Toc13722"/>
            <w:bookmarkStart w:id="1183" w:name="_Toc27219"/>
            <w:r>
              <w:rPr>
                <w:rFonts w:hint="eastAsia" w:ascii="Times New Roman" w:hAnsi="Times New Roman" w:eastAsia="宋体" w:cs="Times New Roman"/>
                <w:color w:val="auto"/>
                <w:szCs w:val="21"/>
                <w:highlight w:val="none"/>
                <w:lang w:val="en-US" w:eastAsia="zh-CN"/>
              </w:rPr>
              <w:t>未检出</w:t>
            </w:r>
            <w:bookmarkEnd w:id="1182"/>
            <w:bookmarkEnd w:id="1183"/>
          </w:p>
        </w:tc>
        <w:tc>
          <w:tcPr>
            <w:tcW w:w="13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84" w:name="_Toc17096"/>
            <w:bookmarkStart w:id="1185" w:name="_Toc10508"/>
            <w:r>
              <w:rPr>
                <w:rFonts w:hint="eastAsia" w:ascii="Times New Roman" w:hAnsi="Times New Roman" w:eastAsia="宋体" w:cs="Times New Roman"/>
                <w:color w:val="auto"/>
                <w:szCs w:val="21"/>
                <w:highlight w:val="none"/>
                <w:lang w:val="en-US" w:eastAsia="zh-CN"/>
              </w:rPr>
              <w:t>未检出</w:t>
            </w:r>
            <w:bookmarkEnd w:id="1184"/>
            <w:bookmarkEnd w:id="1185"/>
          </w:p>
        </w:tc>
        <w:tc>
          <w:tcPr>
            <w:tcW w:w="13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eastAsia" w:ascii="Times New Roman" w:hAnsi="Times New Roman" w:eastAsia="宋体" w:cs="Times New Roman"/>
                <w:color w:val="auto"/>
                <w:szCs w:val="21"/>
                <w:highlight w:val="none"/>
                <w:lang w:val="en-US" w:eastAsia="zh-CN"/>
              </w:rPr>
            </w:pPr>
            <w:bookmarkStart w:id="1186" w:name="_Toc22958"/>
            <w:bookmarkStart w:id="1187" w:name="_Toc29005"/>
            <w:r>
              <w:rPr>
                <w:rFonts w:hint="eastAsia" w:ascii="Times New Roman" w:hAnsi="Times New Roman" w:eastAsia="宋体" w:cs="Times New Roman"/>
                <w:color w:val="auto"/>
                <w:szCs w:val="21"/>
                <w:highlight w:val="none"/>
                <w:lang w:val="en-US" w:eastAsia="zh-CN"/>
              </w:rPr>
              <w:t>未检出</w:t>
            </w:r>
            <w:bookmarkEnd w:id="1186"/>
            <w:bookmarkEnd w:id="1187"/>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菌落总数</w:t>
            </w:r>
          </w:p>
        </w:tc>
        <w:tc>
          <w:tcPr>
            <w:tcW w:w="131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41</w:t>
            </w:r>
          </w:p>
        </w:tc>
        <w:tc>
          <w:tcPr>
            <w:tcW w:w="1310"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54</w:t>
            </w:r>
          </w:p>
        </w:tc>
        <w:tc>
          <w:tcPr>
            <w:tcW w:w="1310"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1310"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1310"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1310"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47</w:t>
            </w:r>
          </w:p>
        </w:tc>
        <w:tc>
          <w:tcPr>
            <w:tcW w:w="1310"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1310"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42</w:t>
            </w:r>
          </w:p>
        </w:tc>
        <w:tc>
          <w:tcPr>
            <w:tcW w:w="1310"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40</w:t>
            </w:r>
          </w:p>
        </w:tc>
        <w:tc>
          <w:tcPr>
            <w:tcW w:w="1313"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Times New Roman" w:hAnsi="Times New Roman" w:eastAsia="Arial" w:cs="Times New Roman"/>
                <w:caps w:val="0"/>
                <w:smallCaps w:val="0"/>
                <w:snapToGrid w:val="0"/>
                <w:color w:val="auto"/>
                <w:spacing w:val="0"/>
                <w:w w:val="100"/>
                <w:kern w:val="0"/>
                <w:sz w:val="21"/>
                <w:szCs w:val="21"/>
                <w:highlight w:val="none"/>
                <w:lang w:val="en-US" w:eastAsia="zh-CN"/>
              </w:rPr>
            </w:pPr>
            <w:r>
              <w:rPr>
                <w:rFonts w:hint="eastAsia" w:ascii="宋体" w:hAnsi="宋体" w:eastAsia="宋体" w:cs="宋体"/>
                <w:i w:val="0"/>
                <w:iCs w:val="0"/>
                <w:caps w:val="0"/>
                <w:smallCaps w:val="0"/>
                <w:color w:val="auto"/>
                <w:w w:val="100"/>
                <w:kern w:val="0"/>
                <w:sz w:val="21"/>
                <w:szCs w:val="21"/>
                <w:highlight w:val="none"/>
                <w:u w:val="none"/>
                <w:lang w:val="en-US" w:eastAsia="zh-CN" w:bidi="ar"/>
              </w:rPr>
              <w:t>石油类</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0"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c>
          <w:tcPr>
            <w:tcW w:w="1313" w:type="dxa"/>
            <w:tcBorders>
              <w:tl2br w:val="nil"/>
              <w:tr2bl w:val="nil"/>
            </w:tcBorders>
            <w:vAlign w:val="center"/>
          </w:tcPr>
          <w:p>
            <w:pPr>
              <w:widowControl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未检出</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根据现状评价结果可以看出，区域地下水中，</w:t>
      </w:r>
      <w:r>
        <w:rPr>
          <w:rFonts w:hint="eastAsia" w:cs="Times New Roman"/>
          <w:caps w:val="0"/>
          <w:smallCaps w:val="0"/>
          <w:snapToGrid/>
          <w:color w:val="auto"/>
          <w:spacing w:val="0"/>
          <w:w w:val="100"/>
          <w:kern w:val="0"/>
          <w:sz w:val="24"/>
          <w:szCs w:val="24"/>
          <w:highlight w:val="none"/>
          <w:lang w:val="en-US" w:eastAsia="zh-CN" w:bidi="ar-SA"/>
        </w:rPr>
        <w:t>铁、锰、氨氮</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现状超过《地下水质量标准》（GB/T14848-2017）III类标准限值，特征污染物石油类未检出，其余监测数据满足《地下水质量标准》（GB/T14848-2017）III类标准限值；氨氮超标可能由于该区域人类活动频繁，导致地下水受到影响；</w:t>
      </w:r>
      <w:r>
        <w:rPr>
          <w:rFonts w:hint="eastAsia" w:cs="Times New Roman"/>
          <w:caps w:val="0"/>
          <w:smallCaps w:val="0"/>
          <w:snapToGrid/>
          <w:color w:val="auto"/>
          <w:spacing w:val="0"/>
          <w:w w:val="100"/>
          <w:kern w:val="0"/>
          <w:sz w:val="24"/>
          <w:szCs w:val="24"/>
          <w:highlight w:val="none"/>
          <w:lang w:val="en-US" w:eastAsia="zh-CN" w:bidi="ar-SA"/>
        </w:rPr>
        <w:t>铁、锰</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超标由于该区域地质特性原因</w:t>
      </w:r>
      <w:r>
        <w:rPr>
          <w:rFonts w:hint="eastAsia"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p>
    <w:p>
      <w:pPr>
        <w:pStyle w:val="10"/>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p>
    <w:p>
      <w:pPr>
        <w:rPr>
          <w:rFonts w:hint="eastAsia"/>
          <w:color w:val="auto"/>
          <w:highlight w:val="none"/>
          <w:lang w:val="en-US" w:eastAsia="zh-CN"/>
        </w:rPr>
      </w:pPr>
    </w:p>
    <w:p>
      <w:pP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p>
    <w:p>
      <w:pPr>
        <w:pStyle w:val="11"/>
        <w:rPr>
          <w:rFonts w:hint="default"/>
          <w:color w:val="auto"/>
          <w:highlight w:val="none"/>
          <w:lang w:val="en-US" w:eastAsia="zh-CN"/>
        </w:rPr>
      </w:pPr>
    </w:p>
    <w:p>
      <w:pPr>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center"/>
        <w:textAlignment w:val="auto"/>
        <w:rPr>
          <w:rFonts w:hint="eastAsia" w:ascii="Times New Roman" w:hAnsi="Times New Roman" w:eastAsia="宋体" w:cs="宋体"/>
          <w:b/>
          <w:bCs/>
          <w:smallCaps w:val="0"/>
          <w:color w:val="auto"/>
          <w:kern w:val="2"/>
          <w:sz w:val="21"/>
          <w:szCs w:val="21"/>
          <w:highlight w:val="none"/>
          <w:lang w:val="en-US" w:eastAsia="zh-CN" w:bidi="ar-SA"/>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4.2.3.3区域地下水化学类型分析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根据舒卡列夫分类法，地下水中Ca</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、Mg</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、Na</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（Na+K）、Cl</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、SO</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4</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、HCO</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将Meq（毫克当量）百分数大于25%的阴、阳离子进行组合，每种类型以阿拉伯数字为代号，共49类。舒卡列夫分类表见表4.2-1</w:t>
      </w:r>
      <w:r>
        <w:rPr>
          <w:rFonts w:hint="eastAsia" w:cs="Times New Roman"/>
          <w:caps w:val="0"/>
          <w:smallCaps w:val="0"/>
          <w:snapToGrid/>
          <w:color w:val="auto"/>
          <w:spacing w:val="0"/>
          <w:w w:val="100"/>
          <w:kern w:val="0"/>
          <w:sz w:val="24"/>
          <w:szCs w:val="24"/>
          <w:highlight w:val="none"/>
          <w:lang w:val="en-US" w:eastAsia="zh-CN" w:bidi="ar-SA"/>
        </w:rPr>
        <w:t>0</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22" w:firstLineChars="200"/>
        <w:jc w:val="center"/>
        <w:textAlignment w:val="baseline"/>
        <w:rPr>
          <w:rFonts w:hint="default" w:ascii="Times New Roman" w:hAnsi="Times New Roman" w:eastAsia="宋体" w:cs="Times New Roman"/>
          <w:b/>
          <w:bCs/>
          <w:color w:val="auto"/>
          <w:kern w:val="0"/>
          <w:sz w:val="21"/>
          <w:szCs w:val="21"/>
          <w:highlight w:val="none"/>
          <w:lang w:val="en-US" w:eastAsia="zh-CN" w:bidi="ar"/>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default" w:ascii="Times New Roman" w:hAnsi="Times New Roman" w:eastAsia="宋体" w:cs="Times New Roman"/>
          <w:b/>
          <w:bCs/>
          <w:color w:val="auto"/>
          <w:kern w:val="0"/>
          <w:sz w:val="21"/>
          <w:szCs w:val="21"/>
          <w:highlight w:val="none"/>
          <w:lang w:val="en-US" w:eastAsia="zh-CN" w:bidi="ar"/>
        </w:rPr>
        <w:t>4.</w:t>
      </w:r>
      <w:r>
        <w:rPr>
          <w:rFonts w:hint="eastAsia" w:ascii="Times New Roman" w:hAnsi="Times New Roman" w:eastAsia="宋体" w:cs="Times New Roman"/>
          <w:b/>
          <w:bCs/>
          <w:color w:val="auto"/>
          <w:kern w:val="0"/>
          <w:sz w:val="21"/>
          <w:szCs w:val="21"/>
          <w:highlight w:val="none"/>
          <w:lang w:val="en-US" w:eastAsia="zh-CN" w:bidi="ar"/>
        </w:rPr>
        <w:t>2</w:t>
      </w:r>
      <w:r>
        <w:rPr>
          <w:rFonts w:hint="default" w:ascii="Times New Roman" w:hAnsi="Times New Roman" w:eastAsia="宋体" w:cs="Times New Roman"/>
          <w:b/>
          <w:bCs/>
          <w:color w:val="auto"/>
          <w:kern w:val="0"/>
          <w:sz w:val="21"/>
          <w:szCs w:val="21"/>
          <w:highlight w:val="none"/>
          <w:lang w:val="en-US" w:eastAsia="zh-CN" w:bidi="ar"/>
        </w:rPr>
        <w:t>-</w:t>
      </w:r>
      <w:r>
        <w:rPr>
          <w:rFonts w:hint="eastAsia" w:ascii="Times New Roman" w:hAnsi="Times New Roman" w:eastAsia="宋体" w:cs="Times New Roman"/>
          <w:b/>
          <w:bCs/>
          <w:color w:val="auto"/>
          <w:kern w:val="0"/>
          <w:sz w:val="21"/>
          <w:szCs w:val="21"/>
          <w:highlight w:val="none"/>
          <w:lang w:val="en-US" w:eastAsia="zh-CN" w:bidi="ar"/>
        </w:rPr>
        <w:t>1</w:t>
      </w:r>
      <w:r>
        <w:rPr>
          <w:rFonts w:hint="eastAsia" w:cs="Times New Roman"/>
          <w:b/>
          <w:bCs/>
          <w:color w:val="auto"/>
          <w:kern w:val="0"/>
          <w:sz w:val="21"/>
          <w:szCs w:val="21"/>
          <w:highlight w:val="none"/>
          <w:lang w:val="en-US" w:eastAsia="zh-CN" w:bidi="ar"/>
        </w:rPr>
        <w:t>0</w:t>
      </w:r>
      <w:r>
        <w:rPr>
          <w:rFonts w:hint="eastAsia" w:ascii="Times New Roman" w:hAnsi="Times New Roman" w:eastAsia="宋体" w:cs="Times New Roman"/>
          <w:b/>
          <w:bCs/>
          <w:color w:val="auto"/>
          <w:kern w:val="0"/>
          <w:sz w:val="21"/>
          <w:szCs w:val="21"/>
          <w:highlight w:val="none"/>
          <w:lang w:val="en-US" w:eastAsia="zh-CN" w:bidi="ar"/>
        </w:rPr>
        <w:t>舒卡列夫分类表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77"/>
        <w:gridCol w:w="1048"/>
        <w:gridCol w:w="1048"/>
        <w:gridCol w:w="1048"/>
        <w:gridCol w:w="1048"/>
        <w:gridCol w:w="1048"/>
        <w:gridCol w:w="1048"/>
        <w:gridCol w:w="105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7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含量＞</w:t>
            </w:r>
            <w:r>
              <w:rPr>
                <w:rFonts w:hint="default" w:ascii="Times New Roman" w:hAnsi="Times New Roman" w:cs="Times New Roman"/>
                <w:color w:val="auto"/>
                <w:sz w:val="21"/>
                <w:szCs w:val="21"/>
                <w:highlight w:val="none"/>
                <w:vertAlign w:val="baseline"/>
                <w:lang w:val="en-US" w:eastAsia="zh-CN"/>
              </w:rPr>
              <w:t>25%Meq</w:t>
            </w:r>
            <w:r>
              <w:rPr>
                <w:rFonts w:hint="eastAsia" w:ascii="Times New Roman" w:hAnsi="Times New Roman" w:cs="Times New Roman"/>
                <w:color w:val="auto"/>
                <w:sz w:val="21"/>
                <w:szCs w:val="21"/>
                <w:highlight w:val="none"/>
                <w:vertAlign w:val="baseline"/>
                <w:lang w:val="en-US" w:eastAsia="zh-CN"/>
              </w:rPr>
              <w:t>的离子</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HCO</w:t>
            </w:r>
            <w:r>
              <w:rPr>
                <w:rFonts w:hint="default" w:ascii="Times New Roman" w:hAnsi="Times New Roman" w:cs="Times New Roman"/>
                <w:color w:val="auto"/>
                <w:sz w:val="21"/>
                <w:szCs w:val="21"/>
                <w:highlight w:val="none"/>
                <w:vertAlign w:val="subscript"/>
                <w:lang w:val="en-US" w:eastAsia="zh-CN"/>
              </w:rPr>
              <w:t>3</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HCO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baseline"/>
                <w:lang w:val="en-US" w:eastAsia="zh-CN"/>
              </w:rPr>
              <w:t>+SO</w:t>
            </w:r>
            <w:r>
              <w:rPr>
                <w:rFonts w:hint="default" w:ascii="Times New Roman" w:hAnsi="Times New Roman" w:cs="Times New Roman"/>
                <w:color w:val="auto"/>
                <w:sz w:val="21"/>
                <w:szCs w:val="21"/>
                <w:highlight w:val="none"/>
                <w:vertAlign w:val="subscript"/>
                <w:lang w:val="en-US" w:eastAsia="zh-CN"/>
              </w:rPr>
              <w:t>4</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HCO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baseline"/>
                <w:lang w:val="en-US" w:eastAsia="zh-CN"/>
              </w:rPr>
              <w:t>+SO</w:t>
            </w:r>
            <w:r>
              <w:rPr>
                <w:rFonts w:hint="default" w:ascii="Times New Roman" w:hAnsi="Times New Roman" w:cs="Times New Roman"/>
                <w:color w:val="auto"/>
                <w:sz w:val="21"/>
                <w:szCs w:val="21"/>
                <w:highlight w:val="none"/>
                <w:vertAlign w:val="subscript"/>
                <w:lang w:val="en-US" w:eastAsia="zh-CN"/>
              </w:rPr>
              <w:t>4</w:t>
            </w:r>
            <w:r>
              <w:rPr>
                <w:rFonts w:hint="default" w:ascii="Times New Roman" w:hAnsi="Times New Roman" w:cs="Times New Roman"/>
                <w:color w:val="auto"/>
                <w:sz w:val="21"/>
                <w:szCs w:val="21"/>
                <w:highlight w:val="none"/>
                <w:vertAlign w:val="baseline"/>
                <w:lang w:val="en-US" w:eastAsia="zh-CN"/>
              </w:rPr>
              <w:t>+Cl</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HCO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baseline"/>
                <w:lang w:val="en-US" w:eastAsia="zh-CN"/>
              </w:rPr>
              <w:t>+Cl</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SO</w:t>
            </w:r>
            <w:r>
              <w:rPr>
                <w:rFonts w:hint="default" w:ascii="Times New Roman" w:hAnsi="Times New Roman" w:cs="Times New Roman"/>
                <w:color w:val="auto"/>
                <w:sz w:val="21"/>
                <w:szCs w:val="21"/>
                <w:highlight w:val="none"/>
                <w:vertAlign w:val="subscript"/>
                <w:lang w:val="en-US" w:eastAsia="zh-CN"/>
              </w:rPr>
              <w:t>4</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SO</w:t>
            </w:r>
            <w:r>
              <w:rPr>
                <w:rFonts w:hint="default" w:ascii="Times New Roman" w:hAnsi="Times New Roman" w:cs="Times New Roman"/>
                <w:color w:val="auto"/>
                <w:sz w:val="21"/>
                <w:szCs w:val="21"/>
                <w:highlight w:val="none"/>
                <w:vertAlign w:val="subscript"/>
                <w:lang w:val="en-US" w:eastAsia="zh-CN"/>
              </w:rPr>
              <w:t>4</w:t>
            </w:r>
            <w:r>
              <w:rPr>
                <w:rFonts w:hint="default" w:ascii="Times New Roman" w:hAnsi="Times New Roman" w:cs="Times New Roman"/>
                <w:color w:val="auto"/>
                <w:sz w:val="21"/>
                <w:szCs w:val="21"/>
                <w:highlight w:val="none"/>
                <w:vertAlign w:val="baseline"/>
                <w:lang w:val="en-US" w:eastAsia="zh-CN"/>
              </w:rPr>
              <w:t>+Cl</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Cl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7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Ca</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22</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29</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36</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7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Ca+Mg</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9</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16</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23</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30</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37</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7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17</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24</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31</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38</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7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Na+Ca</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11</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18</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25</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32</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39</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7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Na+Ca+Mg</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19</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26</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33</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40</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7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Na+Mg</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13</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27</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34</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41</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7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Na</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14</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21</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28</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35</w:t>
            </w:r>
          </w:p>
        </w:tc>
        <w:tc>
          <w:tcPr>
            <w:tcW w:w="104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42</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49</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按矿化度又分为4组：A组矿化度&lt;1.5g/L，B组1.5-10g/L，C组10-40g/L，D组&gt;40g/L。命名时在数字与字母间加连接号，如1-A型：指的是M&lt;1.5g/L，阴离子只有HCO</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&gt;25％Meq，阳离子有Ca大于25%Meq。1-A型，表示矿化度小于&lt;1.5g/L的Cl-Na型水，该型水可能是于海水及海相沉积有关的地下水，或是大陆盐化潜水。</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t>4.</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2</w:t>
      </w:r>
      <w:r>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t>-</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1</w:t>
      </w:r>
      <w:r>
        <w:rPr>
          <w:rFonts w:hint="eastAsia" w:cs="Times New Roman"/>
          <w:b/>
          <w:bCs/>
          <w:caps w:val="0"/>
          <w:smallCaps w:val="0"/>
          <w:snapToGrid/>
          <w:color w:val="auto"/>
          <w:spacing w:val="0"/>
          <w:w w:val="100"/>
          <w:kern w:val="0"/>
          <w:sz w:val="21"/>
          <w:szCs w:val="21"/>
          <w:highlight w:val="none"/>
          <w:lang w:val="en-US" w:eastAsia="zh-CN" w:bidi="ar-SA"/>
        </w:rPr>
        <w:t>1</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八大离子的检测结果统计表</w:t>
      </w:r>
    </w:p>
    <w:tbl>
      <w:tblPr>
        <w:tblStyle w:val="16"/>
        <w:tblW w:w="8788" w:type="dxa"/>
        <w:tblInd w:w="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55"/>
        <w:gridCol w:w="990"/>
        <w:gridCol w:w="1083"/>
        <w:gridCol w:w="976"/>
        <w:gridCol w:w="1098"/>
        <w:gridCol w:w="855"/>
        <w:gridCol w:w="977"/>
        <w:gridCol w:w="977"/>
        <w:gridCol w:w="97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监测点位</w:t>
            </w:r>
          </w:p>
        </w:tc>
        <w:tc>
          <w:tcPr>
            <w:tcW w:w="990"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离子名</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称</w:t>
            </w:r>
          </w:p>
        </w:tc>
        <w:tc>
          <w:tcPr>
            <w:tcW w:w="1083"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离子</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浓度（mg/L）</w:t>
            </w:r>
          </w:p>
        </w:tc>
        <w:tc>
          <w:tcPr>
            <w:tcW w:w="97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毫克</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当量（meq/L）</w:t>
            </w:r>
          </w:p>
        </w:tc>
        <w:tc>
          <w:tcPr>
            <w:tcW w:w="1098"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毫克当量百分比（%）</w:t>
            </w:r>
          </w:p>
        </w:tc>
        <w:tc>
          <w:tcPr>
            <w:tcW w:w="1832" w:type="dxa"/>
            <w:gridSpan w:val="2"/>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离子毫克当量合计（meq/L）</w:t>
            </w:r>
          </w:p>
        </w:tc>
        <w:tc>
          <w:tcPr>
            <w:tcW w:w="977" w:type="dxa"/>
            <w:vMerge w:val="restart"/>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相对误差%</w:t>
            </w:r>
          </w:p>
        </w:tc>
        <w:tc>
          <w:tcPr>
            <w:tcW w:w="977" w:type="dxa"/>
            <w:vMerge w:val="restart"/>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矿化度（g/L）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990"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083"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97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098"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855" w:type="dxa"/>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阴离子</w:t>
            </w:r>
          </w:p>
        </w:tc>
        <w:tc>
          <w:tcPr>
            <w:tcW w:w="977" w:type="dxa"/>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阳离子</w:t>
            </w: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长青屯承压水井</w:t>
            </w: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K</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1.37</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0.035</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0.8</w:t>
            </w:r>
          </w:p>
        </w:tc>
        <w:tc>
          <w:tcPr>
            <w:tcW w:w="855"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4.885</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4.442</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4.75</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Na</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28.6</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1.24</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27.9</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Ca</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30.6</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1.53</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34.4</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19.6</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1.63</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36.7</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未检出</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HCO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191</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3.13</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64.1</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Cl</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34</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0.958</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19.6</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99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SO42-</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38.2</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0.796</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16.3</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restart"/>
            <w:tcBorders>
              <w:tl2br w:val="nil"/>
              <w:tr2bl w:val="nil"/>
            </w:tcBorders>
            <w:noWrap w:val="0"/>
            <w:vAlign w:val="center"/>
          </w:tcPr>
          <w:p>
            <w:pPr>
              <w:keepNext w:val="0"/>
              <w:keepLines w:val="0"/>
              <w:widowControl/>
              <w:suppressLineNumbers w:val="0"/>
              <w:jc w:val="both"/>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河北</w:t>
            </w:r>
            <w:r>
              <w:rPr>
                <w:rFonts w:hint="eastAsia" w:cs="Times New Roman"/>
                <w:color w:val="auto"/>
                <w:sz w:val="21"/>
                <w:szCs w:val="21"/>
                <w:highlight w:val="none"/>
                <w:lang w:val="en-US" w:eastAsia="zh-CN"/>
              </w:rPr>
              <w:t>村</w:t>
            </w:r>
            <w:r>
              <w:rPr>
                <w:rFonts w:hint="eastAsia" w:ascii="Times New Roman" w:hAnsi="Times New Roman" w:eastAsia="宋体" w:cs="Times New Roman"/>
                <w:color w:val="auto"/>
                <w:sz w:val="21"/>
                <w:szCs w:val="21"/>
                <w:highlight w:val="none"/>
                <w:lang w:val="en-US" w:eastAsia="zh-CN"/>
              </w:rPr>
              <w:t>承压水井</w:t>
            </w: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K</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1.26</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0.032</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0.7</w:t>
            </w:r>
          </w:p>
        </w:tc>
        <w:tc>
          <w:tcPr>
            <w:tcW w:w="855"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5.101</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4.921</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1.80</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Na</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39.1</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1.70</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34.5</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Ca</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31.1</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1.56</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31.7</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Mg</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19.6</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1.63</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33.1</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未检出</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HCO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236</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3.87</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75.9</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Cl</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12.1</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0.341</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6.68</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SO</w:t>
            </w:r>
            <w:r>
              <w:rPr>
                <w:rFonts w:hint="default" w:ascii="Times New Roman" w:hAnsi="Times New Roman" w:cs="Times New Roman"/>
                <w:color w:val="auto"/>
                <w:sz w:val="21"/>
                <w:szCs w:val="21"/>
                <w:highlight w:val="none"/>
                <w:vertAlign w:val="subscript"/>
                <w:lang w:val="en-US" w:eastAsia="zh-CN"/>
              </w:rPr>
              <w:t>4</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42.8</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0.892</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17.5</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restart"/>
            <w:tcBorders>
              <w:tl2br w:val="nil"/>
              <w:tr2bl w:val="nil"/>
            </w:tcBorders>
            <w:noWrap w:val="0"/>
            <w:vAlign w:val="center"/>
          </w:tcPr>
          <w:p>
            <w:pPr>
              <w:keepNext w:val="0"/>
              <w:keepLines w:val="0"/>
              <w:widowControl/>
              <w:suppressLineNumbers w:val="0"/>
              <w:jc w:val="both"/>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古龙镇承压水井</w:t>
            </w: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K</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1.24</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0.032</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0.6</w:t>
            </w:r>
          </w:p>
        </w:tc>
        <w:tc>
          <w:tcPr>
            <w:tcW w:w="855"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5.360</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5.054</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2.93</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0.39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Na</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36.7</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1.60</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31.7</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5" w:hRule="atLeast"/>
        </w:trPr>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Ca</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31.7</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1.59</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31.5</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Mg</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22.1</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1.84</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36.4</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未检出</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HCO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240</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3.93</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73.3</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Cl</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19.6</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0.552</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10.3</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SO</w:t>
            </w:r>
            <w:r>
              <w:rPr>
                <w:rFonts w:hint="default" w:ascii="Times New Roman" w:hAnsi="Times New Roman" w:cs="Times New Roman"/>
                <w:color w:val="auto"/>
                <w:sz w:val="21"/>
                <w:szCs w:val="21"/>
                <w:highlight w:val="none"/>
                <w:vertAlign w:val="subscript"/>
                <w:lang w:val="en-US" w:eastAsia="zh-CN"/>
              </w:rPr>
              <w:t>4</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41.9</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0.873</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16.3</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restart"/>
            <w:tcBorders>
              <w:tl2br w:val="nil"/>
              <w:tr2bl w:val="nil"/>
            </w:tcBorders>
            <w:noWrap w:val="0"/>
            <w:vAlign w:val="center"/>
          </w:tcPr>
          <w:p>
            <w:pPr>
              <w:keepNext w:val="0"/>
              <w:keepLines w:val="0"/>
              <w:widowControl/>
              <w:suppressLineNumbers w:val="0"/>
              <w:jc w:val="both"/>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道宝村</w:t>
            </w:r>
            <w:r>
              <w:rPr>
                <w:rFonts w:hint="eastAsia" w:eastAsia="宋体" w:cs="Times New Roman"/>
                <w:color w:val="auto"/>
                <w:sz w:val="21"/>
                <w:szCs w:val="21"/>
                <w:highlight w:val="none"/>
                <w:lang w:val="en-US" w:eastAsia="zh-CN"/>
              </w:rPr>
              <w:t>承压水井</w:t>
            </w: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K</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1.32</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0.034</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0.7</w:t>
            </w:r>
          </w:p>
        </w:tc>
        <w:tc>
          <w:tcPr>
            <w:tcW w:w="855"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5.320</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4.994</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3.15</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Na</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38.5</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1.67</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33.4</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Ca</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30.4</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1.52</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30.4</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Mg</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21.2</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1.77</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35.4</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未检出</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HCO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262</w:t>
            </w:r>
          </w:p>
        </w:tc>
        <w:tc>
          <w:tcPr>
            <w:tcW w:w="97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4.30</w:t>
            </w:r>
          </w:p>
        </w:tc>
        <w:tc>
          <w:tcPr>
            <w:tcW w:w="10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80.8</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Cl</w:t>
            </w:r>
            <w:r>
              <w:rPr>
                <w:rFonts w:hint="default" w:ascii="Times New Roman" w:hAnsi="Times New Roman" w:cs="Times New Roman"/>
                <w:color w:val="auto"/>
                <w:sz w:val="21"/>
                <w:szCs w:val="21"/>
                <w:highlight w:val="none"/>
                <w:vertAlign w:val="superscript"/>
                <w:lang w:val="en-US" w:eastAsia="zh-CN"/>
              </w:rPr>
              <w:t>-</w:t>
            </w: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14.4</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0.406</w:t>
            </w:r>
          </w:p>
        </w:tc>
        <w:tc>
          <w:tcPr>
            <w:tcW w:w="109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7.63</w:t>
            </w:r>
          </w:p>
        </w:tc>
        <w:tc>
          <w:tcPr>
            <w:tcW w:w="855" w:type="dxa"/>
            <w:vMerge w:val="continue"/>
            <w:noWrap w:val="0"/>
            <w:vAlign w:val="top"/>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top"/>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top"/>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top"/>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SO</w:t>
            </w:r>
            <w:r>
              <w:rPr>
                <w:rFonts w:hint="default" w:ascii="Times New Roman" w:hAnsi="Times New Roman" w:cs="Times New Roman"/>
                <w:color w:val="auto"/>
                <w:sz w:val="21"/>
                <w:szCs w:val="21"/>
                <w:highlight w:val="none"/>
                <w:vertAlign w:val="subscript"/>
                <w:lang w:val="en-US" w:eastAsia="zh-CN"/>
              </w:rPr>
              <w:t>4</w:t>
            </w:r>
            <w:r>
              <w:rPr>
                <w:rFonts w:hint="default" w:ascii="Times New Roman" w:hAnsi="Times New Roman" w:cs="Times New Roman"/>
                <w:color w:val="auto"/>
                <w:sz w:val="21"/>
                <w:szCs w:val="21"/>
                <w:highlight w:val="none"/>
                <w:vertAlign w:val="superscript"/>
                <w:lang w:val="en-US" w:eastAsia="zh-CN"/>
              </w:rPr>
              <w:t>2-</w:t>
            </w: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29.7</w:t>
            </w:r>
          </w:p>
        </w:tc>
        <w:tc>
          <w:tcPr>
            <w:tcW w:w="0" w:type="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0.619</w:t>
            </w:r>
          </w:p>
        </w:tc>
        <w:tc>
          <w:tcPr>
            <w:tcW w:w="109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11.6</w:t>
            </w:r>
          </w:p>
        </w:tc>
        <w:tc>
          <w:tcPr>
            <w:tcW w:w="855" w:type="dxa"/>
            <w:vMerge w:val="continue"/>
            <w:noWrap w:val="0"/>
            <w:vAlign w:val="top"/>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top"/>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top"/>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top"/>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restart"/>
            <w:noWrap w:val="0"/>
            <w:vAlign w:val="center"/>
          </w:tcPr>
          <w:p>
            <w:pPr>
              <w:keepNext w:val="0"/>
              <w:keepLines w:val="0"/>
              <w:widowControl/>
              <w:suppressLineNumbers w:val="0"/>
              <w:jc w:val="both"/>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发展村</w:t>
            </w:r>
            <w:r>
              <w:rPr>
                <w:rFonts w:hint="eastAsia" w:eastAsia="宋体" w:cs="Times New Roman"/>
                <w:color w:val="auto"/>
                <w:sz w:val="21"/>
                <w:szCs w:val="21"/>
                <w:highlight w:val="none"/>
                <w:lang w:val="en-US" w:eastAsia="zh-CN"/>
              </w:rPr>
              <w:t>承压水井</w:t>
            </w:r>
          </w:p>
        </w:tc>
        <w:tc>
          <w:tcPr>
            <w:tcW w:w="990"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K</w:t>
            </w:r>
            <w:r>
              <w:rPr>
                <w:rFonts w:hint="default" w:ascii="Times New Roman" w:hAnsi="Times New Roman" w:cs="Times New Roman"/>
                <w:color w:val="auto"/>
                <w:sz w:val="21"/>
                <w:szCs w:val="21"/>
                <w:highlight w:val="none"/>
                <w:vertAlign w:val="superscript"/>
                <w:lang w:val="en-US" w:eastAsia="zh-CN"/>
              </w:rPr>
              <w:t>+</w:t>
            </w: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1.26</w:t>
            </w:r>
          </w:p>
        </w:tc>
        <w:tc>
          <w:tcPr>
            <w:tcW w:w="9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0.032</w:t>
            </w:r>
          </w:p>
        </w:tc>
        <w:tc>
          <w:tcPr>
            <w:tcW w:w="109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0.6</w:t>
            </w:r>
          </w:p>
        </w:tc>
        <w:tc>
          <w:tcPr>
            <w:tcW w:w="855" w:type="dxa"/>
            <w:vMerge w:val="restart"/>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5.614</w:t>
            </w:r>
          </w:p>
        </w:tc>
        <w:tc>
          <w:tcPr>
            <w:tcW w:w="977" w:type="dxa"/>
            <w:vMerge w:val="restart"/>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5.258</w:t>
            </w:r>
          </w:p>
        </w:tc>
        <w:tc>
          <w:tcPr>
            <w:tcW w:w="977" w:type="dxa"/>
            <w:vMerge w:val="restart"/>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3.28</w:t>
            </w:r>
          </w:p>
        </w:tc>
        <w:tc>
          <w:tcPr>
            <w:tcW w:w="977" w:type="dxa"/>
            <w:vMerge w:val="restart"/>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0.42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Na</w:t>
            </w:r>
            <w:r>
              <w:rPr>
                <w:rFonts w:hint="default" w:ascii="Times New Roman" w:hAnsi="Times New Roman" w:cs="Times New Roman"/>
                <w:color w:val="auto"/>
                <w:sz w:val="21"/>
                <w:szCs w:val="21"/>
                <w:highlight w:val="none"/>
                <w:vertAlign w:val="superscript"/>
                <w:lang w:val="en-US" w:eastAsia="zh-CN"/>
              </w:rPr>
              <w:t>+</w:t>
            </w: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42.9</w:t>
            </w:r>
          </w:p>
        </w:tc>
        <w:tc>
          <w:tcPr>
            <w:tcW w:w="9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1.87</w:t>
            </w:r>
          </w:p>
        </w:tc>
        <w:tc>
          <w:tcPr>
            <w:tcW w:w="109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35.6</w:t>
            </w:r>
          </w:p>
        </w:tc>
        <w:tc>
          <w:tcPr>
            <w:tcW w:w="855"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Ca</w:t>
            </w:r>
            <w:r>
              <w:rPr>
                <w:rFonts w:hint="default" w:ascii="Times New Roman" w:hAnsi="Times New Roman" w:cs="Times New Roman"/>
                <w:color w:val="auto"/>
                <w:sz w:val="21"/>
                <w:szCs w:val="21"/>
                <w:highlight w:val="none"/>
                <w:vertAlign w:val="superscript"/>
                <w:lang w:val="en-US" w:eastAsia="zh-CN"/>
              </w:rPr>
              <w:t>2+</w:t>
            </w: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31.2</w:t>
            </w:r>
          </w:p>
        </w:tc>
        <w:tc>
          <w:tcPr>
            <w:tcW w:w="9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1.56</w:t>
            </w:r>
          </w:p>
        </w:tc>
        <w:tc>
          <w:tcPr>
            <w:tcW w:w="109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29.7</w:t>
            </w:r>
          </w:p>
        </w:tc>
        <w:tc>
          <w:tcPr>
            <w:tcW w:w="855"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default" w:ascii="Times New Roman" w:hAnsi="Times New Roman" w:cs="Times New Roman"/>
                <w:color w:val="auto"/>
                <w:sz w:val="21"/>
                <w:szCs w:val="21"/>
                <w:highlight w:val="none"/>
                <w:vertAlign w:val="superscript"/>
                <w:lang w:val="en-US" w:eastAsia="zh-CN"/>
              </w:rPr>
              <w:t>2+</w:t>
            </w: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21.6</w:t>
            </w:r>
          </w:p>
        </w:tc>
        <w:tc>
          <w:tcPr>
            <w:tcW w:w="9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1.80</w:t>
            </w:r>
          </w:p>
        </w:tc>
        <w:tc>
          <w:tcPr>
            <w:tcW w:w="109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34.2</w:t>
            </w:r>
          </w:p>
        </w:tc>
        <w:tc>
          <w:tcPr>
            <w:tcW w:w="855"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2-</w:t>
            </w: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未检出</w:t>
            </w:r>
          </w:p>
        </w:tc>
        <w:tc>
          <w:tcPr>
            <w:tcW w:w="9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109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c>
          <w:tcPr>
            <w:tcW w:w="855"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HCO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w:t>
            </w: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271</w:t>
            </w:r>
          </w:p>
        </w:tc>
        <w:tc>
          <w:tcPr>
            <w:tcW w:w="9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4.44</w:t>
            </w:r>
          </w:p>
        </w:tc>
        <w:tc>
          <w:tcPr>
            <w:tcW w:w="109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79.1</w:t>
            </w:r>
          </w:p>
        </w:tc>
        <w:tc>
          <w:tcPr>
            <w:tcW w:w="855"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Cl</w:t>
            </w:r>
            <w:r>
              <w:rPr>
                <w:rFonts w:hint="default" w:ascii="Times New Roman" w:hAnsi="Times New Roman" w:cs="Times New Roman"/>
                <w:color w:val="auto"/>
                <w:sz w:val="21"/>
                <w:szCs w:val="21"/>
                <w:highlight w:val="none"/>
                <w:vertAlign w:val="superscript"/>
                <w:lang w:val="en-US" w:eastAsia="zh-CN"/>
              </w:rPr>
              <w:t>-</w:t>
            </w: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14.6</w:t>
            </w:r>
          </w:p>
        </w:tc>
        <w:tc>
          <w:tcPr>
            <w:tcW w:w="9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0.411</w:t>
            </w:r>
          </w:p>
        </w:tc>
        <w:tc>
          <w:tcPr>
            <w:tcW w:w="109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7.32</w:t>
            </w:r>
          </w:p>
        </w:tc>
        <w:tc>
          <w:tcPr>
            <w:tcW w:w="855"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both"/>
              <w:rPr>
                <w:rFonts w:hint="default" w:ascii="Times New Roman" w:hAnsi="Times New Roman" w:eastAsia="宋体" w:cs="Times New Roman"/>
                <w:color w:val="auto"/>
                <w:sz w:val="21"/>
                <w:szCs w:val="21"/>
                <w:highlight w:val="none"/>
                <w:lang w:val="en-US" w:eastAsia="zh-CN"/>
              </w:rPr>
            </w:pPr>
          </w:p>
        </w:tc>
        <w:tc>
          <w:tcPr>
            <w:tcW w:w="990"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SO</w:t>
            </w:r>
            <w:r>
              <w:rPr>
                <w:rFonts w:hint="default" w:ascii="Times New Roman" w:hAnsi="Times New Roman" w:cs="Times New Roman"/>
                <w:color w:val="auto"/>
                <w:sz w:val="21"/>
                <w:szCs w:val="21"/>
                <w:highlight w:val="none"/>
                <w:vertAlign w:val="subscript"/>
                <w:lang w:val="en-US" w:eastAsia="zh-CN"/>
              </w:rPr>
              <w:t>4</w:t>
            </w:r>
            <w:r>
              <w:rPr>
                <w:rFonts w:hint="default" w:ascii="Times New Roman" w:hAnsi="Times New Roman" w:cs="Times New Roman"/>
                <w:color w:val="auto"/>
                <w:sz w:val="21"/>
                <w:szCs w:val="21"/>
                <w:highlight w:val="none"/>
                <w:vertAlign w:val="superscript"/>
                <w:lang w:val="en-US" w:eastAsia="zh-CN"/>
              </w:rPr>
              <w:t>2-</w:t>
            </w: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36.5</w:t>
            </w:r>
          </w:p>
        </w:tc>
        <w:tc>
          <w:tcPr>
            <w:tcW w:w="97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0.760</w:t>
            </w:r>
          </w:p>
        </w:tc>
        <w:tc>
          <w:tcPr>
            <w:tcW w:w="109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13.5</w:t>
            </w:r>
          </w:p>
        </w:tc>
        <w:tc>
          <w:tcPr>
            <w:tcW w:w="855"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t>4.</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2</w:t>
      </w:r>
      <w:r>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t>-</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1</w:t>
      </w:r>
      <w:r>
        <w:rPr>
          <w:rFonts w:hint="eastAsia" w:cs="Times New Roman"/>
          <w:b/>
          <w:bCs/>
          <w:caps w:val="0"/>
          <w:smallCaps w:val="0"/>
          <w:snapToGrid/>
          <w:color w:val="auto"/>
          <w:spacing w:val="0"/>
          <w:w w:val="100"/>
          <w:kern w:val="0"/>
          <w:sz w:val="21"/>
          <w:szCs w:val="21"/>
          <w:highlight w:val="none"/>
          <w:lang w:val="en-US" w:eastAsia="zh-CN" w:bidi="ar-SA"/>
        </w:rPr>
        <w:t>2</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八大离子的检测结果统计表</w:t>
      </w:r>
    </w:p>
    <w:tbl>
      <w:tblPr>
        <w:tblStyle w:val="16"/>
        <w:tblW w:w="8788" w:type="dxa"/>
        <w:tblInd w:w="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55"/>
        <w:gridCol w:w="990"/>
        <w:gridCol w:w="1083"/>
        <w:gridCol w:w="976"/>
        <w:gridCol w:w="1098"/>
        <w:gridCol w:w="855"/>
        <w:gridCol w:w="977"/>
        <w:gridCol w:w="977"/>
        <w:gridCol w:w="97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监测点位</w:t>
            </w:r>
          </w:p>
        </w:tc>
        <w:tc>
          <w:tcPr>
            <w:tcW w:w="990"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离子名</w:t>
            </w:r>
          </w:p>
          <w:p>
            <w:pPr>
              <w:pStyle w:val="2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称</w:t>
            </w:r>
          </w:p>
        </w:tc>
        <w:tc>
          <w:tcPr>
            <w:tcW w:w="1083"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离子</w:t>
            </w:r>
          </w:p>
          <w:p>
            <w:pPr>
              <w:pStyle w:val="2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浓度（mg/L）</w:t>
            </w:r>
          </w:p>
        </w:tc>
        <w:tc>
          <w:tcPr>
            <w:tcW w:w="976"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毫克</w:t>
            </w:r>
          </w:p>
          <w:p>
            <w:pPr>
              <w:pStyle w:val="2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当量（meq/L）</w:t>
            </w:r>
          </w:p>
        </w:tc>
        <w:tc>
          <w:tcPr>
            <w:tcW w:w="1098"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毫克当量百分比（%）</w:t>
            </w:r>
          </w:p>
        </w:tc>
        <w:tc>
          <w:tcPr>
            <w:tcW w:w="1832" w:type="dxa"/>
            <w:gridSpan w:val="2"/>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离子毫克当量合计（meq/L）</w:t>
            </w:r>
          </w:p>
        </w:tc>
        <w:tc>
          <w:tcPr>
            <w:tcW w:w="977" w:type="dxa"/>
            <w:vMerge w:val="restart"/>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相对误差%</w:t>
            </w:r>
          </w:p>
        </w:tc>
        <w:tc>
          <w:tcPr>
            <w:tcW w:w="977" w:type="dxa"/>
            <w:vMerge w:val="restart"/>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矿化度（g/L）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1083"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76"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1098"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855" w:type="dxa"/>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阴离子</w:t>
            </w:r>
          </w:p>
        </w:tc>
        <w:tc>
          <w:tcPr>
            <w:tcW w:w="977" w:type="dxa"/>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阳离子</w:t>
            </w: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sz w:val="21"/>
                <w:szCs w:val="21"/>
                <w:highlight w:val="none"/>
                <w:lang w:val="en-US" w:eastAsia="zh-CN"/>
              </w:rPr>
              <w:t>新立屯散户潜水井</w:t>
            </w: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K</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1.28</w:t>
            </w:r>
          </w:p>
        </w:tc>
        <w:tc>
          <w:tcPr>
            <w:tcW w:w="976" w:type="dxa"/>
            <w:tcBorders>
              <w:tl2br w:val="nil"/>
              <w:tr2bl w:val="nil"/>
            </w:tcBorders>
            <w:noWrap w:val="0"/>
            <w:vAlign w:val="center"/>
          </w:tcPr>
          <w:p>
            <w:pPr>
              <w:pStyle w:val="2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0.033</w:t>
            </w:r>
          </w:p>
        </w:tc>
        <w:tc>
          <w:tcPr>
            <w:tcW w:w="1098" w:type="dxa"/>
            <w:tcBorders>
              <w:tl2br w:val="nil"/>
              <w:tr2bl w:val="nil"/>
            </w:tcBorders>
            <w:noWrap w:val="0"/>
            <w:vAlign w:val="center"/>
          </w:tcPr>
          <w:p>
            <w:pPr>
              <w:pStyle w:val="2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0.7</w:t>
            </w:r>
          </w:p>
        </w:tc>
        <w:tc>
          <w:tcPr>
            <w:tcW w:w="855"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4.90</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4.871</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0.29</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Na</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37.3</w:t>
            </w:r>
          </w:p>
        </w:tc>
        <w:tc>
          <w:tcPr>
            <w:tcW w:w="976" w:type="dxa"/>
            <w:tcBorders>
              <w:tl2br w:val="nil"/>
              <w:tr2bl w:val="nil"/>
            </w:tcBorders>
            <w:noWrap w:val="0"/>
            <w:vAlign w:val="center"/>
          </w:tcPr>
          <w:p>
            <w:pPr>
              <w:pStyle w:val="2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1.62</w:t>
            </w:r>
          </w:p>
        </w:tc>
        <w:tc>
          <w:tcPr>
            <w:tcW w:w="1098" w:type="dxa"/>
            <w:tcBorders>
              <w:tl2br w:val="nil"/>
              <w:tr2bl w:val="nil"/>
            </w:tcBorders>
            <w:noWrap w:val="0"/>
            <w:vAlign w:val="center"/>
          </w:tcPr>
          <w:p>
            <w:pPr>
              <w:pStyle w:val="2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33.3</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Ca</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32.5</w:t>
            </w:r>
          </w:p>
        </w:tc>
        <w:tc>
          <w:tcPr>
            <w:tcW w:w="976" w:type="dxa"/>
            <w:tcBorders>
              <w:tl2br w:val="nil"/>
              <w:tr2bl w:val="nil"/>
            </w:tcBorders>
            <w:noWrap w:val="0"/>
            <w:vAlign w:val="center"/>
          </w:tcPr>
          <w:p>
            <w:pPr>
              <w:pStyle w:val="2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1.63</w:t>
            </w:r>
          </w:p>
        </w:tc>
        <w:tc>
          <w:tcPr>
            <w:tcW w:w="1098" w:type="dxa"/>
            <w:tcBorders>
              <w:tl2br w:val="nil"/>
              <w:tr2bl w:val="nil"/>
            </w:tcBorders>
            <w:noWrap w:val="0"/>
            <w:vAlign w:val="center"/>
          </w:tcPr>
          <w:p>
            <w:pPr>
              <w:pStyle w:val="2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33.5</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19.1</w:t>
            </w:r>
          </w:p>
        </w:tc>
        <w:tc>
          <w:tcPr>
            <w:tcW w:w="976" w:type="dxa"/>
            <w:tcBorders>
              <w:tl2br w:val="nil"/>
              <w:tr2bl w:val="nil"/>
            </w:tcBorders>
            <w:noWrap w:val="0"/>
            <w:vAlign w:val="center"/>
          </w:tcPr>
          <w:p>
            <w:pPr>
              <w:pStyle w:val="2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1.59</w:t>
            </w:r>
          </w:p>
        </w:tc>
        <w:tc>
          <w:tcPr>
            <w:tcW w:w="1098" w:type="dxa"/>
            <w:tcBorders>
              <w:tl2br w:val="nil"/>
              <w:tr2bl w:val="nil"/>
            </w:tcBorders>
            <w:noWrap w:val="0"/>
            <w:vAlign w:val="center"/>
          </w:tcPr>
          <w:p>
            <w:pPr>
              <w:pStyle w:val="2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32.6</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未检出</w:t>
            </w:r>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SA"/>
              </w:rPr>
              <w:t>/</w:t>
            </w:r>
          </w:p>
        </w:tc>
        <w:tc>
          <w:tcPr>
            <w:tcW w:w="1098" w:type="dxa"/>
            <w:tcBorders>
              <w:tl2br w:val="nil"/>
              <w:tr2bl w:val="nil"/>
            </w:tcBorders>
            <w:noWrap w:val="0"/>
            <w:vAlign w:val="center"/>
          </w:tcPr>
          <w:p>
            <w:pPr>
              <w:pStyle w:val="20"/>
              <w:ind w:firstLine="0" w:firstLineChars="0"/>
              <w:jc w:val="center"/>
              <w:rPr>
                <w:rFonts w:hint="default" w:cs="Times New Roman"/>
                <w:color w:val="auto"/>
                <w:sz w:val="21"/>
                <w:szCs w:val="21"/>
                <w:highlight w:val="none"/>
                <w:lang w:val="en-US" w:eastAsia="zh-CN"/>
              </w:rPr>
            </w:pPr>
            <w:r>
              <w:rPr>
                <w:rFonts w:hint="eastAsia" w:cs="Times New Roman"/>
                <w:color w:val="auto"/>
                <w:kern w:val="0"/>
                <w:sz w:val="21"/>
                <w:szCs w:val="21"/>
                <w:highlight w:val="none"/>
                <w:lang w:val="en-US" w:eastAsia="zh-CN" w:bidi="ar-SA"/>
              </w:rPr>
              <w:t>/</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HCO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243</w:t>
            </w:r>
          </w:p>
        </w:tc>
        <w:tc>
          <w:tcPr>
            <w:tcW w:w="976" w:type="dxa"/>
            <w:tcBorders>
              <w:tl2br w:val="nil"/>
              <w:tr2bl w:val="nil"/>
            </w:tcBorders>
            <w:noWrap w:val="0"/>
            <w:vAlign w:val="center"/>
          </w:tcPr>
          <w:p>
            <w:pPr>
              <w:pStyle w:val="2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3.98</w:t>
            </w:r>
          </w:p>
        </w:tc>
        <w:tc>
          <w:tcPr>
            <w:tcW w:w="1098" w:type="dxa"/>
            <w:tcBorders>
              <w:tl2br w:val="nil"/>
              <w:tr2bl w:val="nil"/>
            </w:tcBorders>
            <w:noWrap w:val="0"/>
            <w:vAlign w:val="center"/>
          </w:tcPr>
          <w:p>
            <w:pPr>
              <w:pStyle w:val="2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81.2</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Cl</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9.06</w:t>
            </w:r>
          </w:p>
        </w:tc>
        <w:tc>
          <w:tcPr>
            <w:tcW w:w="976" w:type="dxa"/>
            <w:tcBorders>
              <w:tl2br w:val="nil"/>
              <w:tr2bl w:val="nil"/>
            </w:tcBorders>
            <w:noWrap w:val="0"/>
            <w:vAlign w:val="center"/>
          </w:tcPr>
          <w:p>
            <w:pPr>
              <w:pStyle w:val="2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0.255</w:t>
            </w:r>
          </w:p>
        </w:tc>
        <w:tc>
          <w:tcPr>
            <w:tcW w:w="1098" w:type="dxa"/>
            <w:tcBorders>
              <w:tl2br w:val="nil"/>
              <w:tr2bl w:val="nil"/>
            </w:tcBorders>
            <w:noWrap w:val="0"/>
            <w:vAlign w:val="center"/>
          </w:tcPr>
          <w:p>
            <w:pPr>
              <w:pStyle w:val="2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5.20</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SO</w:t>
            </w:r>
            <w:r>
              <w:rPr>
                <w:rFonts w:hint="default" w:ascii="Times New Roman" w:hAnsi="Times New Roman" w:cs="Times New Roman"/>
                <w:color w:val="auto"/>
                <w:sz w:val="21"/>
                <w:szCs w:val="21"/>
                <w:highlight w:val="none"/>
                <w:vertAlign w:val="subscript"/>
                <w:lang w:val="en-US" w:eastAsia="zh-CN"/>
              </w:rPr>
              <w:t>4</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31.7</w:t>
            </w:r>
          </w:p>
        </w:tc>
        <w:tc>
          <w:tcPr>
            <w:tcW w:w="976" w:type="dxa"/>
            <w:tcBorders>
              <w:tl2br w:val="nil"/>
              <w:tr2bl w:val="nil"/>
            </w:tcBorders>
            <w:noWrap w:val="0"/>
            <w:vAlign w:val="center"/>
          </w:tcPr>
          <w:p>
            <w:pPr>
              <w:pStyle w:val="2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0.660</w:t>
            </w:r>
          </w:p>
        </w:tc>
        <w:tc>
          <w:tcPr>
            <w:tcW w:w="1098" w:type="dxa"/>
            <w:tcBorders>
              <w:tl2br w:val="nil"/>
              <w:tr2bl w:val="nil"/>
            </w:tcBorders>
            <w:noWrap w:val="0"/>
            <w:vAlign w:val="center"/>
          </w:tcPr>
          <w:p>
            <w:pPr>
              <w:pStyle w:val="2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13.5</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restart"/>
            <w:tcBorders>
              <w:tl2br w:val="nil"/>
              <w:tr2bl w:val="nil"/>
            </w:tcBorders>
            <w:noWrap w:val="0"/>
            <w:vAlign w:val="center"/>
          </w:tcPr>
          <w:p>
            <w:pPr>
              <w:keepNext w:val="0"/>
              <w:keepLines w:val="0"/>
              <w:widowControl/>
              <w:suppressLineNumbers w:val="0"/>
              <w:jc w:val="both"/>
              <w:textAlignment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sz w:val="21"/>
                <w:szCs w:val="21"/>
                <w:highlight w:val="none"/>
                <w:lang w:val="en-US" w:eastAsia="zh-CN"/>
              </w:rPr>
              <w:t>大五家子</w:t>
            </w:r>
            <w:r>
              <w:rPr>
                <w:rFonts w:hint="eastAsia" w:cs="Times New Roman"/>
                <w:color w:val="auto"/>
                <w:sz w:val="21"/>
                <w:szCs w:val="21"/>
                <w:highlight w:val="none"/>
                <w:lang w:val="en-US" w:eastAsia="zh-CN"/>
              </w:rPr>
              <w:t>屯</w:t>
            </w:r>
            <w:r>
              <w:rPr>
                <w:rFonts w:hint="eastAsia" w:ascii="Times New Roman" w:hAnsi="Times New Roman" w:eastAsia="宋体" w:cs="Times New Roman"/>
                <w:color w:val="auto"/>
                <w:sz w:val="21"/>
                <w:szCs w:val="21"/>
                <w:highlight w:val="none"/>
                <w:lang w:val="en-US" w:eastAsia="zh-CN"/>
              </w:rPr>
              <w:t>潜水井</w:t>
            </w: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K</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1.33</w:t>
            </w:r>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0.034</w:t>
            </w:r>
          </w:p>
        </w:tc>
        <w:tc>
          <w:tcPr>
            <w:tcW w:w="1098" w:type="dxa"/>
            <w:tcBorders>
              <w:tl2br w:val="nil"/>
              <w:tr2bl w:val="nil"/>
            </w:tcBorders>
            <w:noWrap w:val="0"/>
            <w:vAlign w:val="center"/>
          </w:tcPr>
          <w:p>
            <w:pPr>
              <w:pStyle w:val="20"/>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0.7</w:t>
            </w:r>
          </w:p>
        </w:tc>
        <w:tc>
          <w:tcPr>
            <w:tcW w:w="855"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5.456</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5.027</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4.11</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0.41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Na</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41.5</w:t>
            </w:r>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1.80</w:t>
            </w:r>
          </w:p>
        </w:tc>
        <w:tc>
          <w:tcPr>
            <w:tcW w:w="1098" w:type="dxa"/>
            <w:tcBorders>
              <w:tl2br w:val="nil"/>
              <w:tr2bl w:val="nil"/>
            </w:tcBorders>
            <w:noWrap w:val="0"/>
            <w:vAlign w:val="center"/>
          </w:tcPr>
          <w:p>
            <w:pPr>
              <w:pStyle w:val="20"/>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35.8</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Ca</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30.1</w:t>
            </w:r>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1.51</w:t>
            </w:r>
          </w:p>
        </w:tc>
        <w:tc>
          <w:tcPr>
            <w:tcW w:w="1098" w:type="dxa"/>
            <w:tcBorders>
              <w:tl2br w:val="nil"/>
              <w:tr2bl w:val="nil"/>
            </w:tcBorders>
            <w:noWrap w:val="0"/>
            <w:vAlign w:val="center"/>
          </w:tcPr>
          <w:p>
            <w:pPr>
              <w:pStyle w:val="20"/>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30.0</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Mg</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20.2</w:t>
            </w:r>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1.68</w:t>
            </w:r>
          </w:p>
        </w:tc>
        <w:tc>
          <w:tcPr>
            <w:tcW w:w="1098" w:type="dxa"/>
            <w:tcBorders>
              <w:tl2br w:val="nil"/>
              <w:tr2bl w:val="nil"/>
            </w:tcBorders>
            <w:noWrap w:val="0"/>
            <w:vAlign w:val="center"/>
          </w:tcPr>
          <w:p>
            <w:pPr>
              <w:pStyle w:val="20"/>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33.4</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未检出</w:t>
            </w:r>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1098" w:type="dxa"/>
            <w:tcBorders>
              <w:tl2br w:val="nil"/>
              <w:tr2bl w:val="nil"/>
            </w:tcBorders>
            <w:noWrap w:val="0"/>
            <w:vAlign w:val="center"/>
          </w:tcPr>
          <w:p>
            <w:pPr>
              <w:pStyle w:val="20"/>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HCO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268</w:t>
            </w:r>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4.39</w:t>
            </w:r>
          </w:p>
        </w:tc>
        <w:tc>
          <w:tcPr>
            <w:tcW w:w="1098" w:type="dxa"/>
            <w:tcBorders>
              <w:tl2br w:val="nil"/>
              <w:tr2bl w:val="nil"/>
            </w:tcBorders>
            <w:noWrap w:val="0"/>
            <w:vAlign w:val="center"/>
          </w:tcPr>
          <w:p>
            <w:pPr>
              <w:pStyle w:val="20"/>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80.5</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Cl</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12.2</w:t>
            </w:r>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0.344</w:t>
            </w:r>
          </w:p>
        </w:tc>
        <w:tc>
          <w:tcPr>
            <w:tcW w:w="1098" w:type="dxa"/>
            <w:tcBorders>
              <w:tl2br w:val="nil"/>
              <w:tr2bl w:val="nil"/>
            </w:tcBorders>
            <w:noWrap w:val="0"/>
            <w:vAlign w:val="center"/>
          </w:tcPr>
          <w:p>
            <w:pPr>
              <w:pStyle w:val="20"/>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6.30</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SO</w:t>
            </w:r>
            <w:r>
              <w:rPr>
                <w:rFonts w:hint="default" w:ascii="Times New Roman" w:hAnsi="Times New Roman" w:cs="Times New Roman"/>
                <w:color w:val="auto"/>
                <w:sz w:val="21"/>
                <w:szCs w:val="21"/>
                <w:highlight w:val="none"/>
                <w:vertAlign w:val="subscript"/>
                <w:lang w:val="en-US" w:eastAsia="zh-CN"/>
              </w:rPr>
              <w:t>4</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34.6</w:t>
            </w:r>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0.721</w:t>
            </w:r>
          </w:p>
        </w:tc>
        <w:tc>
          <w:tcPr>
            <w:tcW w:w="1098" w:type="dxa"/>
            <w:tcBorders>
              <w:tl2br w:val="nil"/>
              <w:tr2bl w:val="nil"/>
            </w:tcBorders>
            <w:noWrap w:val="0"/>
            <w:vAlign w:val="center"/>
          </w:tcPr>
          <w:p>
            <w:pPr>
              <w:pStyle w:val="20"/>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13.2</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sz w:val="21"/>
                <w:szCs w:val="21"/>
                <w:highlight w:val="none"/>
                <w:lang w:val="en-US" w:eastAsia="zh-CN"/>
              </w:rPr>
              <w:t>西葫芦代潜水井</w:t>
            </w: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K</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default" w:ascii="Times New Roman" w:hAnsi="Times New Roman" w:eastAsia="宋体" w:cs="Times New Roman"/>
                <w:color w:val="auto"/>
                <w:sz w:val="21"/>
                <w:szCs w:val="21"/>
                <w:highlight w:val="none"/>
                <w:lang w:val="en-US" w:eastAsia="zh-CN"/>
              </w:rPr>
            </w:pPr>
            <w:bookmarkStart w:id="1188" w:name="_Toc13330"/>
            <w:bookmarkStart w:id="1189" w:name="_Toc14405"/>
            <w:r>
              <w:rPr>
                <w:rFonts w:hint="eastAsia" w:ascii="Times New Roman" w:hAnsi="Times New Roman" w:cs="Times New Roman"/>
                <w:color w:val="auto"/>
                <w:sz w:val="21"/>
                <w:szCs w:val="21"/>
                <w:highlight w:val="none"/>
                <w:lang w:val="en-US" w:eastAsia="zh-CN"/>
              </w:rPr>
              <w:t>1.30</w:t>
            </w:r>
            <w:bookmarkEnd w:id="1188"/>
            <w:bookmarkEnd w:id="1189"/>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0.033</w:t>
            </w:r>
          </w:p>
        </w:tc>
        <w:tc>
          <w:tcPr>
            <w:tcW w:w="1098"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0.6</w:t>
            </w:r>
          </w:p>
        </w:tc>
        <w:tc>
          <w:tcPr>
            <w:tcW w:w="855"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5.696</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5.332</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3.23</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Na</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default" w:ascii="Times New Roman" w:hAnsi="Times New Roman" w:eastAsia="宋体" w:cs="Times New Roman"/>
                <w:color w:val="auto"/>
                <w:sz w:val="21"/>
                <w:szCs w:val="21"/>
                <w:highlight w:val="none"/>
                <w:lang w:val="en-US" w:eastAsia="zh-CN"/>
              </w:rPr>
            </w:pPr>
            <w:bookmarkStart w:id="1190" w:name="_Toc2042"/>
            <w:bookmarkStart w:id="1191" w:name="_Toc11701"/>
            <w:r>
              <w:rPr>
                <w:rFonts w:hint="eastAsia" w:ascii="Times New Roman" w:hAnsi="Times New Roman" w:cs="Times New Roman"/>
                <w:color w:val="auto"/>
                <w:szCs w:val="21"/>
                <w:highlight w:val="none"/>
                <w:lang w:val="en-US" w:eastAsia="zh-CN"/>
              </w:rPr>
              <w:t>48.2</w:t>
            </w:r>
            <w:bookmarkEnd w:id="1190"/>
            <w:bookmarkEnd w:id="1191"/>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2.10</w:t>
            </w:r>
          </w:p>
        </w:tc>
        <w:tc>
          <w:tcPr>
            <w:tcW w:w="1098"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39.4</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5" w:hRule="atLeast"/>
        </w:trPr>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Ca</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default" w:ascii="Times New Roman" w:hAnsi="Times New Roman" w:eastAsia="宋体" w:cs="Times New Roman"/>
                <w:color w:val="auto"/>
                <w:sz w:val="21"/>
                <w:szCs w:val="21"/>
                <w:highlight w:val="none"/>
                <w:lang w:val="en-US" w:eastAsia="zh-CN"/>
              </w:rPr>
            </w:pPr>
            <w:bookmarkStart w:id="1192" w:name="_Toc11062"/>
            <w:bookmarkStart w:id="1193" w:name="_Toc26763"/>
            <w:r>
              <w:rPr>
                <w:rFonts w:hint="eastAsia" w:ascii="Times New Roman" w:hAnsi="Times New Roman" w:cs="Times New Roman"/>
                <w:color w:val="auto"/>
                <w:sz w:val="21"/>
                <w:szCs w:val="21"/>
                <w:highlight w:val="none"/>
                <w:lang w:val="en-US" w:eastAsia="zh-CN"/>
              </w:rPr>
              <w:t>29.9</w:t>
            </w:r>
            <w:bookmarkEnd w:id="1192"/>
            <w:bookmarkEnd w:id="1193"/>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1.50</w:t>
            </w:r>
          </w:p>
        </w:tc>
        <w:tc>
          <w:tcPr>
            <w:tcW w:w="1098"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28.1</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Mg</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default" w:ascii="Times New Roman" w:hAnsi="Times New Roman" w:eastAsia="宋体" w:cs="Times New Roman"/>
                <w:color w:val="auto"/>
                <w:sz w:val="21"/>
                <w:szCs w:val="21"/>
                <w:highlight w:val="none"/>
                <w:lang w:val="en-US" w:eastAsia="zh-CN"/>
              </w:rPr>
            </w:pPr>
            <w:bookmarkStart w:id="1194" w:name="_Toc19480"/>
            <w:bookmarkStart w:id="1195" w:name="_Toc14345"/>
            <w:r>
              <w:rPr>
                <w:rFonts w:hint="eastAsia" w:ascii="Times New Roman" w:hAnsi="Times New Roman" w:cs="Times New Roman"/>
                <w:color w:val="auto"/>
                <w:sz w:val="21"/>
                <w:szCs w:val="21"/>
                <w:highlight w:val="none"/>
                <w:lang w:val="en-US" w:eastAsia="zh-CN"/>
              </w:rPr>
              <w:t>20.5</w:t>
            </w:r>
            <w:bookmarkEnd w:id="1194"/>
            <w:bookmarkEnd w:id="1195"/>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1.71</w:t>
            </w:r>
          </w:p>
        </w:tc>
        <w:tc>
          <w:tcPr>
            <w:tcW w:w="1098"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32.1</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未检出</w:t>
            </w:r>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098"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HCO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val="0"/>
              <w:tabs>
                <w:tab w:val="center" w:pos="1072"/>
                <w:tab w:val="right" w:pos="1920"/>
              </w:tabs>
              <w:kinsoku/>
              <w:wordWrap/>
              <w:overflowPunct/>
              <w:topLinePunct w:val="0"/>
              <w:autoSpaceDE/>
              <w:autoSpaceDN/>
              <w:bidi w:val="0"/>
              <w:spacing w:line="240" w:lineRule="auto"/>
              <w:jc w:val="center"/>
              <w:textAlignment w:val="auto"/>
              <w:outlineLvl w:val="0"/>
              <w:rPr>
                <w:rFonts w:hint="default" w:ascii="Times New Roman" w:hAnsi="Times New Roman" w:eastAsia="宋体" w:cs="Times New Roman"/>
                <w:color w:val="auto"/>
                <w:sz w:val="21"/>
                <w:szCs w:val="21"/>
                <w:highlight w:val="none"/>
                <w:lang w:val="en-US" w:eastAsia="zh-CN"/>
              </w:rPr>
            </w:pPr>
            <w:bookmarkStart w:id="1196" w:name="_Toc21344"/>
            <w:bookmarkStart w:id="1197" w:name="_Toc5441"/>
            <w:r>
              <w:rPr>
                <w:rFonts w:hint="eastAsia" w:ascii="Times New Roman" w:hAnsi="Times New Roman" w:cs="Times New Roman"/>
                <w:color w:val="auto"/>
                <w:szCs w:val="21"/>
                <w:highlight w:val="none"/>
                <w:lang w:val="en-US" w:eastAsia="zh-CN"/>
              </w:rPr>
              <w:t>152</w:t>
            </w:r>
            <w:bookmarkEnd w:id="1196"/>
            <w:bookmarkEnd w:id="1197"/>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2.49</w:t>
            </w:r>
          </w:p>
        </w:tc>
        <w:tc>
          <w:tcPr>
            <w:tcW w:w="1098"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43.7</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Cl</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 w:val="21"/>
                <w:szCs w:val="21"/>
                <w:highlight w:val="none"/>
                <w:lang w:val="en-US" w:eastAsia="zh-CN"/>
              </w:rPr>
            </w:pPr>
            <w:bookmarkStart w:id="1198" w:name="_Toc8883"/>
            <w:bookmarkStart w:id="1199" w:name="_Toc30576"/>
            <w:r>
              <w:rPr>
                <w:rFonts w:hint="eastAsia" w:ascii="Times New Roman" w:hAnsi="Times New Roman" w:cs="Times New Roman"/>
                <w:color w:val="auto"/>
                <w:szCs w:val="21"/>
                <w:highlight w:val="none"/>
                <w:lang w:val="en-US" w:eastAsia="zh-CN"/>
              </w:rPr>
              <w:t>77.0</w:t>
            </w:r>
            <w:bookmarkEnd w:id="1198"/>
            <w:bookmarkEnd w:id="1199"/>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2.17</w:t>
            </w:r>
          </w:p>
        </w:tc>
        <w:tc>
          <w:tcPr>
            <w:tcW w:w="1098"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38.1</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SO</w:t>
            </w:r>
            <w:r>
              <w:rPr>
                <w:rFonts w:hint="default" w:ascii="Times New Roman" w:hAnsi="Times New Roman" w:cs="Times New Roman"/>
                <w:color w:val="auto"/>
                <w:sz w:val="21"/>
                <w:szCs w:val="21"/>
                <w:highlight w:val="none"/>
                <w:vertAlign w:val="subscript"/>
                <w:lang w:val="en-US" w:eastAsia="zh-CN"/>
              </w:rPr>
              <w:t>4</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outlineLvl w:val="0"/>
              <w:rPr>
                <w:rFonts w:hint="default" w:ascii="Times New Roman" w:hAnsi="Times New Roman" w:eastAsia="宋体" w:cs="Times New Roman"/>
                <w:color w:val="auto"/>
                <w:sz w:val="21"/>
                <w:szCs w:val="21"/>
                <w:highlight w:val="none"/>
                <w:lang w:val="en-US" w:eastAsia="zh-CN"/>
              </w:rPr>
            </w:pPr>
            <w:bookmarkStart w:id="1200" w:name="_Toc3211"/>
            <w:bookmarkStart w:id="1201" w:name="_Toc23654"/>
            <w:r>
              <w:rPr>
                <w:rFonts w:hint="eastAsia" w:ascii="Times New Roman" w:hAnsi="Times New Roman" w:eastAsia="宋体" w:cs="Times New Roman"/>
                <w:b w:val="0"/>
                <w:bCs w:val="0"/>
                <w:i w:val="0"/>
                <w:iCs w:val="0"/>
                <w:color w:val="auto"/>
                <w:szCs w:val="21"/>
                <w:highlight w:val="none"/>
                <w:u w:val="none"/>
                <w:lang w:val="en-US" w:eastAsia="zh-CN"/>
              </w:rPr>
              <w:t>49.7</w:t>
            </w:r>
            <w:bookmarkEnd w:id="1200"/>
            <w:bookmarkEnd w:id="1201"/>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1.04</w:t>
            </w:r>
          </w:p>
        </w:tc>
        <w:tc>
          <w:tcPr>
            <w:tcW w:w="1098"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18.3</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sz w:val="21"/>
                <w:szCs w:val="21"/>
                <w:highlight w:val="none"/>
                <w:lang w:val="en-US" w:eastAsia="zh-CN"/>
              </w:rPr>
              <w:t>道宝村</w:t>
            </w:r>
            <w:r>
              <w:rPr>
                <w:rFonts w:hint="eastAsia" w:eastAsia="宋体" w:cs="Times New Roman"/>
                <w:color w:val="auto"/>
                <w:sz w:val="21"/>
                <w:szCs w:val="21"/>
                <w:highlight w:val="none"/>
                <w:lang w:val="en-US" w:eastAsia="zh-CN"/>
              </w:rPr>
              <w:t>潜水井</w:t>
            </w: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K</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1.44</w:t>
            </w:r>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0.037</w:t>
            </w:r>
          </w:p>
        </w:tc>
        <w:tc>
          <w:tcPr>
            <w:tcW w:w="1098" w:type="dxa"/>
            <w:tcBorders>
              <w:tl2br w:val="nil"/>
              <w:tr2bl w:val="nil"/>
            </w:tcBorders>
            <w:noWrap w:val="0"/>
            <w:vAlign w:val="center"/>
          </w:tcPr>
          <w:p>
            <w:pPr>
              <w:pStyle w:val="20"/>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0.7</w:t>
            </w:r>
          </w:p>
        </w:tc>
        <w:tc>
          <w:tcPr>
            <w:tcW w:w="855"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5.084</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4.969</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1.14</w:t>
            </w:r>
          </w:p>
        </w:tc>
        <w:tc>
          <w:tcPr>
            <w:tcW w:w="977" w:type="dxa"/>
            <w:vMerge w:val="restart"/>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0.39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Na</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37.2</w:t>
            </w:r>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1.62</w:t>
            </w:r>
          </w:p>
        </w:tc>
        <w:tc>
          <w:tcPr>
            <w:tcW w:w="1098" w:type="dxa"/>
            <w:tcBorders>
              <w:tl2br w:val="nil"/>
              <w:tr2bl w:val="nil"/>
            </w:tcBorders>
            <w:noWrap w:val="0"/>
            <w:vAlign w:val="center"/>
          </w:tcPr>
          <w:p>
            <w:pPr>
              <w:pStyle w:val="20"/>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32.6</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Ca</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31.8</w:t>
            </w:r>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1.59</w:t>
            </w:r>
          </w:p>
        </w:tc>
        <w:tc>
          <w:tcPr>
            <w:tcW w:w="1098" w:type="dxa"/>
            <w:tcBorders>
              <w:tl2br w:val="nil"/>
              <w:tr2bl w:val="nil"/>
            </w:tcBorders>
            <w:noWrap w:val="0"/>
            <w:vAlign w:val="center"/>
          </w:tcPr>
          <w:p>
            <w:pPr>
              <w:pStyle w:val="20"/>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32.0</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Mg</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20.7</w:t>
            </w:r>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1.73</w:t>
            </w:r>
          </w:p>
        </w:tc>
        <w:tc>
          <w:tcPr>
            <w:tcW w:w="1098" w:type="dxa"/>
            <w:tcBorders>
              <w:tl2br w:val="nil"/>
              <w:tr2bl w:val="nil"/>
            </w:tcBorders>
            <w:noWrap w:val="0"/>
            <w:vAlign w:val="center"/>
          </w:tcPr>
          <w:p>
            <w:pPr>
              <w:pStyle w:val="20"/>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34.8</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2-</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未检出</w:t>
            </w:r>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1098" w:type="dxa"/>
            <w:tcBorders>
              <w:tl2br w:val="nil"/>
              <w:tr2bl w:val="nil"/>
            </w:tcBorders>
            <w:noWrap w:val="0"/>
            <w:vAlign w:val="center"/>
          </w:tcPr>
          <w:p>
            <w:pPr>
              <w:pStyle w:val="20"/>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p>
        </w:tc>
        <w:tc>
          <w:tcPr>
            <w:tcW w:w="990"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HCO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w:t>
            </w:r>
          </w:p>
        </w:tc>
        <w:tc>
          <w:tcPr>
            <w:tcW w:w="108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257</w:t>
            </w:r>
          </w:p>
        </w:tc>
        <w:tc>
          <w:tcPr>
            <w:tcW w:w="976" w:type="dxa"/>
            <w:tcBorders>
              <w:tl2br w:val="nil"/>
              <w:tr2bl w:val="nil"/>
            </w:tcBorders>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4.21</w:t>
            </w:r>
          </w:p>
        </w:tc>
        <w:tc>
          <w:tcPr>
            <w:tcW w:w="1098" w:type="dxa"/>
            <w:tcBorders>
              <w:tl2br w:val="nil"/>
              <w:tr2bl w:val="nil"/>
            </w:tcBorders>
            <w:noWrap w:val="0"/>
            <w:vAlign w:val="center"/>
          </w:tcPr>
          <w:p>
            <w:pPr>
              <w:pStyle w:val="20"/>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82.8</w:t>
            </w:r>
          </w:p>
        </w:tc>
        <w:tc>
          <w:tcPr>
            <w:tcW w:w="855"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center"/>
              <w:rPr>
                <w:rFonts w:hint="default" w:ascii="Times New Roman" w:hAnsi="Times New Roman" w:eastAsia="宋体" w:cs="Times New Roman"/>
                <w:color w:val="auto"/>
                <w:highlight w:val="none"/>
                <w:lang w:val="en-US" w:eastAsia="zh-CN"/>
              </w:rPr>
            </w:pPr>
          </w:p>
        </w:tc>
        <w:tc>
          <w:tcPr>
            <w:tcW w:w="990" w:type="dxa"/>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Cl</w:t>
            </w:r>
            <w:r>
              <w:rPr>
                <w:rFonts w:hint="default" w:ascii="Times New Roman" w:hAnsi="Times New Roman" w:cs="Times New Roman"/>
                <w:color w:val="auto"/>
                <w:sz w:val="21"/>
                <w:szCs w:val="21"/>
                <w:highlight w:val="none"/>
                <w:vertAlign w:val="superscript"/>
                <w:lang w:val="en-US" w:eastAsia="zh-CN"/>
              </w:rPr>
              <w:t>-</w:t>
            </w:r>
          </w:p>
        </w:tc>
        <w:tc>
          <w:tcPr>
            <w:tcW w:w="10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11.3</w:t>
            </w:r>
          </w:p>
        </w:tc>
        <w:tc>
          <w:tcPr>
            <w:tcW w:w="0" w:type="auto"/>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0.318</w:t>
            </w:r>
          </w:p>
        </w:tc>
        <w:tc>
          <w:tcPr>
            <w:tcW w:w="1098" w:type="dxa"/>
            <w:noWrap w:val="0"/>
            <w:vAlign w:val="center"/>
          </w:tcPr>
          <w:p>
            <w:pPr>
              <w:pStyle w:val="20"/>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6.25</w:t>
            </w:r>
          </w:p>
        </w:tc>
        <w:tc>
          <w:tcPr>
            <w:tcW w:w="855" w:type="dxa"/>
            <w:vMerge w:val="continue"/>
            <w:noWrap w:val="0"/>
            <w:vAlign w:val="top"/>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top"/>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top"/>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top"/>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center"/>
              <w:rPr>
                <w:rFonts w:hint="default" w:ascii="Times New Roman" w:hAnsi="Times New Roman" w:eastAsia="宋体" w:cs="Times New Roman"/>
                <w:color w:val="auto"/>
                <w:highlight w:val="none"/>
                <w:lang w:val="en-US" w:eastAsia="zh-CN"/>
              </w:rPr>
            </w:pPr>
          </w:p>
        </w:tc>
        <w:tc>
          <w:tcPr>
            <w:tcW w:w="990" w:type="dxa"/>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SO</w:t>
            </w:r>
            <w:r>
              <w:rPr>
                <w:rFonts w:hint="default" w:ascii="Times New Roman" w:hAnsi="Times New Roman" w:cs="Times New Roman"/>
                <w:color w:val="auto"/>
                <w:sz w:val="21"/>
                <w:szCs w:val="21"/>
                <w:highlight w:val="none"/>
                <w:vertAlign w:val="subscript"/>
                <w:lang w:val="en-US" w:eastAsia="zh-CN"/>
              </w:rPr>
              <w:t>4</w:t>
            </w:r>
            <w:r>
              <w:rPr>
                <w:rFonts w:hint="default" w:ascii="Times New Roman" w:hAnsi="Times New Roman" w:cs="Times New Roman"/>
                <w:color w:val="auto"/>
                <w:sz w:val="21"/>
                <w:szCs w:val="21"/>
                <w:highlight w:val="none"/>
                <w:vertAlign w:val="superscript"/>
                <w:lang w:val="en-US" w:eastAsia="zh-CN"/>
              </w:rPr>
              <w:t>2-</w:t>
            </w:r>
          </w:p>
        </w:tc>
        <w:tc>
          <w:tcPr>
            <w:tcW w:w="10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26.5</w:t>
            </w:r>
          </w:p>
        </w:tc>
        <w:tc>
          <w:tcPr>
            <w:tcW w:w="0" w:type="auto"/>
            <w:noWrap w:val="0"/>
            <w:vAlign w:val="center"/>
          </w:tcPr>
          <w:p>
            <w:pPr>
              <w:pStyle w:val="2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0.552</w:t>
            </w:r>
          </w:p>
        </w:tc>
        <w:tc>
          <w:tcPr>
            <w:tcW w:w="1098" w:type="dxa"/>
            <w:noWrap w:val="0"/>
            <w:vAlign w:val="center"/>
          </w:tcPr>
          <w:p>
            <w:pPr>
              <w:pStyle w:val="20"/>
              <w:ind w:firstLine="0" w:firstLineChars="0"/>
              <w:jc w:val="center"/>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10.9</w:t>
            </w:r>
          </w:p>
        </w:tc>
        <w:tc>
          <w:tcPr>
            <w:tcW w:w="855" w:type="dxa"/>
            <w:vMerge w:val="continue"/>
            <w:noWrap w:val="0"/>
            <w:vAlign w:val="top"/>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top"/>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top"/>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top"/>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restar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sz w:val="21"/>
                <w:szCs w:val="21"/>
                <w:highlight w:val="none"/>
                <w:lang w:val="en-US" w:eastAsia="zh-CN"/>
              </w:rPr>
              <w:t>卧龙</w:t>
            </w:r>
            <w:r>
              <w:rPr>
                <w:rFonts w:hint="eastAsia" w:cs="Times New Roman"/>
                <w:color w:val="auto"/>
                <w:sz w:val="21"/>
                <w:szCs w:val="21"/>
                <w:highlight w:val="none"/>
                <w:lang w:val="en-US" w:eastAsia="zh-CN"/>
              </w:rPr>
              <w:t>岱屯</w:t>
            </w:r>
            <w:r>
              <w:rPr>
                <w:rFonts w:hint="eastAsia" w:eastAsia="宋体" w:cs="Times New Roman"/>
                <w:color w:val="auto"/>
                <w:sz w:val="21"/>
                <w:szCs w:val="21"/>
                <w:highlight w:val="none"/>
                <w:lang w:val="en-US" w:eastAsia="zh-CN"/>
              </w:rPr>
              <w:t>潜水井</w:t>
            </w:r>
          </w:p>
        </w:tc>
        <w:tc>
          <w:tcPr>
            <w:tcW w:w="990"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K</w:t>
            </w:r>
            <w:r>
              <w:rPr>
                <w:rFonts w:hint="default" w:ascii="Times New Roman" w:hAnsi="Times New Roman" w:cs="Times New Roman"/>
                <w:color w:val="auto"/>
                <w:sz w:val="21"/>
                <w:szCs w:val="21"/>
                <w:highlight w:val="none"/>
                <w:vertAlign w:val="superscript"/>
                <w:lang w:val="en-US" w:eastAsia="zh-CN"/>
              </w:rPr>
              <w:t>+</w:t>
            </w:r>
          </w:p>
        </w:tc>
        <w:tc>
          <w:tcPr>
            <w:tcW w:w="10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1.22</w:t>
            </w:r>
          </w:p>
        </w:tc>
        <w:tc>
          <w:tcPr>
            <w:tcW w:w="976" w:type="dxa"/>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0.031</w:t>
            </w:r>
          </w:p>
        </w:tc>
        <w:tc>
          <w:tcPr>
            <w:tcW w:w="1098"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w:t>
            </w:r>
            <w:r>
              <w:rPr>
                <w:rFonts w:hint="eastAsia" w:cs="Times New Roman"/>
                <w:color w:val="auto"/>
                <w:sz w:val="21"/>
                <w:szCs w:val="21"/>
                <w:highlight w:val="none"/>
                <w:vertAlign w:val="baseline"/>
                <w:lang w:val="en-US" w:eastAsia="zh-CN"/>
              </w:rPr>
              <w:t>6</w:t>
            </w:r>
          </w:p>
        </w:tc>
        <w:tc>
          <w:tcPr>
            <w:tcW w:w="855" w:type="dxa"/>
            <w:vMerge w:val="restart"/>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5.398</w:t>
            </w:r>
          </w:p>
        </w:tc>
        <w:tc>
          <w:tcPr>
            <w:tcW w:w="977" w:type="dxa"/>
            <w:vMerge w:val="restart"/>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5.430</w:t>
            </w:r>
          </w:p>
        </w:tc>
        <w:tc>
          <w:tcPr>
            <w:tcW w:w="977" w:type="dxa"/>
            <w:vMerge w:val="restart"/>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-0.300</w:t>
            </w:r>
          </w:p>
        </w:tc>
        <w:tc>
          <w:tcPr>
            <w:tcW w:w="977" w:type="dxa"/>
            <w:vMerge w:val="restart"/>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0.41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center"/>
              <w:rPr>
                <w:rFonts w:hint="default" w:ascii="Times New Roman" w:hAnsi="Times New Roman" w:eastAsia="宋体" w:cs="Times New Roman"/>
                <w:color w:val="auto"/>
                <w:highlight w:val="none"/>
                <w:lang w:val="en-US" w:eastAsia="zh-CN"/>
              </w:rPr>
            </w:pPr>
          </w:p>
        </w:tc>
        <w:tc>
          <w:tcPr>
            <w:tcW w:w="990"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Na</w:t>
            </w:r>
            <w:r>
              <w:rPr>
                <w:rFonts w:hint="default" w:ascii="Times New Roman" w:hAnsi="Times New Roman" w:cs="Times New Roman"/>
                <w:color w:val="auto"/>
                <w:sz w:val="21"/>
                <w:szCs w:val="21"/>
                <w:highlight w:val="none"/>
                <w:vertAlign w:val="superscript"/>
                <w:lang w:val="en-US" w:eastAsia="zh-CN"/>
              </w:rPr>
              <w:t>+</w:t>
            </w:r>
          </w:p>
        </w:tc>
        <w:tc>
          <w:tcPr>
            <w:tcW w:w="10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48.7</w:t>
            </w:r>
          </w:p>
        </w:tc>
        <w:tc>
          <w:tcPr>
            <w:tcW w:w="976" w:type="dxa"/>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2.12</w:t>
            </w:r>
          </w:p>
        </w:tc>
        <w:tc>
          <w:tcPr>
            <w:tcW w:w="1098"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39.0</w:t>
            </w:r>
          </w:p>
        </w:tc>
        <w:tc>
          <w:tcPr>
            <w:tcW w:w="855"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center"/>
              <w:rPr>
                <w:rFonts w:hint="default" w:ascii="Times New Roman" w:hAnsi="Times New Roman" w:eastAsia="宋体" w:cs="Times New Roman"/>
                <w:color w:val="auto"/>
                <w:highlight w:val="none"/>
                <w:lang w:val="en-US" w:eastAsia="zh-CN"/>
              </w:rPr>
            </w:pPr>
          </w:p>
        </w:tc>
        <w:tc>
          <w:tcPr>
            <w:tcW w:w="990"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Ca</w:t>
            </w:r>
            <w:r>
              <w:rPr>
                <w:rFonts w:hint="default" w:ascii="Times New Roman" w:hAnsi="Times New Roman" w:cs="Times New Roman"/>
                <w:color w:val="auto"/>
                <w:sz w:val="21"/>
                <w:szCs w:val="21"/>
                <w:highlight w:val="none"/>
                <w:vertAlign w:val="superscript"/>
                <w:lang w:val="en-US" w:eastAsia="zh-CN"/>
              </w:rPr>
              <w:t>2+</w:t>
            </w:r>
          </w:p>
        </w:tc>
        <w:tc>
          <w:tcPr>
            <w:tcW w:w="10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32.3</w:t>
            </w:r>
          </w:p>
        </w:tc>
        <w:tc>
          <w:tcPr>
            <w:tcW w:w="976" w:type="dxa"/>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1.62</w:t>
            </w:r>
          </w:p>
        </w:tc>
        <w:tc>
          <w:tcPr>
            <w:tcW w:w="1098"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29.8</w:t>
            </w:r>
          </w:p>
        </w:tc>
        <w:tc>
          <w:tcPr>
            <w:tcW w:w="855"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center"/>
              <w:rPr>
                <w:rFonts w:hint="default" w:ascii="Times New Roman" w:hAnsi="Times New Roman" w:eastAsia="宋体" w:cs="Times New Roman"/>
                <w:color w:val="auto"/>
                <w:highlight w:val="none"/>
                <w:lang w:val="en-US" w:eastAsia="zh-CN"/>
              </w:rPr>
            </w:pPr>
          </w:p>
        </w:tc>
        <w:tc>
          <w:tcPr>
            <w:tcW w:w="990"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default" w:ascii="Times New Roman" w:hAnsi="Times New Roman" w:cs="Times New Roman"/>
                <w:color w:val="auto"/>
                <w:sz w:val="21"/>
                <w:szCs w:val="21"/>
                <w:highlight w:val="none"/>
                <w:vertAlign w:val="superscript"/>
                <w:lang w:val="en-US" w:eastAsia="zh-CN"/>
              </w:rPr>
              <w:t>2+</w:t>
            </w:r>
          </w:p>
        </w:tc>
        <w:tc>
          <w:tcPr>
            <w:tcW w:w="10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976" w:type="dxa"/>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1.67</w:t>
            </w:r>
          </w:p>
        </w:tc>
        <w:tc>
          <w:tcPr>
            <w:tcW w:w="1098"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30.</w:t>
            </w:r>
            <w:r>
              <w:rPr>
                <w:rFonts w:hint="eastAsia" w:cs="Times New Roman"/>
                <w:color w:val="auto"/>
                <w:sz w:val="21"/>
                <w:szCs w:val="21"/>
                <w:highlight w:val="none"/>
                <w:vertAlign w:val="baseline"/>
                <w:lang w:val="en-US" w:eastAsia="zh-CN"/>
              </w:rPr>
              <w:t>6</w:t>
            </w:r>
          </w:p>
        </w:tc>
        <w:tc>
          <w:tcPr>
            <w:tcW w:w="855"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center"/>
              <w:rPr>
                <w:rFonts w:hint="default" w:ascii="Times New Roman" w:hAnsi="Times New Roman" w:eastAsia="宋体" w:cs="Times New Roman"/>
                <w:color w:val="auto"/>
                <w:highlight w:val="none"/>
                <w:lang w:val="en-US" w:eastAsia="zh-CN"/>
              </w:rPr>
            </w:pPr>
          </w:p>
        </w:tc>
        <w:tc>
          <w:tcPr>
            <w:tcW w:w="990"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2-</w:t>
            </w:r>
          </w:p>
        </w:tc>
        <w:tc>
          <w:tcPr>
            <w:tcW w:w="10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未检出</w:t>
            </w:r>
          </w:p>
        </w:tc>
        <w:tc>
          <w:tcPr>
            <w:tcW w:w="976" w:type="dxa"/>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098"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p>
        </w:tc>
        <w:tc>
          <w:tcPr>
            <w:tcW w:w="855"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center"/>
              <w:rPr>
                <w:rFonts w:hint="default" w:ascii="Times New Roman" w:hAnsi="Times New Roman" w:eastAsia="宋体" w:cs="Times New Roman"/>
                <w:color w:val="auto"/>
                <w:highlight w:val="none"/>
                <w:lang w:val="en-US" w:eastAsia="zh-CN"/>
              </w:rPr>
            </w:pPr>
          </w:p>
        </w:tc>
        <w:tc>
          <w:tcPr>
            <w:tcW w:w="990"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HCO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vertAlign w:val="superscript"/>
                <w:lang w:val="en-US" w:eastAsia="zh-CN"/>
              </w:rPr>
              <w:t>-</w:t>
            </w:r>
          </w:p>
        </w:tc>
        <w:tc>
          <w:tcPr>
            <w:tcW w:w="10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256</w:t>
            </w:r>
          </w:p>
        </w:tc>
        <w:tc>
          <w:tcPr>
            <w:tcW w:w="976" w:type="dxa"/>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4.20</w:t>
            </w:r>
          </w:p>
        </w:tc>
        <w:tc>
          <w:tcPr>
            <w:tcW w:w="1098"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77.8</w:t>
            </w:r>
          </w:p>
        </w:tc>
        <w:tc>
          <w:tcPr>
            <w:tcW w:w="855"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center"/>
              <w:rPr>
                <w:rFonts w:hint="default" w:ascii="Times New Roman" w:hAnsi="Times New Roman" w:eastAsia="宋体" w:cs="Times New Roman"/>
                <w:color w:val="auto"/>
                <w:highlight w:val="none"/>
                <w:lang w:val="en-US" w:eastAsia="zh-CN"/>
              </w:rPr>
            </w:pPr>
          </w:p>
        </w:tc>
        <w:tc>
          <w:tcPr>
            <w:tcW w:w="990"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Cl</w:t>
            </w:r>
            <w:r>
              <w:rPr>
                <w:rFonts w:hint="default" w:ascii="Times New Roman" w:hAnsi="Times New Roman" w:cs="Times New Roman"/>
                <w:color w:val="auto"/>
                <w:sz w:val="21"/>
                <w:szCs w:val="21"/>
                <w:highlight w:val="none"/>
                <w:vertAlign w:val="superscript"/>
                <w:lang w:val="en-US" w:eastAsia="zh-CN"/>
              </w:rPr>
              <w:t>-</w:t>
            </w:r>
          </w:p>
        </w:tc>
        <w:tc>
          <w:tcPr>
            <w:tcW w:w="10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15.2</w:t>
            </w:r>
          </w:p>
        </w:tc>
        <w:tc>
          <w:tcPr>
            <w:tcW w:w="976" w:type="dxa"/>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0.428</w:t>
            </w:r>
          </w:p>
        </w:tc>
        <w:tc>
          <w:tcPr>
            <w:tcW w:w="1098"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7.9</w:t>
            </w:r>
            <w:r>
              <w:rPr>
                <w:rFonts w:hint="eastAsia" w:cs="Times New Roman"/>
                <w:color w:val="auto"/>
                <w:sz w:val="21"/>
                <w:szCs w:val="21"/>
                <w:highlight w:val="none"/>
                <w:vertAlign w:val="baseline"/>
                <w:lang w:val="en-US" w:eastAsia="zh-CN"/>
              </w:rPr>
              <w:t>3</w:t>
            </w:r>
          </w:p>
        </w:tc>
        <w:tc>
          <w:tcPr>
            <w:tcW w:w="855"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noWrap w:val="0"/>
            <w:vAlign w:val="top"/>
          </w:tcPr>
          <w:p>
            <w:pPr>
              <w:pStyle w:val="20"/>
              <w:jc w:val="center"/>
              <w:rPr>
                <w:rFonts w:hint="default" w:ascii="Times New Roman" w:hAnsi="Times New Roman" w:eastAsia="宋体" w:cs="Times New Roman"/>
                <w:color w:val="auto"/>
                <w:highlight w:val="none"/>
                <w:lang w:val="en-US" w:eastAsia="zh-CN"/>
              </w:rPr>
            </w:pPr>
          </w:p>
        </w:tc>
        <w:tc>
          <w:tcPr>
            <w:tcW w:w="990"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SO</w:t>
            </w:r>
            <w:r>
              <w:rPr>
                <w:rFonts w:hint="default" w:ascii="Times New Roman" w:hAnsi="Times New Roman" w:cs="Times New Roman"/>
                <w:color w:val="auto"/>
                <w:sz w:val="21"/>
                <w:szCs w:val="21"/>
                <w:highlight w:val="none"/>
                <w:vertAlign w:val="subscript"/>
                <w:lang w:val="en-US" w:eastAsia="zh-CN"/>
              </w:rPr>
              <w:t>4</w:t>
            </w:r>
            <w:r>
              <w:rPr>
                <w:rFonts w:hint="default" w:ascii="Times New Roman" w:hAnsi="Times New Roman" w:cs="Times New Roman"/>
                <w:color w:val="auto"/>
                <w:sz w:val="21"/>
                <w:szCs w:val="21"/>
                <w:highlight w:val="none"/>
                <w:vertAlign w:val="superscript"/>
                <w:lang w:val="en-US" w:eastAsia="zh-CN"/>
              </w:rPr>
              <w:t>2-</w:t>
            </w:r>
          </w:p>
        </w:tc>
        <w:tc>
          <w:tcPr>
            <w:tcW w:w="10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37.1</w:t>
            </w:r>
          </w:p>
        </w:tc>
        <w:tc>
          <w:tcPr>
            <w:tcW w:w="976" w:type="dxa"/>
            <w:noWrap w:val="0"/>
            <w:vAlign w:val="center"/>
          </w:tcPr>
          <w:p>
            <w:pPr>
              <w:pStyle w:val="2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0.773</w:t>
            </w:r>
          </w:p>
        </w:tc>
        <w:tc>
          <w:tcPr>
            <w:tcW w:w="1098" w:type="dxa"/>
            <w:noWrap w:val="0"/>
            <w:vAlign w:val="center"/>
          </w:tcPr>
          <w:p>
            <w:pPr>
              <w:pStyle w:val="20"/>
              <w:ind w:firstLine="0" w:firstLineChars="0"/>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14.3</w:t>
            </w:r>
          </w:p>
        </w:tc>
        <w:tc>
          <w:tcPr>
            <w:tcW w:w="855"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c>
          <w:tcPr>
            <w:tcW w:w="977" w:type="dxa"/>
            <w:vMerge w:val="continue"/>
            <w:noWrap w:val="0"/>
            <w:vAlign w:val="center"/>
          </w:tcPr>
          <w:p>
            <w:pPr>
              <w:pStyle w:val="20"/>
              <w:jc w:val="center"/>
              <w:rPr>
                <w:rFonts w:hint="eastAsia" w:ascii="Times New Roman" w:hAnsi="Times New Roman" w:eastAsia="宋体" w:cs="Times New Roman"/>
                <w:color w:val="auto"/>
                <w:highlight w:val="none"/>
                <w:lang w:val="en-US" w:eastAsia="zh-CN"/>
              </w:rPr>
            </w:pP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结论：各监测点位地下水阴阳离子相对误差均小于5%，说明监测数据可靠；矿化度＜1.5g/L，说明区域内地下水为淡水；监测的潜水及承压水水井水质均为7-A型，即HCO</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-Na型淡水。</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4.2.4声环境质量现状调查与评价</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4.2.4.1现状监测</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①监测点布设</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根据本项目</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站址及管道铺设</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情况，在本项目所在区域共布设5个监测点，监测点布设见表4.2-1</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4.2-13</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声环境现状监测点位表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25"/>
        <w:gridCol w:w="1732"/>
        <w:gridCol w:w="2789"/>
        <w:gridCol w:w="1936"/>
        <w:gridCol w:w="133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序号</w:t>
            </w:r>
          </w:p>
        </w:tc>
        <w:tc>
          <w:tcPr>
            <w:tcW w:w="173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监测点</w:t>
            </w:r>
          </w:p>
        </w:tc>
        <w:tc>
          <w:tcPr>
            <w:tcW w:w="278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坐标</w:t>
            </w:r>
          </w:p>
        </w:tc>
        <w:tc>
          <w:tcPr>
            <w:tcW w:w="193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相对最近方位</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距离</w:t>
            </w:r>
          </w:p>
        </w:tc>
        <w:tc>
          <w:tcPr>
            <w:tcW w:w="133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25" w:type="dxa"/>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Z1</w:t>
            </w:r>
          </w:p>
        </w:tc>
        <w:tc>
          <w:tcPr>
            <w:tcW w:w="1732" w:type="dxa"/>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新立屯散户</w:t>
            </w:r>
          </w:p>
        </w:tc>
        <w:tc>
          <w:tcPr>
            <w:tcW w:w="2789" w:type="dxa"/>
            <w:tcBorders>
              <w:tl2br w:val="nil"/>
              <w:tr2bl w:val="nil"/>
            </w:tcBorders>
            <w:noWrap w:val="0"/>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124.279661280,45.922516590</w:t>
            </w:r>
          </w:p>
        </w:tc>
        <w:tc>
          <w:tcPr>
            <w:tcW w:w="1936" w:type="dxa"/>
            <w:tcBorders>
              <w:tl2br w:val="nil"/>
              <w:tr2bl w:val="nil"/>
            </w:tcBorders>
            <w:noWrap w:val="0"/>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输液管道东侧</w:t>
            </w:r>
            <w:r>
              <w:rPr>
                <w:rFonts w:hint="eastAsia" w:cs="Times New Roman"/>
                <w:color w:val="auto"/>
                <w:kern w:val="0"/>
                <w:sz w:val="21"/>
                <w:szCs w:val="21"/>
                <w:highlight w:val="none"/>
                <w:lang w:val="en-US" w:eastAsia="zh-CN" w:bidi="ar"/>
              </w:rPr>
              <w:t>50m</w:t>
            </w:r>
          </w:p>
        </w:tc>
        <w:tc>
          <w:tcPr>
            <w:tcW w:w="1334" w:type="dxa"/>
            <w:vMerge w:val="restart"/>
            <w:tcBorders>
              <w:tl2br w:val="nil"/>
              <w:tr2bl w:val="nil"/>
            </w:tcBorders>
            <w:noWrap w:val="0"/>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敏感点噪声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25" w:type="dxa"/>
            <w:tcBorders>
              <w:tl2br w:val="nil"/>
              <w:tr2bl w:val="nil"/>
            </w:tcBorders>
            <w:noWrap w:val="0"/>
            <w:vAlign w:val="center"/>
          </w:tcPr>
          <w:p>
            <w:pPr>
              <w:pStyle w:val="2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Z2</w:t>
            </w:r>
          </w:p>
        </w:tc>
        <w:tc>
          <w:tcPr>
            <w:tcW w:w="1732" w:type="dxa"/>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发展村</w:t>
            </w:r>
          </w:p>
        </w:tc>
        <w:tc>
          <w:tcPr>
            <w:tcW w:w="2789" w:type="dxa"/>
            <w:tcBorders>
              <w:tl2br w:val="nil"/>
              <w:tr2bl w:val="nil"/>
            </w:tcBorders>
            <w:noWrap w:val="0"/>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124.264717940,45.739242900</w:t>
            </w:r>
          </w:p>
        </w:tc>
        <w:tc>
          <w:tcPr>
            <w:tcW w:w="1936" w:type="dxa"/>
            <w:tcBorders>
              <w:tl2br w:val="nil"/>
              <w:tr2bl w:val="nil"/>
            </w:tcBorders>
            <w:noWrap w:val="0"/>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sz w:val="21"/>
                <w:szCs w:val="21"/>
                <w:highlight w:val="none"/>
                <w:lang w:val="en-US" w:eastAsia="zh-CN"/>
              </w:rPr>
            </w:pPr>
            <w:r>
              <w:rPr>
                <w:rFonts w:hint="eastAsia" w:cs="Times New Roman"/>
                <w:snapToGrid w:val="0"/>
                <w:color w:val="auto"/>
                <w:kern w:val="24"/>
                <w:sz w:val="21"/>
                <w:szCs w:val="21"/>
                <w:highlight w:val="none"/>
                <w:lang w:val="en-US" w:eastAsia="zh-CN" w:bidi="ar-SA"/>
              </w:rPr>
              <w:t>3#服务站站址西侧40m</w:t>
            </w:r>
          </w:p>
        </w:tc>
        <w:tc>
          <w:tcPr>
            <w:tcW w:w="1334" w:type="dxa"/>
            <w:vMerge w:val="continue"/>
            <w:tcBorders>
              <w:tl2br w:val="nil"/>
              <w:tr2bl w:val="nil"/>
            </w:tcBorders>
            <w:noWrap w:val="0"/>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25" w:type="dxa"/>
            <w:tcBorders>
              <w:tl2br w:val="nil"/>
              <w:tr2bl w:val="nil"/>
            </w:tcBorders>
            <w:noWrap w:val="0"/>
            <w:vAlign w:val="center"/>
          </w:tcPr>
          <w:p>
            <w:pPr>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Z3</w:t>
            </w:r>
          </w:p>
        </w:tc>
        <w:tc>
          <w:tcPr>
            <w:tcW w:w="1732" w:type="dxa"/>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服务站站址东南侧</w:t>
            </w:r>
          </w:p>
        </w:tc>
        <w:tc>
          <w:tcPr>
            <w:tcW w:w="2789" w:type="dxa"/>
            <w:tcBorders>
              <w:tl2br w:val="nil"/>
              <w:tr2bl w:val="nil"/>
            </w:tcBorders>
            <w:noWrap w:val="0"/>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124.268658390,45.737474640</w:t>
            </w:r>
          </w:p>
        </w:tc>
        <w:tc>
          <w:tcPr>
            <w:tcW w:w="1936" w:type="dxa"/>
            <w:tcBorders>
              <w:tl2br w:val="nil"/>
              <w:tr2bl w:val="nil"/>
            </w:tcBorders>
            <w:noWrap w:val="0"/>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厂界</w:t>
            </w:r>
            <w:r>
              <w:rPr>
                <w:rFonts w:hint="eastAsia" w:ascii="Times New Roman" w:hAnsi="Times New Roman" w:eastAsia="宋体" w:cs="Times New Roman"/>
                <w:color w:val="auto"/>
                <w:highlight w:val="none"/>
                <w:lang w:val="en-US" w:eastAsia="zh-CN"/>
              </w:rPr>
              <w:t>东南侧</w:t>
            </w:r>
            <w:r>
              <w:rPr>
                <w:rFonts w:hint="eastAsia" w:cs="Times New Roman"/>
                <w:color w:val="auto"/>
                <w:sz w:val="21"/>
                <w:szCs w:val="21"/>
                <w:highlight w:val="none"/>
                <w:lang w:val="en-US" w:eastAsia="zh-CN"/>
              </w:rPr>
              <w:t>外1m</w:t>
            </w:r>
          </w:p>
        </w:tc>
        <w:tc>
          <w:tcPr>
            <w:tcW w:w="1334" w:type="dxa"/>
            <w:vMerge w:val="restart"/>
            <w:tcBorders>
              <w:tl2br w:val="nil"/>
              <w:tr2bl w:val="nil"/>
            </w:tcBorders>
            <w:noWrap w:val="0"/>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拟建站址厂界噪声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25" w:type="dxa"/>
            <w:tcBorders>
              <w:tl2br w:val="nil"/>
              <w:tr2bl w:val="nil"/>
            </w:tcBorders>
            <w:noWrap w:val="0"/>
            <w:vAlign w:val="center"/>
          </w:tcPr>
          <w:p>
            <w:pPr>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Z4</w:t>
            </w:r>
          </w:p>
        </w:tc>
        <w:tc>
          <w:tcPr>
            <w:tcW w:w="1732" w:type="dxa"/>
            <w:tcBorders>
              <w:tl2br w:val="nil"/>
              <w:tr2bl w:val="nil"/>
            </w:tcBorders>
            <w:noWrap w:val="0"/>
            <w:vAlign w:val="center"/>
          </w:tcPr>
          <w:p>
            <w:pPr>
              <w:pStyle w:val="2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服务站站址东北侧</w:t>
            </w:r>
          </w:p>
        </w:tc>
        <w:tc>
          <w:tcPr>
            <w:tcW w:w="2789" w:type="dxa"/>
            <w:tcBorders>
              <w:tl2br w:val="nil"/>
              <w:tr2bl w:val="nil"/>
            </w:tcBorders>
            <w:noWrap w:val="0"/>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124.270909050,45.740468790</w:t>
            </w:r>
          </w:p>
        </w:tc>
        <w:tc>
          <w:tcPr>
            <w:tcW w:w="1936" w:type="dxa"/>
            <w:tcBorders>
              <w:tl2br w:val="nil"/>
              <w:tr2bl w:val="nil"/>
            </w:tcBorders>
            <w:noWrap w:val="0"/>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厂界</w:t>
            </w:r>
            <w:r>
              <w:rPr>
                <w:rFonts w:hint="eastAsia" w:ascii="Times New Roman" w:hAnsi="Times New Roman" w:eastAsia="宋体" w:cs="Times New Roman"/>
                <w:color w:val="auto"/>
                <w:highlight w:val="none"/>
                <w:lang w:val="en-US" w:eastAsia="zh-CN"/>
              </w:rPr>
              <w:t>东北</w:t>
            </w:r>
            <w:r>
              <w:rPr>
                <w:rFonts w:hint="eastAsia" w:cs="Times New Roman"/>
                <w:color w:val="auto"/>
                <w:sz w:val="21"/>
                <w:szCs w:val="21"/>
                <w:highlight w:val="none"/>
                <w:lang w:val="en-US" w:eastAsia="zh-CN"/>
              </w:rPr>
              <w:t>侧外1m</w:t>
            </w:r>
          </w:p>
        </w:tc>
        <w:tc>
          <w:tcPr>
            <w:tcW w:w="1334" w:type="dxa"/>
            <w:vMerge w:val="continue"/>
            <w:tcBorders>
              <w:tl2br w:val="nil"/>
              <w:tr2bl w:val="nil"/>
            </w:tcBorders>
            <w:noWrap w:val="0"/>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Z5</w:t>
            </w:r>
          </w:p>
        </w:tc>
        <w:tc>
          <w:tcPr>
            <w:tcW w:w="0" w:type="auto"/>
            <w:vAlign w:val="center"/>
          </w:tcPr>
          <w:p>
            <w:pPr>
              <w:pStyle w:val="2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服务站站址北侧</w:t>
            </w:r>
          </w:p>
        </w:tc>
        <w:tc>
          <w:tcPr>
            <w:tcW w:w="0" w:type="auto"/>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124.269125381,45.741426339</w:t>
            </w:r>
          </w:p>
        </w:tc>
        <w:tc>
          <w:tcPr>
            <w:tcW w:w="0" w:type="auto"/>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厂界北侧外1m</w:t>
            </w:r>
          </w:p>
        </w:tc>
        <w:tc>
          <w:tcPr>
            <w:tcW w:w="1334" w:type="dxa"/>
            <w:vMerge w:val="continue"/>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②监测时间及频次</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监测时间：2023年</w:t>
      </w:r>
      <w:r>
        <w:rPr>
          <w:rFonts w:hint="eastAsia" w:cs="Times New Roman"/>
          <w:caps w:val="0"/>
          <w:smallCaps w:val="0"/>
          <w:snapToGrid/>
          <w:color w:val="auto"/>
          <w:spacing w:val="0"/>
          <w:w w:val="100"/>
          <w:kern w:val="0"/>
          <w:sz w:val="24"/>
          <w:szCs w:val="24"/>
          <w:highlight w:val="none"/>
          <w:lang w:val="en-US" w:eastAsia="zh-CN" w:bidi="ar-SA"/>
        </w:rPr>
        <w:t>10</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月</w:t>
      </w:r>
      <w:r>
        <w:rPr>
          <w:rFonts w:hint="eastAsia" w:cs="Times New Roman"/>
          <w:caps w:val="0"/>
          <w:smallCaps w:val="0"/>
          <w:snapToGrid/>
          <w:color w:val="auto"/>
          <w:spacing w:val="0"/>
          <w:w w:val="100"/>
          <w:kern w:val="0"/>
          <w:sz w:val="24"/>
          <w:szCs w:val="24"/>
          <w:highlight w:val="none"/>
          <w:lang w:val="en-US" w:eastAsia="zh-CN" w:bidi="ar-SA"/>
        </w:rPr>
        <w:t>17-18</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日。</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监测频次：连续监测2天，昼夜各1次。</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③监测结果</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声环境现状监测结果见表4.2-1</w:t>
      </w:r>
      <w:r>
        <w:rPr>
          <w:rFonts w:hint="eastAsia" w:eastAsia="宋体" w:cs="Times New Roman"/>
          <w:caps w:val="0"/>
          <w:smallCaps w:val="0"/>
          <w:snapToGrid/>
          <w:color w:val="auto"/>
          <w:spacing w:val="0"/>
          <w:w w:val="100"/>
          <w:kern w:val="0"/>
          <w:sz w:val="24"/>
          <w:szCs w:val="24"/>
          <w:highlight w:val="none"/>
          <w:lang w:val="en-US" w:eastAsia="zh-CN" w:bidi="ar-SA"/>
        </w:rPr>
        <w:t>4</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表4.2-1</w:t>
      </w:r>
      <w:r>
        <w:rPr>
          <w:rFonts w:hint="eastAsia" w:eastAsia="宋体" w:cs="Times New Roman"/>
          <w:b/>
          <w:bCs/>
          <w:caps w:val="0"/>
          <w:smallCaps w:val="0"/>
          <w:snapToGrid/>
          <w:color w:val="auto"/>
          <w:spacing w:val="0"/>
          <w:w w:val="100"/>
          <w:kern w:val="0"/>
          <w:sz w:val="21"/>
          <w:szCs w:val="21"/>
          <w:highlight w:val="none"/>
          <w:lang w:val="en-US" w:eastAsia="zh-CN" w:bidi="ar-SA"/>
        </w:rPr>
        <w:t>4</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噪声监测数据表  单位：dB（A）</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224"/>
        <w:gridCol w:w="1365"/>
        <w:gridCol w:w="1520"/>
        <w:gridCol w:w="1703"/>
        <w:gridCol w:w="170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4" w:type="dxa"/>
            <w:vMerge w:val="restart"/>
            <w:tcBorders>
              <w:tl2br w:val="nil"/>
              <w:tr2bl w:val="nil"/>
            </w:tcBorders>
            <w:noWrap w:val="0"/>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监测点位</w:t>
            </w:r>
          </w:p>
        </w:tc>
        <w:tc>
          <w:tcPr>
            <w:tcW w:w="2885"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昼间</w:t>
            </w:r>
          </w:p>
        </w:tc>
        <w:tc>
          <w:tcPr>
            <w:tcW w:w="3407"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4" w:type="dxa"/>
            <w:vMerge w:val="continue"/>
            <w:tcBorders>
              <w:tl2br w:val="nil"/>
              <w:tr2bl w:val="nil"/>
            </w:tcBorders>
            <w:noWrap w:val="0"/>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6292" w:type="dxa"/>
            <w:gridSpan w:val="4"/>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监测时间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4" w:type="dxa"/>
            <w:vMerge w:val="continue"/>
            <w:tcBorders>
              <w:tl2br w:val="nil"/>
              <w:tr2bl w:val="nil"/>
            </w:tcBorders>
            <w:noWrap w:val="0"/>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136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2023.10.17</w:t>
            </w:r>
          </w:p>
        </w:tc>
        <w:tc>
          <w:tcPr>
            <w:tcW w:w="15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2023.10.18</w:t>
            </w:r>
          </w:p>
        </w:tc>
        <w:tc>
          <w:tcPr>
            <w:tcW w:w="170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2023.10.17</w:t>
            </w:r>
          </w:p>
        </w:tc>
        <w:tc>
          <w:tcPr>
            <w:tcW w:w="170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2023.10.18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4" w:type="dxa"/>
            <w:tcBorders>
              <w:tl2br w:val="nil"/>
              <w:tr2bl w:val="nil"/>
            </w:tcBorders>
            <w:noWrap w:val="0"/>
            <w:vAlign w:val="center"/>
          </w:tcPr>
          <w:p>
            <w:pPr>
              <w:pStyle w:val="20"/>
              <w:ind w:firstLine="0" w:firstLineChars="0"/>
              <w:jc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color w:val="auto"/>
                <w:highlight w:val="none"/>
                <w:lang w:val="en-US" w:eastAsia="zh-CN"/>
              </w:rPr>
              <w:t>新立屯散户</w:t>
            </w:r>
          </w:p>
        </w:tc>
        <w:tc>
          <w:tcPr>
            <w:tcW w:w="1365"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50.3</w:t>
            </w:r>
          </w:p>
        </w:tc>
        <w:tc>
          <w:tcPr>
            <w:tcW w:w="1520"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43.6</w:t>
            </w:r>
          </w:p>
        </w:tc>
        <w:tc>
          <w:tcPr>
            <w:tcW w:w="1703"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49.8</w:t>
            </w:r>
          </w:p>
        </w:tc>
        <w:tc>
          <w:tcPr>
            <w:tcW w:w="1704"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44.1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4" w:type="dxa"/>
            <w:tcBorders>
              <w:tl2br w:val="nil"/>
              <w:tr2bl w:val="nil"/>
            </w:tcBorders>
            <w:noWrap w:val="0"/>
            <w:vAlign w:val="center"/>
          </w:tcPr>
          <w:p>
            <w:pPr>
              <w:pStyle w:val="20"/>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highlight w:val="none"/>
                <w:lang w:val="en-US" w:eastAsia="zh-CN"/>
              </w:rPr>
              <w:t>发展村</w:t>
            </w:r>
          </w:p>
        </w:tc>
        <w:tc>
          <w:tcPr>
            <w:tcW w:w="1365"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50.6</w:t>
            </w:r>
          </w:p>
        </w:tc>
        <w:tc>
          <w:tcPr>
            <w:tcW w:w="1520"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44.2</w:t>
            </w:r>
          </w:p>
        </w:tc>
        <w:tc>
          <w:tcPr>
            <w:tcW w:w="1703"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51.9</w:t>
            </w:r>
          </w:p>
        </w:tc>
        <w:tc>
          <w:tcPr>
            <w:tcW w:w="1704"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43.4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4" w:type="dxa"/>
            <w:tcBorders>
              <w:tl2br w:val="nil"/>
              <w:tr2bl w:val="nil"/>
            </w:tcBorders>
            <w:noWrap w:val="0"/>
            <w:vAlign w:val="center"/>
          </w:tcPr>
          <w:p>
            <w:pPr>
              <w:pStyle w:val="20"/>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highlight w:val="none"/>
                <w:lang w:val="en-US" w:eastAsia="zh-CN"/>
              </w:rPr>
              <w:t>服务站站址东南侧</w:t>
            </w:r>
          </w:p>
        </w:tc>
        <w:tc>
          <w:tcPr>
            <w:tcW w:w="1365"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50.2</w:t>
            </w:r>
          </w:p>
        </w:tc>
        <w:tc>
          <w:tcPr>
            <w:tcW w:w="1520"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43.8</w:t>
            </w:r>
          </w:p>
        </w:tc>
        <w:tc>
          <w:tcPr>
            <w:tcW w:w="1703"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49.9</w:t>
            </w:r>
          </w:p>
        </w:tc>
        <w:tc>
          <w:tcPr>
            <w:tcW w:w="1704"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44.2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4" w:type="dxa"/>
            <w:tcBorders>
              <w:tl2br w:val="nil"/>
              <w:tr2bl w:val="nil"/>
            </w:tcBorders>
            <w:noWrap w:val="0"/>
            <w:vAlign w:val="center"/>
          </w:tcPr>
          <w:p>
            <w:pPr>
              <w:pStyle w:val="20"/>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highlight w:val="none"/>
                <w:lang w:val="en-US" w:eastAsia="zh-CN"/>
              </w:rPr>
              <w:t>服务站站址东北侧</w:t>
            </w:r>
          </w:p>
        </w:tc>
        <w:tc>
          <w:tcPr>
            <w:tcW w:w="1365"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49.5</w:t>
            </w:r>
          </w:p>
        </w:tc>
        <w:tc>
          <w:tcPr>
            <w:tcW w:w="1520"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43.6</w:t>
            </w:r>
          </w:p>
        </w:tc>
        <w:tc>
          <w:tcPr>
            <w:tcW w:w="1703"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50.2</w:t>
            </w:r>
          </w:p>
        </w:tc>
        <w:tc>
          <w:tcPr>
            <w:tcW w:w="1704"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44.3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4" w:type="dxa"/>
            <w:tcBorders>
              <w:tl2br w:val="nil"/>
              <w:tr2bl w:val="nil"/>
            </w:tcBorders>
            <w:noWrap w:val="0"/>
            <w:vAlign w:val="center"/>
          </w:tcPr>
          <w:p>
            <w:pPr>
              <w:pStyle w:val="20"/>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highlight w:val="none"/>
                <w:lang w:val="en-US" w:eastAsia="zh-CN"/>
              </w:rPr>
              <w:t>服务站站址北侧</w:t>
            </w:r>
          </w:p>
        </w:tc>
        <w:tc>
          <w:tcPr>
            <w:tcW w:w="1365"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49.8</w:t>
            </w:r>
          </w:p>
        </w:tc>
        <w:tc>
          <w:tcPr>
            <w:tcW w:w="1520"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44.2</w:t>
            </w:r>
          </w:p>
        </w:tc>
        <w:tc>
          <w:tcPr>
            <w:tcW w:w="1703"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49.6</w:t>
            </w:r>
          </w:p>
        </w:tc>
        <w:tc>
          <w:tcPr>
            <w:tcW w:w="1704" w:type="dxa"/>
            <w:tcBorders>
              <w:tl2br w:val="nil"/>
              <w:tr2bl w:val="nil"/>
            </w:tcBorders>
            <w:noWrap w:val="0"/>
            <w:vAlign w:val="center"/>
          </w:tcPr>
          <w:p>
            <w:pPr>
              <w:snapToGrid w:val="0"/>
              <w:jc w:val="center"/>
              <w:rPr>
                <w:rFonts w:hint="eastAsia" w:ascii="Times New Roman" w:hAnsi="Times New Roman" w:cs="Times New Roman"/>
                <w:color w:val="auto"/>
                <w:kern w:val="0"/>
                <w:sz w:val="21"/>
                <w:szCs w:val="21"/>
                <w:highlight w:val="none"/>
                <w:lang w:val="en-US" w:eastAsia="zh-CN" w:bidi="ar"/>
              </w:rPr>
            </w:pPr>
            <w:r>
              <w:rPr>
                <w:rFonts w:hint="eastAsia" w:eastAsia="宋体"/>
                <w:bCs/>
                <w:color w:val="auto"/>
                <w:szCs w:val="21"/>
                <w:highlight w:val="none"/>
                <w:lang w:val="en-US" w:eastAsia="zh-CN"/>
              </w:rPr>
              <w:t>44.5</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4.2.4.2现状评价</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监测结果显示，拟建</w:t>
      </w:r>
      <w:r>
        <w:rPr>
          <w:rFonts w:hint="eastAsia" w:eastAsia="宋体" w:cs="Times New Roman"/>
          <w:caps w:val="0"/>
          <w:smallCaps w:val="0"/>
          <w:snapToGrid/>
          <w:color w:val="auto"/>
          <w:spacing w:val="0"/>
          <w:w w:val="100"/>
          <w:kern w:val="0"/>
          <w:sz w:val="24"/>
          <w:szCs w:val="24"/>
          <w:highlight w:val="none"/>
          <w:lang w:val="en-US" w:eastAsia="zh-CN" w:bidi="ar-SA"/>
        </w:rPr>
        <w:t>站址厂界</w:t>
      </w:r>
      <w:r>
        <w:rPr>
          <w:rFonts w:hint="eastAsia" w:cs="Times New Roman"/>
          <w:caps w:val="0"/>
          <w:smallCaps w:val="0"/>
          <w:snapToGrid/>
          <w:color w:val="auto"/>
          <w:spacing w:val="0"/>
          <w:w w:val="100"/>
          <w:kern w:val="0"/>
          <w:sz w:val="24"/>
          <w:szCs w:val="24"/>
          <w:highlight w:val="none"/>
          <w:lang w:val="en-US" w:eastAsia="zh-CN" w:bidi="ar-SA"/>
        </w:rPr>
        <w:t>和发展村</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声环境满足《声环境质量标准》（GB3096-2008）2类标准。新立屯散户声环境质量满足《声环境质量标准》（GB3096-2008）1</w:t>
      </w:r>
      <w:r>
        <w:rPr>
          <w:rFonts w:hint="eastAsia" w:cs="Times New Roman"/>
          <w:caps w:val="0"/>
          <w:smallCaps w:val="0"/>
          <w:snapToGrid/>
          <w:color w:val="auto"/>
          <w:spacing w:val="0"/>
          <w:w w:val="100"/>
          <w:kern w:val="0"/>
          <w:sz w:val="24"/>
          <w:szCs w:val="24"/>
          <w:highlight w:val="none"/>
          <w:lang w:val="en-US" w:eastAsia="zh-CN" w:bidi="ar-SA"/>
        </w:rPr>
        <w:t>和2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类标准。</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4.2.5土壤质量现状监测与评价</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4.2.5.1土壤类型</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本项目所在区域地处松嫩平原，根据现场踏勘及资料显示，工程所在土壤类型为草甸土。</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此类土壤是形成草原的主要土壤类型。草甸土主要是在草甸植被下变化而成。因为分布地形较低，地下水较高和气候因素，多数附加有盐化过程，部分附加有潜育化过程。草甸子肥力较高，一般黑土层20~40cm，有机质含量在3~4%，全氮在0.1~0.2%，全磷在0.09~0.12%。土浆粘重，冷浆，耕性不好，通透性差。</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4.2.5.2理化特性调查</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在充分收集资料的基础上，根据土壤环境影响类型</w:t>
      </w:r>
      <w:bookmarkStart w:id="1238" w:name="_GoBack"/>
      <w:bookmarkEnd w:id="1238"/>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、建设项目特征与评价需要，有针对性地选择土壤理化特性调查内容，主要包括土体构型、土壤结构、土壤质地、阳离子交换量、氧化还原电位、饱和导水率、土壤容重、孔隙度等。</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表4.2-16土壤理化性质调查表</w:t>
      </w:r>
    </w:p>
    <w:tbl>
      <w:tblPr>
        <w:tblStyle w:val="15"/>
        <w:tblW w:w="4998" w:type="pct"/>
        <w:tblInd w:w="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62"/>
        <w:gridCol w:w="2258"/>
        <w:gridCol w:w="1431"/>
        <w:gridCol w:w="1243"/>
        <w:gridCol w:w="1201"/>
        <w:gridCol w:w="191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2" w:hRule="atLeast"/>
        </w:trPr>
        <w:tc>
          <w:tcPr>
            <w:tcW w:w="1598"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点号</w:t>
            </w:r>
          </w:p>
        </w:tc>
        <w:tc>
          <w:tcPr>
            <w:tcW w:w="1570"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拟建污油储罐区2#</w:t>
            </w:r>
          </w:p>
        </w:tc>
        <w:tc>
          <w:tcPr>
            <w:tcW w:w="7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时间</w:t>
            </w:r>
          </w:p>
        </w:tc>
        <w:tc>
          <w:tcPr>
            <w:tcW w:w="112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8" w:hRule="atLeast"/>
        </w:trPr>
        <w:tc>
          <w:tcPr>
            <w:tcW w:w="1598"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坐标</w:t>
            </w:r>
          </w:p>
        </w:tc>
        <w:tc>
          <w:tcPr>
            <w:tcW w:w="3401" w:type="pct"/>
            <w:gridSpan w:val="4"/>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lang w:val="en-US" w:eastAsia="zh-CN" w:bidi="ar"/>
              </w:rPr>
              <w:t>124.269309160,45.740378280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8" w:hRule="atLeast"/>
        </w:trPr>
        <w:tc>
          <w:tcPr>
            <w:tcW w:w="1598"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层次</w:t>
            </w:r>
          </w:p>
        </w:tc>
        <w:tc>
          <w:tcPr>
            <w:tcW w:w="84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0-0.5m</w:t>
            </w:r>
          </w:p>
        </w:tc>
        <w:tc>
          <w:tcPr>
            <w:tcW w:w="73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0.5-1.5m</w:t>
            </w:r>
          </w:p>
        </w:tc>
        <w:tc>
          <w:tcPr>
            <w:tcW w:w="70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1.5-3m</w:t>
            </w:r>
          </w:p>
        </w:tc>
        <w:tc>
          <w:tcPr>
            <w:tcW w:w="112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7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现场记录</w:t>
            </w:r>
          </w:p>
        </w:tc>
        <w:tc>
          <w:tcPr>
            <w:tcW w:w="132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颜色</w:t>
            </w:r>
          </w:p>
        </w:tc>
        <w:tc>
          <w:tcPr>
            <w:tcW w:w="8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0-0.5m</w:t>
            </w:r>
          </w:p>
        </w:tc>
        <w:tc>
          <w:tcPr>
            <w:tcW w:w="7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0.5-1.5m</w:t>
            </w:r>
          </w:p>
        </w:tc>
        <w:tc>
          <w:tcPr>
            <w:tcW w:w="7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1.5-3.0m</w:t>
            </w:r>
          </w:p>
        </w:tc>
        <w:tc>
          <w:tcPr>
            <w:tcW w:w="112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72" w:type="pct"/>
            <w:vMerge w:val="continue"/>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32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结构</w:t>
            </w:r>
          </w:p>
        </w:tc>
        <w:tc>
          <w:tcPr>
            <w:tcW w:w="8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黄色</w:t>
            </w:r>
          </w:p>
        </w:tc>
        <w:tc>
          <w:tcPr>
            <w:tcW w:w="7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深黄色</w:t>
            </w:r>
          </w:p>
        </w:tc>
        <w:tc>
          <w:tcPr>
            <w:tcW w:w="7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褐色</w:t>
            </w:r>
          </w:p>
        </w:tc>
        <w:tc>
          <w:tcPr>
            <w:tcW w:w="112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72" w:type="pct"/>
            <w:vMerge w:val="continue"/>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32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质地</w:t>
            </w:r>
          </w:p>
        </w:tc>
        <w:tc>
          <w:tcPr>
            <w:tcW w:w="8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团粒状</w:t>
            </w:r>
          </w:p>
        </w:tc>
        <w:tc>
          <w:tcPr>
            <w:tcW w:w="7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团粒状</w:t>
            </w:r>
          </w:p>
        </w:tc>
        <w:tc>
          <w:tcPr>
            <w:tcW w:w="7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团块状</w:t>
            </w:r>
          </w:p>
        </w:tc>
        <w:tc>
          <w:tcPr>
            <w:tcW w:w="112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72" w:type="pct"/>
            <w:vMerge w:val="continue"/>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32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沙粒含量</w:t>
            </w:r>
          </w:p>
        </w:tc>
        <w:tc>
          <w:tcPr>
            <w:tcW w:w="8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砂土</w:t>
            </w:r>
          </w:p>
        </w:tc>
        <w:tc>
          <w:tcPr>
            <w:tcW w:w="7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砂壤土</w:t>
            </w:r>
          </w:p>
        </w:tc>
        <w:tc>
          <w:tcPr>
            <w:tcW w:w="7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重壤土</w:t>
            </w:r>
          </w:p>
        </w:tc>
        <w:tc>
          <w:tcPr>
            <w:tcW w:w="112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72" w:type="pct"/>
            <w:vMerge w:val="continue"/>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32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其他异物</w:t>
            </w:r>
          </w:p>
        </w:tc>
        <w:tc>
          <w:tcPr>
            <w:tcW w:w="8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高</w:t>
            </w:r>
          </w:p>
        </w:tc>
        <w:tc>
          <w:tcPr>
            <w:tcW w:w="7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高</w:t>
            </w:r>
          </w:p>
        </w:tc>
        <w:tc>
          <w:tcPr>
            <w:tcW w:w="7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低</w:t>
            </w:r>
          </w:p>
        </w:tc>
        <w:tc>
          <w:tcPr>
            <w:tcW w:w="112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7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实验室测定</w:t>
            </w:r>
          </w:p>
        </w:tc>
        <w:tc>
          <w:tcPr>
            <w:tcW w:w="132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pH</w:t>
            </w:r>
          </w:p>
        </w:tc>
        <w:tc>
          <w:tcPr>
            <w:tcW w:w="8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无</w:t>
            </w:r>
          </w:p>
        </w:tc>
        <w:tc>
          <w:tcPr>
            <w:tcW w:w="7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无</w:t>
            </w:r>
          </w:p>
        </w:tc>
        <w:tc>
          <w:tcPr>
            <w:tcW w:w="7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无</w:t>
            </w:r>
          </w:p>
        </w:tc>
        <w:tc>
          <w:tcPr>
            <w:tcW w:w="112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72" w:type="pct"/>
            <w:vMerge w:val="continue"/>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32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阳离子交换量(cmol+/kg)</w:t>
            </w:r>
          </w:p>
        </w:tc>
        <w:tc>
          <w:tcPr>
            <w:tcW w:w="8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8.0</w:t>
            </w:r>
          </w:p>
        </w:tc>
        <w:tc>
          <w:tcPr>
            <w:tcW w:w="7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7.8</w:t>
            </w:r>
          </w:p>
        </w:tc>
        <w:tc>
          <w:tcPr>
            <w:tcW w:w="7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7.9</w:t>
            </w:r>
          </w:p>
        </w:tc>
        <w:tc>
          <w:tcPr>
            <w:tcW w:w="112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72" w:type="pct"/>
            <w:vMerge w:val="continue"/>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32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氧化还原电位（mv）</w:t>
            </w:r>
          </w:p>
        </w:tc>
        <w:tc>
          <w:tcPr>
            <w:tcW w:w="8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18.1</w:t>
            </w:r>
          </w:p>
        </w:tc>
        <w:tc>
          <w:tcPr>
            <w:tcW w:w="7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17.3</w:t>
            </w:r>
          </w:p>
        </w:tc>
        <w:tc>
          <w:tcPr>
            <w:tcW w:w="7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17.8</w:t>
            </w:r>
          </w:p>
        </w:tc>
        <w:tc>
          <w:tcPr>
            <w:tcW w:w="112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72" w:type="pct"/>
            <w:vMerge w:val="continue"/>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32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饱和导水率(cm/s)</w:t>
            </w:r>
          </w:p>
        </w:tc>
        <w:tc>
          <w:tcPr>
            <w:tcW w:w="8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253</w:t>
            </w:r>
          </w:p>
        </w:tc>
        <w:tc>
          <w:tcPr>
            <w:tcW w:w="7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251</w:t>
            </w:r>
          </w:p>
        </w:tc>
        <w:tc>
          <w:tcPr>
            <w:tcW w:w="7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246</w:t>
            </w:r>
          </w:p>
        </w:tc>
        <w:tc>
          <w:tcPr>
            <w:tcW w:w="112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72" w:type="pct"/>
            <w:vMerge w:val="continue"/>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32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土壤容重(kg/cm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w:t>
            </w:r>
          </w:p>
        </w:tc>
        <w:tc>
          <w:tcPr>
            <w:tcW w:w="8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0.12</w:t>
            </w:r>
          </w:p>
        </w:tc>
        <w:tc>
          <w:tcPr>
            <w:tcW w:w="7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0.13</w:t>
            </w:r>
          </w:p>
        </w:tc>
        <w:tc>
          <w:tcPr>
            <w:tcW w:w="7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0.15</w:t>
            </w:r>
          </w:p>
        </w:tc>
        <w:tc>
          <w:tcPr>
            <w:tcW w:w="112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72" w:type="pct"/>
            <w:vMerge w:val="continue"/>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32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孔隙度</w:t>
            </w:r>
          </w:p>
        </w:tc>
        <w:tc>
          <w:tcPr>
            <w:tcW w:w="8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1.32</w:t>
            </w:r>
          </w:p>
        </w:tc>
        <w:tc>
          <w:tcPr>
            <w:tcW w:w="7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1.29</w:t>
            </w:r>
          </w:p>
        </w:tc>
        <w:tc>
          <w:tcPr>
            <w:tcW w:w="7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1.34</w:t>
            </w:r>
          </w:p>
        </w:tc>
        <w:tc>
          <w:tcPr>
            <w:tcW w:w="112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72" w:type="pct"/>
            <w:vMerge w:val="continue"/>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2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lang w:val="en-US" w:eastAsia="zh-CN" w:bidi="ar-SA"/>
              </w:rPr>
              <w:t>干燥度（含水率%）</w:t>
            </w:r>
          </w:p>
        </w:tc>
        <w:tc>
          <w:tcPr>
            <w:tcW w:w="14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36.3</w:t>
            </w:r>
          </w:p>
        </w:tc>
        <w:tc>
          <w:tcPr>
            <w:tcW w:w="124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35.5</w:t>
            </w:r>
          </w:p>
        </w:tc>
        <w:tc>
          <w:tcPr>
            <w:tcW w:w="12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34.2</w:t>
            </w:r>
          </w:p>
        </w:tc>
        <w:tc>
          <w:tcPr>
            <w:tcW w:w="112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4.2.5.3土壤采样及监测</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①监测布点</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根据土壤导则及本项目占地土壤类型、土地利用类型，</w:t>
      </w:r>
      <w:r>
        <w:rPr>
          <w:rFonts w:hint="eastAsia" w:eastAsia="宋体" w:cs="Times New Roman"/>
          <w:caps w:val="0"/>
          <w:smallCaps w:val="0"/>
          <w:snapToGrid/>
          <w:color w:val="auto"/>
          <w:spacing w:val="0"/>
          <w:w w:val="100"/>
          <w:kern w:val="0"/>
          <w:sz w:val="24"/>
          <w:szCs w:val="24"/>
          <w:highlight w:val="none"/>
          <w:lang w:val="en-US" w:eastAsia="zh-CN" w:bidi="ar-SA"/>
        </w:rPr>
        <w:t>本项目土壤监测点位在项目占地内设置3个柱状样，1个表层样；占地外设置</w:t>
      </w:r>
      <w:r>
        <w:rPr>
          <w:rFonts w:hint="eastAsia" w:cs="Times New Roman"/>
          <w:caps w:val="0"/>
          <w:smallCaps w:val="0"/>
          <w:snapToGrid/>
          <w:color w:val="auto"/>
          <w:spacing w:val="0"/>
          <w:w w:val="100"/>
          <w:kern w:val="0"/>
          <w:sz w:val="24"/>
          <w:szCs w:val="24"/>
          <w:highlight w:val="none"/>
          <w:lang w:val="en-US" w:eastAsia="zh-CN" w:bidi="ar-SA"/>
        </w:rPr>
        <w:t>14</w:t>
      </w:r>
      <w:r>
        <w:rPr>
          <w:rFonts w:hint="eastAsia" w:eastAsia="宋体" w:cs="Times New Roman"/>
          <w:caps w:val="0"/>
          <w:smallCaps w:val="0"/>
          <w:snapToGrid/>
          <w:color w:val="auto"/>
          <w:spacing w:val="0"/>
          <w:w w:val="100"/>
          <w:kern w:val="0"/>
          <w:sz w:val="24"/>
          <w:szCs w:val="24"/>
          <w:highlight w:val="none"/>
          <w:lang w:val="en-US" w:eastAsia="zh-CN" w:bidi="ar-SA"/>
        </w:rPr>
        <w:t>个表层样。</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表4.2-17土壤监测点位表</w:t>
      </w:r>
    </w:p>
    <w:tbl>
      <w:tblPr>
        <w:tblStyle w:val="16"/>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81"/>
        <w:gridCol w:w="1860"/>
        <w:gridCol w:w="964"/>
        <w:gridCol w:w="833"/>
        <w:gridCol w:w="777"/>
        <w:gridCol w:w="2059"/>
        <w:gridCol w:w="143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序号</w:t>
            </w:r>
          </w:p>
        </w:tc>
        <w:tc>
          <w:tcPr>
            <w:tcW w:w="109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监测点位</w:t>
            </w:r>
          </w:p>
        </w:tc>
        <w:tc>
          <w:tcPr>
            <w:tcW w:w="56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深度</w:t>
            </w:r>
          </w:p>
        </w:tc>
        <w:tc>
          <w:tcPr>
            <w:tcW w:w="48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取样方式</w:t>
            </w:r>
          </w:p>
        </w:tc>
        <w:tc>
          <w:tcPr>
            <w:tcW w:w="45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备注</w:t>
            </w: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坐标（°）</w:t>
            </w:r>
          </w:p>
        </w:tc>
        <w:tc>
          <w:tcPr>
            <w:tcW w:w="84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位置关系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S1</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拟建储水池区1#</w:t>
            </w:r>
          </w:p>
        </w:tc>
        <w:tc>
          <w:tcPr>
            <w:tcW w:w="566" w:type="pct"/>
            <w:vMerge w:val="restar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both"/>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0~0.5m、0.5~1.5m、1.5~3m</w:t>
            </w:r>
          </w:p>
          <w:p>
            <w:pPr>
              <w:pStyle w:val="10"/>
              <w:jc w:val="both"/>
              <w:rPr>
                <w:rFonts w:hint="eastAsia"/>
                <w:color w:val="auto"/>
                <w:highlight w:val="none"/>
                <w:lang w:val="en-US" w:eastAsia="zh-CN"/>
              </w:rPr>
            </w:pPr>
          </w:p>
        </w:tc>
        <w:tc>
          <w:tcPr>
            <w:tcW w:w="489" w:type="pct"/>
            <w:vMerge w:val="restar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柱状样</w:t>
            </w:r>
          </w:p>
        </w:tc>
        <w:tc>
          <w:tcPr>
            <w:tcW w:w="456" w:type="pct"/>
            <w:vMerge w:val="restar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占地内</w:t>
            </w: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124.267183910,45.739677630</w:t>
            </w:r>
          </w:p>
        </w:tc>
        <w:tc>
          <w:tcPr>
            <w:tcW w:w="844" w:type="pct"/>
            <w:vMerge w:val="restar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eastAsia="宋体" w:cs="Times New Roman"/>
                <w:color w:val="auto"/>
                <w:kern w:val="0"/>
                <w:sz w:val="21"/>
                <w:szCs w:val="21"/>
                <w:highlight w:val="none"/>
                <w:lang w:val="en-US" w:eastAsia="zh-CN" w:bidi="ar"/>
              </w:rPr>
              <w:t>拟建服务站站址内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10" w:hRule="atLeast"/>
        </w:trPr>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S2</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拟建污油储罐区2#</w:t>
            </w:r>
          </w:p>
        </w:tc>
        <w:tc>
          <w:tcPr>
            <w:tcW w:w="56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89"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5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124.269309160,45.740378280</w:t>
            </w:r>
          </w:p>
        </w:tc>
        <w:tc>
          <w:tcPr>
            <w:tcW w:w="844"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S3</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拟建预处理车间区4#</w:t>
            </w:r>
          </w:p>
        </w:tc>
        <w:tc>
          <w:tcPr>
            <w:tcW w:w="56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0~0.2m</w:t>
            </w:r>
          </w:p>
        </w:tc>
        <w:tc>
          <w:tcPr>
            <w:tcW w:w="48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表层样</w:t>
            </w:r>
          </w:p>
        </w:tc>
        <w:tc>
          <w:tcPr>
            <w:tcW w:w="45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124.270139890,45.740748380</w:t>
            </w:r>
          </w:p>
        </w:tc>
        <w:tc>
          <w:tcPr>
            <w:tcW w:w="844"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S4</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站址东侧耕地</w:t>
            </w:r>
          </w:p>
        </w:tc>
        <w:tc>
          <w:tcPr>
            <w:tcW w:w="566" w:type="pct"/>
            <w:vMerge w:val="restar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0~0.2m</w:t>
            </w:r>
          </w:p>
        </w:tc>
        <w:tc>
          <w:tcPr>
            <w:tcW w:w="489" w:type="pct"/>
            <w:vMerge w:val="restar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表层样</w:t>
            </w:r>
          </w:p>
        </w:tc>
        <w:tc>
          <w:tcPr>
            <w:tcW w:w="456" w:type="pct"/>
            <w:vMerge w:val="restar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占地</w:t>
            </w:r>
            <w:r>
              <w:rPr>
                <w:rFonts w:hint="eastAsia" w:cs="Times New Roman"/>
                <w:color w:val="auto"/>
                <w:kern w:val="0"/>
                <w:sz w:val="21"/>
                <w:szCs w:val="21"/>
                <w:highlight w:val="none"/>
                <w:lang w:val="en-US" w:eastAsia="zh-CN" w:bidi="ar"/>
              </w:rPr>
              <w:t>外</w:t>
            </w: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124.270073150,45.739196220</w:t>
            </w:r>
          </w:p>
        </w:tc>
        <w:tc>
          <w:tcPr>
            <w:tcW w:w="84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eastAsia="宋体" w:cs="Times New Roman"/>
                <w:color w:val="auto"/>
                <w:kern w:val="0"/>
                <w:sz w:val="21"/>
                <w:szCs w:val="21"/>
                <w:highlight w:val="none"/>
                <w:lang w:val="en-US" w:eastAsia="zh-CN" w:bidi="ar"/>
              </w:rPr>
              <w:t>服务站站址东侧83m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S5</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新立屯散户西侧旱田内</w:t>
            </w:r>
          </w:p>
        </w:tc>
        <w:tc>
          <w:tcPr>
            <w:tcW w:w="56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89"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5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124.278814790,45.922663080</w:t>
            </w:r>
          </w:p>
        </w:tc>
        <w:tc>
          <w:tcPr>
            <w:tcW w:w="84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输液管道西侧8m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95" w:hRule="atLeast"/>
        </w:trPr>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S6</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管道J47西侧旱田内</w:t>
            </w:r>
          </w:p>
        </w:tc>
        <w:tc>
          <w:tcPr>
            <w:tcW w:w="566" w:type="pct"/>
            <w:vMerge w:val="continue"/>
            <w:tcBorders>
              <w:tl2br w:val="nil"/>
              <w:tr2bl w:val="nil"/>
            </w:tcBorders>
            <w:vAlign w:val="center"/>
          </w:tcPr>
          <w:p>
            <w:pPr>
              <w:pStyle w:val="31"/>
              <w:widowControl w:val="0"/>
              <w:snapToGrid w:val="0"/>
              <w:spacing w:line="240" w:lineRule="auto"/>
              <w:ind w:firstLine="420" w:firstLineChars="200"/>
              <w:rPr>
                <w:rFonts w:hint="eastAsia" w:ascii="Times New Roman" w:hAnsi="Times New Roman" w:eastAsia="宋体" w:cs="Times New Roman"/>
                <w:color w:val="auto"/>
                <w:sz w:val="21"/>
                <w:szCs w:val="21"/>
                <w:highlight w:val="none"/>
                <w:lang w:val="en-US" w:eastAsia="zh-CN"/>
              </w:rPr>
            </w:pPr>
          </w:p>
        </w:tc>
        <w:tc>
          <w:tcPr>
            <w:tcW w:w="489" w:type="pct"/>
            <w:vMerge w:val="continue"/>
            <w:tcBorders>
              <w:tl2br w:val="nil"/>
              <w:tr2bl w:val="nil"/>
            </w:tcBorders>
            <w:vAlign w:val="center"/>
          </w:tcPr>
          <w:p>
            <w:pPr>
              <w:pStyle w:val="31"/>
              <w:widowControl w:val="0"/>
              <w:snapToGrid w:val="0"/>
              <w:spacing w:line="240" w:lineRule="auto"/>
              <w:ind w:firstLine="420" w:firstLineChars="200"/>
              <w:rPr>
                <w:rFonts w:hint="eastAsia" w:ascii="Times New Roman" w:hAnsi="Times New Roman" w:eastAsia="宋体" w:cs="Times New Roman"/>
                <w:color w:val="auto"/>
                <w:sz w:val="21"/>
                <w:szCs w:val="21"/>
                <w:highlight w:val="none"/>
                <w:lang w:val="en-US" w:eastAsia="zh-CN"/>
              </w:rPr>
            </w:pPr>
          </w:p>
        </w:tc>
        <w:tc>
          <w:tcPr>
            <w:tcW w:w="456" w:type="pct"/>
            <w:vMerge w:val="continue"/>
            <w:tcBorders>
              <w:tl2br w:val="nil"/>
              <w:tr2bl w:val="nil"/>
            </w:tcBorders>
            <w:vAlign w:val="center"/>
          </w:tcPr>
          <w:p>
            <w:pPr>
              <w:pStyle w:val="31"/>
              <w:widowControl w:val="0"/>
              <w:snapToGrid w:val="0"/>
              <w:spacing w:line="240" w:lineRule="auto"/>
              <w:ind w:firstLine="420" w:firstLineChars="200"/>
              <w:rPr>
                <w:rFonts w:hint="eastAsia" w:ascii="Times New Roman" w:hAnsi="Times New Roman" w:eastAsia="宋体" w:cs="Times New Roman"/>
                <w:color w:val="auto"/>
                <w:sz w:val="21"/>
                <w:szCs w:val="21"/>
                <w:highlight w:val="none"/>
                <w:lang w:val="en-US" w:eastAsia="zh-CN"/>
              </w:rPr>
            </w:pP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124.271962790,45.914303860</w:t>
            </w:r>
          </w:p>
        </w:tc>
        <w:tc>
          <w:tcPr>
            <w:tcW w:w="84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输液管道西侧</w:t>
            </w:r>
            <w:r>
              <w:rPr>
                <w:rFonts w:hint="eastAsia" w:cs="Times New Roman"/>
                <w:color w:val="auto"/>
                <w:kern w:val="0"/>
                <w:sz w:val="21"/>
                <w:szCs w:val="21"/>
                <w:highlight w:val="none"/>
                <w:lang w:val="en-US" w:eastAsia="zh-CN" w:bidi="ar"/>
              </w:rPr>
              <w:t>5</w:t>
            </w:r>
            <w:r>
              <w:rPr>
                <w:rFonts w:hint="eastAsia" w:eastAsia="宋体" w:cs="Times New Roman"/>
                <w:color w:val="auto"/>
                <w:kern w:val="0"/>
                <w:sz w:val="21"/>
                <w:szCs w:val="21"/>
                <w:highlight w:val="none"/>
                <w:lang w:val="en-US" w:eastAsia="zh-CN" w:bidi="ar"/>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S7</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管道J66西侧底泥</w:t>
            </w:r>
          </w:p>
        </w:tc>
        <w:tc>
          <w:tcPr>
            <w:tcW w:w="566" w:type="pct"/>
            <w:vMerge w:val="continue"/>
            <w:tcBorders>
              <w:tl2br w:val="nil"/>
              <w:tr2bl w:val="nil"/>
            </w:tcBorders>
            <w:vAlign w:val="center"/>
          </w:tcPr>
          <w:p>
            <w:pPr>
              <w:pStyle w:val="31"/>
              <w:widowControl w:val="0"/>
              <w:snapToGrid w:val="0"/>
              <w:spacing w:line="240" w:lineRule="auto"/>
              <w:ind w:firstLine="420" w:firstLineChars="200"/>
              <w:rPr>
                <w:rFonts w:hint="eastAsia" w:ascii="Times New Roman" w:hAnsi="Times New Roman" w:eastAsia="宋体" w:cs="Times New Roman"/>
                <w:color w:val="auto"/>
                <w:sz w:val="21"/>
                <w:szCs w:val="21"/>
                <w:highlight w:val="none"/>
                <w:lang w:val="en-US" w:eastAsia="zh-CN"/>
              </w:rPr>
            </w:pPr>
          </w:p>
        </w:tc>
        <w:tc>
          <w:tcPr>
            <w:tcW w:w="489" w:type="pct"/>
            <w:vMerge w:val="continue"/>
            <w:tcBorders>
              <w:tl2br w:val="nil"/>
              <w:tr2bl w:val="nil"/>
            </w:tcBorders>
            <w:vAlign w:val="center"/>
          </w:tcPr>
          <w:p>
            <w:pPr>
              <w:pStyle w:val="31"/>
              <w:widowControl w:val="0"/>
              <w:snapToGrid w:val="0"/>
              <w:spacing w:line="240" w:lineRule="auto"/>
              <w:ind w:firstLine="420" w:firstLineChars="200"/>
              <w:rPr>
                <w:rFonts w:hint="eastAsia" w:ascii="Times New Roman" w:hAnsi="Times New Roman" w:eastAsia="宋体" w:cs="Times New Roman"/>
                <w:color w:val="auto"/>
                <w:sz w:val="21"/>
                <w:szCs w:val="21"/>
                <w:highlight w:val="none"/>
                <w:lang w:val="en-US" w:eastAsia="zh-CN"/>
              </w:rPr>
            </w:pPr>
          </w:p>
        </w:tc>
        <w:tc>
          <w:tcPr>
            <w:tcW w:w="456" w:type="pct"/>
            <w:vMerge w:val="continue"/>
            <w:tcBorders>
              <w:tl2br w:val="nil"/>
              <w:tr2bl w:val="nil"/>
            </w:tcBorders>
            <w:vAlign w:val="center"/>
          </w:tcPr>
          <w:p>
            <w:pPr>
              <w:pStyle w:val="31"/>
              <w:widowControl w:val="0"/>
              <w:snapToGrid w:val="0"/>
              <w:spacing w:line="240" w:lineRule="auto"/>
              <w:ind w:firstLine="420" w:firstLineChars="200"/>
              <w:rPr>
                <w:rFonts w:hint="eastAsia" w:ascii="Times New Roman" w:hAnsi="Times New Roman" w:eastAsia="宋体" w:cs="Times New Roman"/>
                <w:color w:val="auto"/>
                <w:sz w:val="21"/>
                <w:szCs w:val="21"/>
                <w:highlight w:val="none"/>
                <w:lang w:val="en-US" w:eastAsia="zh-CN"/>
              </w:rPr>
            </w:pP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124.270098050,45.912013060</w:t>
            </w:r>
          </w:p>
        </w:tc>
        <w:tc>
          <w:tcPr>
            <w:tcW w:w="84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输液管道西侧2</w:t>
            </w:r>
            <w:r>
              <w:rPr>
                <w:rFonts w:hint="eastAsia" w:eastAsia="宋体" w:cs="Times New Roman"/>
                <w:color w:val="auto"/>
                <w:kern w:val="0"/>
                <w:sz w:val="21"/>
                <w:szCs w:val="21"/>
                <w:highlight w:val="none"/>
                <w:lang w:val="en-US" w:eastAsia="zh-CN" w:bidi="ar"/>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S8</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olor w:val="auto"/>
                <w:highlight w:val="none"/>
                <w:lang w:val="en-US" w:eastAsia="zh-CN"/>
              </w:rPr>
              <w:t>大五家子屯</w:t>
            </w:r>
            <w:r>
              <w:rPr>
                <w:rFonts w:hint="eastAsia" w:ascii="Times New Roman" w:hAnsi="Times New Roman" w:eastAsia="宋体" w:cs="Times New Roman"/>
                <w:color w:val="auto"/>
                <w:sz w:val="21"/>
                <w:szCs w:val="21"/>
                <w:highlight w:val="none"/>
                <w:vertAlign w:val="baseline"/>
                <w:lang w:val="en-US" w:eastAsia="zh-CN"/>
              </w:rPr>
              <w:t>西北侧旱田内</w:t>
            </w:r>
          </w:p>
        </w:tc>
        <w:tc>
          <w:tcPr>
            <w:tcW w:w="56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89"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5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124.255964840,45.909152960</w:t>
            </w:r>
          </w:p>
        </w:tc>
        <w:tc>
          <w:tcPr>
            <w:tcW w:w="84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输液管道东南侧</w:t>
            </w:r>
            <w:r>
              <w:rPr>
                <w:rFonts w:hint="eastAsia" w:cs="Times New Roman"/>
                <w:color w:val="auto"/>
                <w:kern w:val="0"/>
                <w:sz w:val="21"/>
                <w:szCs w:val="21"/>
                <w:highlight w:val="none"/>
                <w:lang w:val="en-US" w:eastAsia="zh-CN" w:bidi="ar"/>
              </w:rPr>
              <w:t>20</w:t>
            </w:r>
            <w:r>
              <w:rPr>
                <w:rFonts w:hint="eastAsia" w:eastAsia="宋体" w:cs="Times New Roman"/>
                <w:color w:val="auto"/>
                <w:kern w:val="0"/>
                <w:sz w:val="21"/>
                <w:szCs w:val="21"/>
                <w:highlight w:val="none"/>
                <w:lang w:val="en-US" w:eastAsia="zh-CN" w:bidi="ar"/>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S9</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管道J127西侧旱田内</w:t>
            </w:r>
          </w:p>
        </w:tc>
        <w:tc>
          <w:tcPr>
            <w:tcW w:w="56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89"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5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124.245171250,45.899250960</w:t>
            </w:r>
          </w:p>
        </w:tc>
        <w:tc>
          <w:tcPr>
            <w:tcW w:w="84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输液管道西侧31m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S10</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管道J169西侧沟渠内</w:t>
            </w:r>
          </w:p>
        </w:tc>
        <w:tc>
          <w:tcPr>
            <w:tcW w:w="56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89"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5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124.235101420,45.890452500</w:t>
            </w:r>
          </w:p>
        </w:tc>
        <w:tc>
          <w:tcPr>
            <w:tcW w:w="84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输液管道西侧</w:t>
            </w:r>
            <w:r>
              <w:rPr>
                <w:rFonts w:hint="eastAsia" w:cs="Times New Roman"/>
                <w:color w:val="auto"/>
                <w:kern w:val="0"/>
                <w:sz w:val="21"/>
                <w:szCs w:val="21"/>
                <w:highlight w:val="none"/>
                <w:lang w:val="en-US" w:eastAsia="zh-CN" w:bidi="ar"/>
              </w:rPr>
              <w:t>54</w:t>
            </w:r>
            <w:r>
              <w:rPr>
                <w:rFonts w:hint="eastAsia" w:eastAsia="宋体" w:cs="Times New Roman"/>
                <w:color w:val="auto"/>
                <w:kern w:val="0"/>
                <w:sz w:val="21"/>
                <w:szCs w:val="21"/>
                <w:highlight w:val="none"/>
                <w:lang w:val="en-US" w:eastAsia="zh-CN" w:bidi="ar"/>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8" w:hRule="atLeast"/>
        </w:trPr>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S11</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西葫芦代北侧旱田内</w:t>
            </w:r>
          </w:p>
        </w:tc>
        <w:tc>
          <w:tcPr>
            <w:tcW w:w="566" w:type="pct"/>
            <w:vMerge w:val="continue"/>
            <w:tcBorders>
              <w:tl2br w:val="nil"/>
              <w:tr2bl w:val="nil"/>
            </w:tcBorders>
            <w:vAlign w:val="center"/>
          </w:tcPr>
          <w:p>
            <w:pPr>
              <w:pStyle w:val="31"/>
              <w:widowControl w:val="0"/>
              <w:snapToGrid w:val="0"/>
              <w:spacing w:line="240" w:lineRule="auto"/>
              <w:ind w:firstLine="420" w:firstLineChars="200"/>
              <w:rPr>
                <w:rFonts w:hint="eastAsia" w:ascii="Times New Roman" w:hAnsi="Times New Roman" w:eastAsia="宋体" w:cs="Times New Roman"/>
                <w:color w:val="auto"/>
                <w:sz w:val="21"/>
                <w:szCs w:val="21"/>
                <w:highlight w:val="none"/>
                <w:lang w:val="en-US" w:eastAsia="zh-CN"/>
              </w:rPr>
            </w:pPr>
          </w:p>
        </w:tc>
        <w:tc>
          <w:tcPr>
            <w:tcW w:w="489" w:type="pct"/>
            <w:vMerge w:val="continue"/>
            <w:tcBorders>
              <w:tl2br w:val="nil"/>
              <w:tr2bl w:val="nil"/>
            </w:tcBorders>
            <w:vAlign w:val="center"/>
          </w:tcPr>
          <w:p>
            <w:pPr>
              <w:pStyle w:val="31"/>
              <w:widowControl w:val="0"/>
              <w:snapToGrid w:val="0"/>
              <w:spacing w:line="240" w:lineRule="auto"/>
              <w:ind w:firstLine="420" w:firstLineChars="200"/>
              <w:rPr>
                <w:rFonts w:hint="eastAsia" w:ascii="Times New Roman" w:hAnsi="Times New Roman" w:eastAsia="宋体" w:cs="Times New Roman"/>
                <w:color w:val="auto"/>
                <w:sz w:val="21"/>
                <w:szCs w:val="21"/>
                <w:highlight w:val="none"/>
                <w:lang w:val="en-US" w:eastAsia="zh-CN"/>
              </w:rPr>
            </w:pPr>
          </w:p>
        </w:tc>
        <w:tc>
          <w:tcPr>
            <w:tcW w:w="456" w:type="pct"/>
            <w:vMerge w:val="continue"/>
            <w:tcBorders>
              <w:tl2br w:val="nil"/>
              <w:tr2bl w:val="nil"/>
            </w:tcBorders>
            <w:vAlign w:val="center"/>
          </w:tcPr>
          <w:p>
            <w:pPr>
              <w:pStyle w:val="31"/>
              <w:widowControl w:val="0"/>
              <w:snapToGrid w:val="0"/>
              <w:spacing w:line="240" w:lineRule="auto"/>
              <w:ind w:firstLine="420" w:firstLineChars="200"/>
              <w:rPr>
                <w:rFonts w:hint="eastAsia" w:ascii="Times New Roman" w:hAnsi="Times New Roman" w:eastAsia="宋体" w:cs="Times New Roman"/>
                <w:color w:val="auto"/>
                <w:sz w:val="21"/>
                <w:szCs w:val="21"/>
                <w:highlight w:val="none"/>
                <w:lang w:val="en-US" w:eastAsia="zh-CN"/>
              </w:rPr>
            </w:pP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124.221491510,45.877013490</w:t>
            </w:r>
          </w:p>
        </w:tc>
        <w:tc>
          <w:tcPr>
            <w:tcW w:w="84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输液管道东侧</w:t>
            </w:r>
            <w:r>
              <w:rPr>
                <w:rFonts w:hint="eastAsia" w:eastAsia="宋体" w:cs="Times New Roman"/>
                <w:color w:val="auto"/>
                <w:kern w:val="0"/>
                <w:sz w:val="21"/>
                <w:szCs w:val="21"/>
                <w:highlight w:val="none"/>
                <w:lang w:val="en-US" w:eastAsia="zh-CN" w:bidi="ar"/>
              </w:rPr>
              <w:t>14m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trPr>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S12</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管道J237西侧耕旱田内</w:t>
            </w:r>
          </w:p>
        </w:tc>
        <w:tc>
          <w:tcPr>
            <w:tcW w:w="566" w:type="pct"/>
            <w:vMerge w:val="continue"/>
            <w:tcBorders>
              <w:tl2br w:val="nil"/>
              <w:tr2bl w:val="nil"/>
            </w:tcBorders>
            <w:vAlign w:val="center"/>
          </w:tcPr>
          <w:p>
            <w:pPr>
              <w:pStyle w:val="31"/>
              <w:widowControl w:val="0"/>
              <w:snapToGrid w:val="0"/>
              <w:spacing w:line="240" w:lineRule="auto"/>
              <w:ind w:firstLine="420" w:firstLineChars="200"/>
              <w:rPr>
                <w:rFonts w:hint="eastAsia" w:ascii="Times New Roman" w:hAnsi="Times New Roman" w:eastAsia="宋体" w:cs="Times New Roman"/>
                <w:color w:val="auto"/>
                <w:sz w:val="21"/>
                <w:szCs w:val="21"/>
                <w:highlight w:val="none"/>
                <w:lang w:val="en-US" w:eastAsia="zh-CN"/>
              </w:rPr>
            </w:pPr>
          </w:p>
        </w:tc>
        <w:tc>
          <w:tcPr>
            <w:tcW w:w="489" w:type="pct"/>
            <w:vMerge w:val="continue"/>
            <w:tcBorders>
              <w:tl2br w:val="nil"/>
              <w:tr2bl w:val="nil"/>
            </w:tcBorders>
            <w:vAlign w:val="center"/>
          </w:tcPr>
          <w:p>
            <w:pPr>
              <w:pStyle w:val="31"/>
              <w:widowControl w:val="0"/>
              <w:snapToGrid w:val="0"/>
              <w:spacing w:line="240" w:lineRule="auto"/>
              <w:ind w:firstLine="420" w:firstLineChars="200"/>
              <w:rPr>
                <w:rFonts w:hint="eastAsia" w:ascii="Times New Roman" w:hAnsi="Times New Roman" w:eastAsia="宋体" w:cs="Times New Roman"/>
                <w:color w:val="auto"/>
                <w:sz w:val="21"/>
                <w:szCs w:val="21"/>
                <w:highlight w:val="none"/>
                <w:lang w:val="en-US" w:eastAsia="zh-CN"/>
              </w:rPr>
            </w:pPr>
          </w:p>
        </w:tc>
        <w:tc>
          <w:tcPr>
            <w:tcW w:w="456" w:type="pct"/>
            <w:vMerge w:val="continue"/>
            <w:tcBorders>
              <w:tl2br w:val="nil"/>
              <w:tr2bl w:val="nil"/>
            </w:tcBorders>
            <w:vAlign w:val="center"/>
          </w:tcPr>
          <w:p>
            <w:pPr>
              <w:pStyle w:val="31"/>
              <w:widowControl w:val="0"/>
              <w:snapToGrid w:val="0"/>
              <w:spacing w:line="240" w:lineRule="auto"/>
              <w:ind w:firstLine="420" w:firstLineChars="200"/>
              <w:rPr>
                <w:rFonts w:hint="eastAsia" w:ascii="Times New Roman" w:hAnsi="Times New Roman" w:eastAsia="宋体" w:cs="Times New Roman"/>
                <w:color w:val="auto"/>
                <w:sz w:val="21"/>
                <w:szCs w:val="21"/>
                <w:highlight w:val="none"/>
                <w:lang w:val="en-US" w:eastAsia="zh-CN"/>
              </w:rPr>
            </w:pP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124.219721140,45.859084490</w:t>
            </w:r>
          </w:p>
        </w:tc>
        <w:tc>
          <w:tcPr>
            <w:tcW w:w="84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输液管道西侧</w:t>
            </w:r>
            <w:r>
              <w:rPr>
                <w:rFonts w:hint="eastAsia" w:eastAsia="宋体" w:cs="Times New Roman"/>
                <w:color w:val="auto"/>
                <w:kern w:val="0"/>
                <w:sz w:val="21"/>
                <w:szCs w:val="21"/>
                <w:highlight w:val="none"/>
                <w:lang w:val="en-US" w:eastAsia="zh-CN" w:bidi="ar"/>
              </w:rPr>
              <w:t>12m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trPr>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S13</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管道J338东侧旱田内</w:t>
            </w:r>
          </w:p>
        </w:tc>
        <w:tc>
          <w:tcPr>
            <w:tcW w:w="56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89"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5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124.213794100,45.819212550</w:t>
            </w:r>
          </w:p>
        </w:tc>
        <w:tc>
          <w:tcPr>
            <w:tcW w:w="84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输液管道东侧</w:t>
            </w:r>
            <w:r>
              <w:rPr>
                <w:rFonts w:hint="eastAsia" w:eastAsia="宋体" w:cs="Times New Roman"/>
                <w:color w:val="auto"/>
                <w:kern w:val="0"/>
                <w:sz w:val="21"/>
                <w:szCs w:val="21"/>
                <w:highlight w:val="none"/>
                <w:lang w:val="en-US" w:eastAsia="zh-CN" w:bidi="ar"/>
              </w:rPr>
              <w:t>12m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trPr>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S</w:t>
            </w:r>
            <w:r>
              <w:rPr>
                <w:rFonts w:hint="eastAsia" w:cs="Times New Roman"/>
                <w:color w:val="auto"/>
                <w:kern w:val="0"/>
                <w:sz w:val="21"/>
                <w:szCs w:val="21"/>
                <w:highlight w:val="none"/>
                <w:lang w:val="en-US" w:eastAsia="zh-CN" w:bidi="ar"/>
              </w:rPr>
              <w:t>14</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道宝村西侧旱田内</w:t>
            </w:r>
          </w:p>
        </w:tc>
        <w:tc>
          <w:tcPr>
            <w:tcW w:w="56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89"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5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124.212152870,45.797022850</w:t>
            </w:r>
          </w:p>
        </w:tc>
        <w:tc>
          <w:tcPr>
            <w:tcW w:w="84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输液管道西侧</w:t>
            </w:r>
            <w:r>
              <w:rPr>
                <w:rFonts w:hint="eastAsia" w:eastAsia="宋体" w:cs="Times New Roman"/>
                <w:color w:val="auto"/>
                <w:kern w:val="0"/>
                <w:sz w:val="21"/>
                <w:szCs w:val="21"/>
                <w:highlight w:val="none"/>
                <w:lang w:val="en-US" w:eastAsia="zh-CN" w:bidi="ar"/>
              </w:rPr>
              <w:t>16m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S1</w:t>
            </w:r>
            <w:r>
              <w:rPr>
                <w:rFonts w:hint="eastAsia" w:cs="Times New Roman"/>
                <w:color w:val="auto"/>
                <w:kern w:val="0"/>
                <w:sz w:val="21"/>
                <w:szCs w:val="21"/>
                <w:highlight w:val="none"/>
                <w:lang w:val="en-US" w:eastAsia="zh-CN" w:bidi="ar"/>
              </w:rPr>
              <w:t>5</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道宝村林地1#</w:t>
            </w:r>
          </w:p>
        </w:tc>
        <w:tc>
          <w:tcPr>
            <w:tcW w:w="56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89"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5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124.221288230,45.774829550</w:t>
            </w:r>
          </w:p>
        </w:tc>
        <w:tc>
          <w:tcPr>
            <w:tcW w:w="84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输液管道西侧</w:t>
            </w:r>
            <w:r>
              <w:rPr>
                <w:rFonts w:hint="eastAsia" w:eastAsia="宋体" w:cs="Times New Roman"/>
                <w:color w:val="auto"/>
                <w:kern w:val="0"/>
                <w:sz w:val="21"/>
                <w:szCs w:val="21"/>
                <w:highlight w:val="none"/>
                <w:lang w:val="en-US" w:eastAsia="zh-CN" w:bidi="ar"/>
              </w:rPr>
              <w:t>60m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trPr>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S1</w:t>
            </w:r>
            <w:r>
              <w:rPr>
                <w:rFonts w:hint="eastAsia" w:cs="Times New Roman"/>
                <w:color w:val="auto"/>
                <w:kern w:val="0"/>
                <w:sz w:val="21"/>
                <w:szCs w:val="21"/>
                <w:highlight w:val="none"/>
                <w:lang w:val="en-US" w:eastAsia="zh-CN" w:bidi="ar"/>
              </w:rPr>
              <w:t>6</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道宝村林地2#</w:t>
            </w:r>
          </w:p>
        </w:tc>
        <w:tc>
          <w:tcPr>
            <w:tcW w:w="56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89"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5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124.227236860,45.769692510</w:t>
            </w:r>
          </w:p>
        </w:tc>
        <w:tc>
          <w:tcPr>
            <w:tcW w:w="84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输液管道西侧</w:t>
            </w:r>
            <w:r>
              <w:rPr>
                <w:rFonts w:hint="eastAsia" w:eastAsia="宋体" w:cs="Times New Roman"/>
                <w:color w:val="auto"/>
                <w:kern w:val="0"/>
                <w:sz w:val="21"/>
                <w:szCs w:val="21"/>
                <w:highlight w:val="none"/>
                <w:lang w:val="en-US" w:eastAsia="zh-CN" w:bidi="ar"/>
              </w:rPr>
              <w:t>103m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trPr>
        <w:tc>
          <w:tcPr>
            <w:tcW w:w="34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S1</w:t>
            </w:r>
            <w:r>
              <w:rPr>
                <w:rFonts w:hint="eastAsia" w:cs="Times New Roman"/>
                <w:color w:val="auto"/>
                <w:kern w:val="0"/>
                <w:sz w:val="21"/>
                <w:szCs w:val="21"/>
                <w:highlight w:val="none"/>
                <w:lang w:val="en-US" w:eastAsia="zh-CN" w:bidi="ar"/>
              </w:rPr>
              <w:t>7</w:t>
            </w:r>
          </w:p>
        </w:tc>
        <w:tc>
          <w:tcPr>
            <w:tcW w:w="10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发展村北侧旱田内</w:t>
            </w:r>
          </w:p>
        </w:tc>
        <w:tc>
          <w:tcPr>
            <w:tcW w:w="56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89"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5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1209"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124.259751690,45.745377120</w:t>
            </w:r>
          </w:p>
        </w:tc>
        <w:tc>
          <w:tcPr>
            <w:tcW w:w="84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sz w:val="21"/>
                <w:szCs w:val="21"/>
                <w:highlight w:val="none"/>
                <w:lang w:val="en-US" w:eastAsia="zh-CN"/>
              </w:rPr>
              <w:t>输液管道西侧</w:t>
            </w:r>
            <w:r>
              <w:rPr>
                <w:rFonts w:hint="eastAsia" w:eastAsia="宋体" w:cs="Times New Roman"/>
                <w:color w:val="auto"/>
                <w:kern w:val="0"/>
                <w:sz w:val="21"/>
                <w:szCs w:val="21"/>
                <w:highlight w:val="none"/>
                <w:lang w:val="en-US" w:eastAsia="zh-CN" w:bidi="ar"/>
              </w:rPr>
              <w:t>14m</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②监测因子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S1-S</w:t>
      </w:r>
      <w:r>
        <w:rPr>
          <w:rFonts w:hint="eastAsia" w:eastAsia="宋体" w:cs="Times New Roman"/>
          <w:caps w:val="0"/>
          <w:smallCaps w:val="0"/>
          <w:snapToGrid/>
          <w:color w:val="auto"/>
          <w:spacing w:val="0"/>
          <w:w w:val="100"/>
          <w:kern w:val="0"/>
          <w:sz w:val="24"/>
          <w:szCs w:val="24"/>
          <w:highlight w:val="none"/>
          <w:lang w:val="en-US" w:eastAsia="zh-CN" w:bidi="ar-SA"/>
        </w:rPr>
        <w:t>4</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：pH、土壤盐分含量、石油烃（C</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10</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-C</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40</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4-二氯苯、1，2-二氯苯、乙苯、苯乙烯、甲苯、间+对二甲苯、邻二甲苯、硝基苯、苯胺、2-氯酚、苯并〔a〕蒽、苯并〔a〕芘、苯并〔b〕荧蒽、苯并〔k〕荧蒽、䓛、二苯并〔a，h〕蒽、茚并〔1，2，3-cd〕芘、萘；</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S</w:t>
      </w:r>
      <w:r>
        <w:rPr>
          <w:rFonts w:hint="eastAsia" w:eastAsia="宋体" w:cs="Times New Roman"/>
          <w:caps w:val="0"/>
          <w:smallCaps w:val="0"/>
          <w:snapToGrid/>
          <w:color w:val="auto"/>
          <w:spacing w:val="0"/>
          <w:w w:val="100"/>
          <w:kern w:val="0"/>
          <w:sz w:val="24"/>
          <w:szCs w:val="24"/>
          <w:highlight w:val="none"/>
          <w:lang w:val="en-US" w:eastAsia="zh-CN" w:bidi="ar-SA"/>
        </w:rPr>
        <w:t>5</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-S</w:t>
      </w:r>
      <w:r>
        <w:rPr>
          <w:rFonts w:hint="eastAsia" w:cs="Times New Roman"/>
          <w:caps w:val="0"/>
          <w:smallCaps w:val="0"/>
          <w:snapToGrid/>
          <w:color w:val="auto"/>
          <w:spacing w:val="0"/>
          <w:w w:val="100"/>
          <w:kern w:val="0"/>
          <w:sz w:val="24"/>
          <w:szCs w:val="24"/>
          <w:highlight w:val="none"/>
          <w:lang w:val="en-US" w:eastAsia="zh-CN" w:bidi="ar-SA"/>
        </w:rPr>
        <w:t>17</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：pH、镉、汞、砷、铅、铬、铜、镍、锌、石油烃（C</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10</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-C</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40</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③监测频率</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2023年</w:t>
      </w:r>
      <w:r>
        <w:rPr>
          <w:rFonts w:hint="eastAsia" w:cs="Times New Roman"/>
          <w:caps w:val="0"/>
          <w:smallCaps w:val="0"/>
          <w:snapToGrid/>
          <w:color w:val="auto"/>
          <w:spacing w:val="0"/>
          <w:w w:val="100"/>
          <w:kern w:val="0"/>
          <w:sz w:val="24"/>
          <w:szCs w:val="24"/>
          <w:highlight w:val="none"/>
          <w:lang w:val="en-US" w:eastAsia="zh-CN" w:bidi="ar-SA"/>
        </w:rPr>
        <w:t>10</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月</w:t>
      </w:r>
      <w:r>
        <w:rPr>
          <w:rFonts w:hint="eastAsia" w:cs="Times New Roman"/>
          <w:caps w:val="0"/>
          <w:smallCaps w:val="0"/>
          <w:snapToGrid/>
          <w:color w:val="auto"/>
          <w:spacing w:val="0"/>
          <w:w w:val="100"/>
          <w:kern w:val="0"/>
          <w:sz w:val="24"/>
          <w:szCs w:val="24"/>
          <w:highlight w:val="none"/>
          <w:lang w:val="en-US" w:eastAsia="zh-CN" w:bidi="ar-SA"/>
        </w:rPr>
        <w:t>22</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日一次性采样。</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④监测结果</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监测结果见表4.2-18。</w:t>
      </w:r>
    </w:p>
    <w:p>
      <w:pP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br w:type="page"/>
      </w:r>
    </w:p>
    <w:p>
      <w:pPr>
        <w:pStyle w:val="10"/>
        <w:rPr>
          <w:rFonts w:hint="default"/>
          <w:color w:val="auto"/>
          <w:highlight w:val="none"/>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表4.2-18项目占地内土壤现状监测结果</w:t>
      </w:r>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46"/>
        <w:gridCol w:w="1638"/>
        <w:gridCol w:w="960"/>
        <w:gridCol w:w="980"/>
        <w:gridCol w:w="1428"/>
        <w:gridCol w:w="1428"/>
        <w:gridCol w:w="1434"/>
        <w:gridCol w:w="1431"/>
        <w:gridCol w:w="1431"/>
        <w:gridCol w:w="1431"/>
        <w:gridCol w:w="145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序号</w:t>
            </w:r>
          </w:p>
        </w:tc>
        <w:tc>
          <w:tcPr>
            <w:tcW w:w="578"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污染物项目</w:t>
            </w:r>
          </w:p>
        </w:tc>
        <w:tc>
          <w:tcPr>
            <w:tcW w:w="339"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标准值</w:t>
            </w:r>
          </w:p>
        </w:tc>
        <w:tc>
          <w:tcPr>
            <w:tcW w:w="346"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单位</w:t>
            </w:r>
          </w:p>
        </w:tc>
        <w:tc>
          <w:tcPr>
            <w:tcW w:w="3543" w:type="pct"/>
            <w:gridSpan w:val="7"/>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监测结果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3" w:hRule="atLeast"/>
        </w:trPr>
        <w:tc>
          <w:tcPr>
            <w:tcW w:w="193"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578"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339"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34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1514" w:type="pct"/>
            <w:gridSpan w:val="3"/>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拟建储水池区1#</w:t>
            </w:r>
          </w:p>
        </w:tc>
        <w:tc>
          <w:tcPr>
            <w:tcW w:w="1515" w:type="pct"/>
            <w:gridSpan w:val="3"/>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拟建污油储罐区2#</w:t>
            </w:r>
          </w:p>
        </w:tc>
        <w:tc>
          <w:tcPr>
            <w:tcW w:w="513" w:type="pct"/>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拟建预处理车间区4#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578"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339"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34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0-0.5m</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0.5-1.5m</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1.5-3.0m</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0-0.5m</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0.5-1.5m</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1.5-3.0m</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0-0.2m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镉</w:t>
            </w:r>
          </w:p>
        </w:tc>
        <w:tc>
          <w:tcPr>
            <w:tcW w:w="339"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65</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0.26</w:t>
            </w:r>
          </w:p>
        </w:tc>
        <w:tc>
          <w:tcPr>
            <w:tcW w:w="504"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0.22</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0.23</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0.22</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0.24</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0.19</w:t>
            </w:r>
          </w:p>
        </w:tc>
        <w:tc>
          <w:tcPr>
            <w:tcW w:w="513"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砷</w:t>
            </w:r>
          </w:p>
        </w:tc>
        <w:tc>
          <w:tcPr>
            <w:tcW w:w="339"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60</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2.68</w:t>
            </w:r>
          </w:p>
        </w:tc>
        <w:tc>
          <w:tcPr>
            <w:tcW w:w="504"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2.65</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2.60</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2.71</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2.68</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2.73</w:t>
            </w:r>
          </w:p>
        </w:tc>
        <w:tc>
          <w:tcPr>
            <w:tcW w:w="513"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2.25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铅</w:t>
            </w:r>
          </w:p>
        </w:tc>
        <w:tc>
          <w:tcPr>
            <w:tcW w:w="339"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800</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24.5</w:t>
            </w:r>
          </w:p>
        </w:tc>
        <w:tc>
          <w:tcPr>
            <w:tcW w:w="504"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23.8</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23.6</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21.8</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22.3</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21.6</w:t>
            </w:r>
          </w:p>
        </w:tc>
        <w:tc>
          <w:tcPr>
            <w:tcW w:w="513"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22.3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六价铬</w:t>
            </w:r>
          </w:p>
        </w:tc>
        <w:tc>
          <w:tcPr>
            <w:tcW w:w="339"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5.7</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0.5L</w:t>
            </w:r>
          </w:p>
        </w:tc>
        <w:tc>
          <w:tcPr>
            <w:tcW w:w="504"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0.5L</w:t>
            </w:r>
          </w:p>
        </w:tc>
        <w:tc>
          <w:tcPr>
            <w:tcW w:w="505"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0.5L</w:t>
            </w:r>
          </w:p>
        </w:tc>
        <w:tc>
          <w:tcPr>
            <w:tcW w:w="505"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0.5L</w:t>
            </w:r>
          </w:p>
        </w:tc>
        <w:tc>
          <w:tcPr>
            <w:tcW w:w="505"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0.5L</w:t>
            </w:r>
          </w:p>
        </w:tc>
        <w:tc>
          <w:tcPr>
            <w:tcW w:w="505"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0.5L</w:t>
            </w:r>
          </w:p>
        </w:tc>
        <w:tc>
          <w:tcPr>
            <w:tcW w:w="513"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0.5L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5</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铜</w:t>
            </w:r>
          </w:p>
        </w:tc>
        <w:tc>
          <w:tcPr>
            <w:tcW w:w="339"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18000</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36</w:t>
            </w:r>
          </w:p>
        </w:tc>
        <w:tc>
          <w:tcPr>
            <w:tcW w:w="504"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37</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32</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35</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31</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34</w:t>
            </w:r>
          </w:p>
        </w:tc>
        <w:tc>
          <w:tcPr>
            <w:tcW w:w="513"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6</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镍</w:t>
            </w:r>
          </w:p>
        </w:tc>
        <w:tc>
          <w:tcPr>
            <w:tcW w:w="339"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40</w:t>
            </w:r>
          </w:p>
        </w:tc>
        <w:tc>
          <w:tcPr>
            <w:tcW w:w="504"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38</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41</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39</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38</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35</w:t>
            </w:r>
          </w:p>
        </w:tc>
        <w:tc>
          <w:tcPr>
            <w:tcW w:w="513"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7</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szCs w:val="21"/>
                <w:highlight w:val="none"/>
                <w:lang w:eastAsia="zh-CN"/>
              </w:rPr>
              <w:t>石油烃（</w:t>
            </w:r>
            <w:r>
              <w:rPr>
                <w:rFonts w:hint="eastAsia" w:ascii="Times New Roman" w:hAnsi="Times New Roman" w:cs="Times New Roman"/>
                <w:color w:val="auto"/>
                <w:szCs w:val="21"/>
                <w:highlight w:val="none"/>
                <w:lang w:val="en-US" w:eastAsia="zh-CN"/>
              </w:rPr>
              <w:t>C</w:t>
            </w:r>
            <w:r>
              <w:rPr>
                <w:rFonts w:hint="eastAsia" w:ascii="Times New Roman" w:hAnsi="Times New Roman" w:cs="Times New Roman"/>
                <w:color w:val="auto"/>
                <w:szCs w:val="21"/>
                <w:highlight w:val="none"/>
                <w:vertAlign w:val="subscript"/>
                <w:lang w:val="en-US" w:eastAsia="zh-CN"/>
              </w:rPr>
              <w:t>10</w:t>
            </w:r>
            <w:r>
              <w:rPr>
                <w:rFonts w:hint="eastAsia" w:ascii="Times New Roman" w:hAnsi="Times New Roman" w:cs="Times New Roman"/>
                <w:color w:val="auto"/>
                <w:szCs w:val="21"/>
                <w:highlight w:val="none"/>
                <w:lang w:val="en-US" w:eastAsia="zh-CN"/>
              </w:rPr>
              <w:t>-C</w:t>
            </w:r>
            <w:r>
              <w:rPr>
                <w:rFonts w:hint="eastAsia" w:ascii="Times New Roman" w:hAnsi="Times New Roman" w:cs="Times New Roman"/>
                <w:color w:val="auto"/>
                <w:szCs w:val="21"/>
                <w:highlight w:val="none"/>
                <w:vertAlign w:val="subscript"/>
                <w:lang w:val="en-US" w:eastAsia="zh-CN"/>
              </w:rPr>
              <w:t>40</w:t>
            </w:r>
            <w:r>
              <w:rPr>
                <w:rFonts w:hint="eastAsia" w:ascii="Times New Roman" w:hAnsi="Times New Roman" w:cs="Times New Roman"/>
                <w:color w:val="auto"/>
                <w:szCs w:val="21"/>
                <w:highlight w:val="none"/>
                <w:lang w:eastAsia="zh-CN"/>
              </w:rPr>
              <w:t>）</w:t>
            </w:r>
          </w:p>
        </w:tc>
        <w:tc>
          <w:tcPr>
            <w:tcW w:w="339"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4500</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32</w:t>
            </w:r>
          </w:p>
        </w:tc>
        <w:tc>
          <w:tcPr>
            <w:tcW w:w="504"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30</w:t>
            </w:r>
          </w:p>
        </w:tc>
        <w:tc>
          <w:tcPr>
            <w:tcW w:w="505"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29</w:t>
            </w:r>
          </w:p>
        </w:tc>
        <w:tc>
          <w:tcPr>
            <w:tcW w:w="505"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45</w:t>
            </w:r>
          </w:p>
        </w:tc>
        <w:tc>
          <w:tcPr>
            <w:tcW w:w="505"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43</w:t>
            </w:r>
          </w:p>
        </w:tc>
        <w:tc>
          <w:tcPr>
            <w:tcW w:w="505"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42</w:t>
            </w:r>
          </w:p>
        </w:tc>
        <w:tc>
          <w:tcPr>
            <w:tcW w:w="513"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8</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Cs w:val="21"/>
                <w:highlight w:val="none"/>
                <w:lang w:eastAsia="zh-CN"/>
              </w:rPr>
              <w:t>土壤水溶性盐总量</w:t>
            </w:r>
          </w:p>
        </w:tc>
        <w:tc>
          <w:tcPr>
            <w:tcW w:w="339"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autoSpaceDE w:val="0"/>
              <w:autoSpaceDN w:val="0"/>
              <w:adjustRightInd w:val="0"/>
              <w:snapToGrid w:val="0"/>
              <w:spacing w:line="320" w:lineRule="exact"/>
              <w:jc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1.52</w:t>
            </w:r>
          </w:p>
        </w:tc>
        <w:tc>
          <w:tcPr>
            <w:tcW w:w="504"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1.39</w:t>
            </w:r>
          </w:p>
        </w:tc>
        <w:tc>
          <w:tcPr>
            <w:tcW w:w="505"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1.46</w:t>
            </w:r>
          </w:p>
        </w:tc>
        <w:tc>
          <w:tcPr>
            <w:tcW w:w="505"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1.38</w:t>
            </w:r>
          </w:p>
        </w:tc>
        <w:tc>
          <w:tcPr>
            <w:tcW w:w="505"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1.26</w:t>
            </w:r>
          </w:p>
        </w:tc>
        <w:tc>
          <w:tcPr>
            <w:tcW w:w="505"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1.12</w:t>
            </w:r>
          </w:p>
        </w:tc>
        <w:tc>
          <w:tcPr>
            <w:tcW w:w="513"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1.33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9</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szCs w:val="21"/>
                <w:highlight w:val="none"/>
                <w:lang w:val="en-US" w:eastAsia="zh-CN"/>
              </w:rPr>
              <w:t>pH</w:t>
            </w:r>
          </w:p>
        </w:tc>
        <w:tc>
          <w:tcPr>
            <w:tcW w:w="339"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无量纲</w:t>
            </w:r>
          </w:p>
        </w:tc>
        <w:tc>
          <w:tcPr>
            <w:tcW w:w="504"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8.0</w:t>
            </w:r>
          </w:p>
        </w:tc>
        <w:tc>
          <w:tcPr>
            <w:tcW w:w="504"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bCs/>
                <w:color w:val="auto"/>
                <w:sz w:val="21"/>
                <w:szCs w:val="21"/>
                <w:highlight w:val="none"/>
                <w:lang w:val="en-US" w:eastAsia="zh-CN"/>
              </w:rPr>
              <w:t>8.2</w:t>
            </w:r>
          </w:p>
        </w:tc>
        <w:tc>
          <w:tcPr>
            <w:tcW w:w="505"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bCs/>
                <w:color w:val="auto"/>
                <w:sz w:val="21"/>
                <w:szCs w:val="21"/>
                <w:highlight w:val="none"/>
                <w:lang w:val="en-US" w:eastAsia="zh-CN"/>
              </w:rPr>
              <w:t>7.8</w:t>
            </w:r>
          </w:p>
        </w:tc>
        <w:tc>
          <w:tcPr>
            <w:tcW w:w="505"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bCs/>
                <w:color w:val="auto"/>
                <w:sz w:val="21"/>
                <w:szCs w:val="21"/>
                <w:highlight w:val="none"/>
                <w:lang w:val="en-US" w:eastAsia="zh-CN"/>
              </w:rPr>
              <w:t>8.0</w:t>
            </w:r>
          </w:p>
        </w:tc>
        <w:tc>
          <w:tcPr>
            <w:tcW w:w="505"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bCs/>
                <w:color w:val="auto"/>
                <w:sz w:val="21"/>
                <w:szCs w:val="21"/>
                <w:highlight w:val="none"/>
                <w:lang w:val="en-US" w:eastAsia="zh-CN"/>
              </w:rPr>
              <w:t>7.8</w:t>
            </w:r>
          </w:p>
        </w:tc>
        <w:tc>
          <w:tcPr>
            <w:tcW w:w="505"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bCs/>
                <w:color w:val="auto"/>
                <w:sz w:val="21"/>
                <w:szCs w:val="21"/>
                <w:highlight w:val="none"/>
                <w:lang w:val="en-US" w:eastAsia="zh-CN"/>
              </w:rPr>
              <w:t>7.9</w:t>
            </w:r>
          </w:p>
        </w:tc>
        <w:tc>
          <w:tcPr>
            <w:tcW w:w="513"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bCs/>
                <w:color w:val="auto"/>
                <w:sz w:val="21"/>
                <w:szCs w:val="21"/>
                <w:highlight w:val="none"/>
                <w:lang w:val="en-US" w:eastAsia="zh-CN"/>
              </w:rPr>
              <w:t>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10</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汞</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38</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0.051</w:t>
            </w:r>
          </w:p>
        </w:tc>
        <w:tc>
          <w:tcPr>
            <w:tcW w:w="504"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0.047</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0.044</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0.072</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0.065</w:t>
            </w:r>
          </w:p>
        </w:tc>
        <w:tc>
          <w:tcPr>
            <w:tcW w:w="50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0.068</w:t>
            </w:r>
          </w:p>
        </w:tc>
        <w:tc>
          <w:tcPr>
            <w:tcW w:w="513"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0.060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11</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四氯化碳</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2.8</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12</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氯仿</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0.9</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13</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氯甲烷</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37</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14</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1,1-二氯乙烷</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9</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15</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1,2-二氯乙烷</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16</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1,1-二氯乙烯</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66</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17</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顺-1,2-二氯乙烯</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596</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18</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反-1,2-二氯乙烯</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54</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19</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二氯甲烷</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616</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20</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1,2-二氯丙烷</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21</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1,1,1,2-四氯乙烷</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22</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1,1,2,2-四氯乙烷</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6.8</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23</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四氯乙烯</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53</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24</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1,1,1-三氯乙烷</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840</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25</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1,1,2-三氯乙烷</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2.8</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26</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三氯乙烯</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2.8</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27</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1,2,3-三氯丙烷</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0.5</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28</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氯乙烯</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0.43</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29</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苯</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30</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氯苯</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270</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31</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1,2-二氯苯</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560</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32</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1,4-二氯苯</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20</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33</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乙苯</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28</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34</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苯乙烯</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1290</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35</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甲苯</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1200</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36</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间+对二甲苯</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570</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37</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邻二甲苯</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640</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38</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硝基苯</w:t>
            </w:r>
          </w:p>
        </w:tc>
        <w:tc>
          <w:tcPr>
            <w:tcW w:w="339" w:type="pct"/>
            <w:tcBorders>
              <w:tl2br w:val="nil"/>
              <w:tr2bl w:val="nil"/>
            </w:tcBorders>
            <w:vAlign w:val="center"/>
          </w:tcPr>
          <w:p>
            <w:pPr>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76</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39</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苯胺</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260</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40</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2-氯酚</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2256</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41</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苯并[a]蒽</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42</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苯并[a]芘</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43</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苯并[b]荧蒽</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44</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苯并[</w:t>
            </w:r>
            <w:r>
              <w:rPr>
                <w:rFonts w:hint="eastAsia" w:ascii="Times New Roman" w:hAnsi="Times New Roman" w:cs="Times New Roman"/>
                <w:color w:val="auto"/>
                <w:szCs w:val="21"/>
                <w:highlight w:val="none"/>
                <w:lang w:eastAsia="zh-CN"/>
              </w:rPr>
              <w:t>k</w:t>
            </w:r>
            <w:r>
              <w:rPr>
                <w:rFonts w:hint="default" w:ascii="Times New Roman" w:hAnsi="Times New Roman" w:cs="Times New Roman"/>
                <w:color w:val="auto"/>
                <w:szCs w:val="21"/>
                <w:highlight w:val="none"/>
              </w:rPr>
              <w:t>]荧蒽</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151</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45</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䓛</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1293</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46</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both"/>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二苯并[a，h]蒽</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47</w:t>
            </w:r>
          </w:p>
        </w:tc>
        <w:tc>
          <w:tcPr>
            <w:tcW w:w="57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茚苯并[1,2,3-</w:t>
            </w:r>
            <w:r>
              <w:rPr>
                <w:rFonts w:hint="default" w:ascii="Times New Roman" w:hAnsi="Times New Roman" w:cs="Times New Roman"/>
                <w:color w:val="auto"/>
                <w:szCs w:val="21"/>
                <w:highlight w:val="none"/>
                <w:lang w:val="en-US" w:eastAsia="zh-CN"/>
              </w:rPr>
              <w:t>c</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d</w:t>
            </w:r>
            <w:r>
              <w:rPr>
                <w:rFonts w:hint="default" w:ascii="Times New Roman" w:hAnsi="Times New Roman" w:cs="Times New Roman"/>
                <w:color w:val="auto"/>
                <w:szCs w:val="21"/>
                <w:highlight w:val="none"/>
              </w:rPr>
              <w:t>]芘</w:t>
            </w:r>
          </w:p>
        </w:tc>
        <w:tc>
          <w:tcPr>
            <w:tcW w:w="339" w:type="pct"/>
            <w:tcBorders>
              <w:tl2br w:val="nil"/>
              <w:tr2bl w:val="nil"/>
            </w:tcBorders>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w:t>
            </w:r>
          </w:p>
        </w:tc>
        <w:tc>
          <w:tcPr>
            <w:tcW w:w="34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3" w:type="pct"/>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48</w:t>
            </w:r>
          </w:p>
        </w:tc>
        <w:tc>
          <w:tcPr>
            <w:tcW w:w="578" w:type="pct"/>
            <w:vAlign w:val="center"/>
          </w:tcPr>
          <w:p>
            <w:pPr>
              <w:keepNext w:val="0"/>
              <w:keepLines w:val="0"/>
              <w:pageBreakBefore w:val="0"/>
              <w:widowControl w:val="0"/>
              <w:kinsoku/>
              <w:wordWrap/>
              <w:overflowPunct/>
              <w:topLinePunct w:val="0"/>
              <w:bidi w:val="0"/>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萘</w:t>
            </w:r>
          </w:p>
        </w:tc>
        <w:tc>
          <w:tcPr>
            <w:tcW w:w="339" w:type="pct"/>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70</w:t>
            </w:r>
          </w:p>
        </w:tc>
        <w:tc>
          <w:tcPr>
            <w:tcW w:w="346" w:type="pct"/>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04" w:type="pct"/>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4" w:type="pct"/>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05" w:type="pct"/>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c>
          <w:tcPr>
            <w:tcW w:w="513" w:type="pct"/>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未检出</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表4.2-1</w:t>
      </w:r>
      <w:r>
        <w:rPr>
          <w:rFonts w:hint="eastAsia" w:eastAsia="宋体" w:cs="Times New Roman"/>
          <w:b/>
          <w:bCs/>
          <w:caps w:val="0"/>
          <w:smallCaps w:val="0"/>
          <w:snapToGrid/>
          <w:color w:val="auto"/>
          <w:spacing w:val="0"/>
          <w:w w:val="100"/>
          <w:kern w:val="0"/>
          <w:sz w:val="21"/>
          <w:szCs w:val="21"/>
          <w:highlight w:val="none"/>
          <w:lang w:val="en-US" w:eastAsia="zh-CN" w:bidi="ar-SA"/>
        </w:rPr>
        <w:t>9</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项目占地外土壤现状监测结果</w:t>
      </w:r>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28"/>
        <w:gridCol w:w="1367"/>
        <w:gridCol w:w="1164"/>
        <w:gridCol w:w="997"/>
        <w:gridCol w:w="1247"/>
        <w:gridCol w:w="1247"/>
        <w:gridCol w:w="1247"/>
        <w:gridCol w:w="1247"/>
        <w:gridCol w:w="1247"/>
        <w:gridCol w:w="1247"/>
        <w:gridCol w:w="1247"/>
        <w:gridCol w:w="127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序号</w:t>
            </w:r>
          </w:p>
        </w:tc>
        <w:tc>
          <w:tcPr>
            <w:tcW w:w="483"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污染物项目</w:t>
            </w:r>
          </w:p>
        </w:tc>
        <w:tc>
          <w:tcPr>
            <w:tcW w:w="411"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标准值</w:t>
            </w:r>
          </w:p>
        </w:tc>
        <w:tc>
          <w:tcPr>
            <w:tcW w:w="352"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单位</w:t>
            </w:r>
          </w:p>
        </w:tc>
        <w:tc>
          <w:tcPr>
            <w:tcW w:w="3531" w:type="pct"/>
            <w:gridSpan w:val="8"/>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监测结果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83"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11"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352"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站址东侧耕地</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新立屯散户西侧旱田内</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管道</w:t>
            </w:r>
            <w:r>
              <w:rPr>
                <w:rFonts w:hint="default" w:ascii="Times New Roman" w:hAnsi="Times New Roman" w:eastAsia="宋体" w:cs="Times New Roman"/>
                <w:i w:val="0"/>
                <w:iCs w:val="0"/>
                <w:color w:val="auto"/>
                <w:kern w:val="0"/>
                <w:sz w:val="21"/>
                <w:szCs w:val="21"/>
                <w:highlight w:val="none"/>
                <w:u w:val="none"/>
                <w:lang w:val="en-US" w:eastAsia="zh-CN" w:bidi="ar"/>
              </w:rPr>
              <w:t>J47</w:t>
            </w:r>
            <w:r>
              <w:rPr>
                <w:rFonts w:hint="eastAsia" w:ascii="宋体" w:hAnsi="宋体" w:eastAsia="宋体" w:cs="宋体"/>
                <w:i w:val="0"/>
                <w:iCs w:val="0"/>
                <w:color w:val="auto"/>
                <w:kern w:val="0"/>
                <w:sz w:val="21"/>
                <w:szCs w:val="21"/>
                <w:highlight w:val="none"/>
                <w:u w:val="none"/>
                <w:lang w:val="en-US" w:eastAsia="zh-CN" w:bidi="ar"/>
              </w:rPr>
              <w:t>西侧旱田内</w:t>
            </w:r>
          </w:p>
        </w:tc>
        <w:tc>
          <w:tcPr>
            <w:tcW w:w="44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管道</w:t>
            </w:r>
            <w:r>
              <w:rPr>
                <w:rFonts w:hint="default" w:ascii="Times New Roman" w:hAnsi="Times New Roman" w:eastAsia="宋体" w:cs="Times New Roman"/>
                <w:i w:val="0"/>
                <w:iCs w:val="0"/>
                <w:color w:val="auto"/>
                <w:kern w:val="0"/>
                <w:sz w:val="21"/>
                <w:szCs w:val="21"/>
                <w:highlight w:val="none"/>
                <w:u w:val="none"/>
                <w:lang w:val="en-US" w:eastAsia="zh-CN" w:bidi="ar"/>
              </w:rPr>
              <w:t>J66</w:t>
            </w:r>
            <w:r>
              <w:rPr>
                <w:rFonts w:hint="eastAsia" w:ascii="宋体" w:hAnsi="宋体" w:eastAsia="宋体" w:cs="宋体"/>
                <w:i w:val="0"/>
                <w:iCs w:val="0"/>
                <w:color w:val="auto"/>
                <w:kern w:val="0"/>
                <w:sz w:val="21"/>
                <w:szCs w:val="21"/>
                <w:highlight w:val="none"/>
                <w:u w:val="none"/>
                <w:lang w:val="en-US" w:eastAsia="zh-CN" w:bidi="ar"/>
              </w:rPr>
              <w:t>西侧底泥</w:t>
            </w:r>
          </w:p>
        </w:tc>
        <w:tc>
          <w:tcPr>
            <w:tcW w:w="44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河北村西北侧旱田内</w:t>
            </w:r>
          </w:p>
        </w:tc>
        <w:tc>
          <w:tcPr>
            <w:tcW w:w="44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管道</w:t>
            </w:r>
            <w:r>
              <w:rPr>
                <w:rFonts w:hint="default" w:ascii="Times New Roman" w:hAnsi="Times New Roman" w:eastAsia="宋体" w:cs="Times New Roman"/>
                <w:i w:val="0"/>
                <w:iCs w:val="0"/>
                <w:color w:val="auto"/>
                <w:kern w:val="0"/>
                <w:sz w:val="21"/>
                <w:szCs w:val="21"/>
                <w:highlight w:val="none"/>
                <w:u w:val="none"/>
                <w:lang w:val="en-US" w:eastAsia="zh-CN" w:bidi="ar"/>
              </w:rPr>
              <w:t>J127</w:t>
            </w:r>
            <w:r>
              <w:rPr>
                <w:rFonts w:hint="eastAsia" w:ascii="宋体" w:hAnsi="宋体" w:eastAsia="宋体" w:cs="宋体"/>
                <w:i w:val="0"/>
                <w:iCs w:val="0"/>
                <w:color w:val="auto"/>
                <w:kern w:val="0"/>
                <w:sz w:val="21"/>
                <w:szCs w:val="21"/>
                <w:highlight w:val="none"/>
                <w:u w:val="none"/>
                <w:lang w:val="en-US" w:eastAsia="zh-CN" w:bidi="ar"/>
              </w:rPr>
              <w:t>西侧旱田内</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管道</w:t>
            </w:r>
            <w:r>
              <w:rPr>
                <w:rFonts w:hint="default" w:ascii="Times New Roman" w:hAnsi="Times New Roman" w:eastAsia="宋体" w:cs="Times New Roman"/>
                <w:i w:val="0"/>
                <w:iCs w:val="0"/>
                <w:color w:val="auto"/>
                <w:kern w:val="0"/>
                <w:sz w:val="21"/>
                <w:szCs w:val="21"/>
                <w:highlight w:val="none"/>
                <w:u w:val="none"/>
                <w:lang w:val="en-US" w:eastAsia="zh-CN" w:bidi="ar"/>
              </w:rPr>
              <w:t>J169</w:t>
            </w:r>
            <w:r>
              <w:rPr>
                <w:rFonts w:hint="eastAsia" w:ascii="宋体" w:hAnsi="宋体" w:eastAsia="宋体" w:cs="宋体"/>
                <w:i w:val="0"/>
                <w:iCs w:val="0"/>
                <w:color w:val="auto"/>
                <w:kern w:val="0"/>
                <w:sz w:val="21"/>
                <w:szCs w:val="21"/>
                <w:highlight w:val="none"/>
                <w:u w:val="none"/>
                <w:lang w:val="en-US" w:eastAsia="zh-CN" w:bidi="ar"/>
              </w:rPr>
              <w:t>西侧沟渠内</w:t>
            </w:r>
          </w:p>
        </w:tc>
        <w:tc>
          <w:tcPr>
            <w:tcW w:w="45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西葫芦代北侧旱田内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83"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11"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352"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40"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440"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440"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440"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440"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440"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440"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450"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w:t>
            </w:r>
          </w:p>
        </w:tc>
        <w:tc>
          <w:tcPr>
            <w:tcW w:w="483"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镉</w:t>
            </w:r>
          </w:p>
        </w:tc>
        <w:tc>
          <w:tcPr>
            <w:tcW w:w="411"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0.6</w:t>
            </w:r>
          </w:p>
        </w:tc>
        <w:tc>
          <w:tcPr>
            <w:tcW w:w="35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0.16</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0.20</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0.14</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0.17</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0.15</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0.23</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0.19</w:t>
            </w:r>
          </w:p>
        </w:tc>
        <w:tc>
          <w:tcPr>
            <w:tcW w:w="45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w:t>
            </w:r>
          </w:p>
        </w:tc>
        <w:tc>
          <w:tcPr>
            <w:tcW w:w="483"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砷</w:t>
            </w:r>
          </w:p>
        </w:tc>
        <w:tc>
          <w:tcPr>
            <w:tcW w:w="411"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25</w:t>
            </w:r>
          </w:p>
        </w:tc>
        <w:tc>
          <w:tcPr>
            <w:tcW w:w="35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1.62</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1.48</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1.56</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1.81</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1.52</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1.74</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1.62</w:t>
            </w:r>
          </w:p>
        </w:tc>
        <w:tc>
          <w:tcPr>
            <w:tcW w:w="45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1.58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w:t>
            </w:r>
          </w:p>
        </w:tc>
        <w:tc>
          <w:tcPr>
            <w:tcW w:w="483"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铅</w:t>
            </w:r>
          </w:p>
        </w:tc>
        <w:tc>
          <w:tcPr>
            <w:tcW w:w="411"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170</w:t>
            </w:r>
          </w:p>
        </w:tc>
        <w:tc>
          <w:tcPr>
            <w:tcW w:w="35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16.9</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13.4</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15.0</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17.2</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14.5</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16.3</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18.1</w:t>
            </w:r>
          </w:p>
        </w:tc>
        <w:tc>
          <w:tcPr>
            <w:tcW w:w="45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w:t>
            </w:r>
          </w:p>
        </w:tc>
        <w:tc>
          <w:tcPr>
            <w:tcW w:w="483"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铬</w:t>
            </w:r>
          </w:p>
        </w:tc>
        <w:tc>
          <w:tcPr>
            <w:tcW w:w="411"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250</w:t>
            </w:r>
          </w:p>
        </w:tc>
        <w:tc>
          <w:tcPr>
            <w:tcW w:w="35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40</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34</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39</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37</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32</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36</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38</w:t>
            </w:r>
          </w:p>
        </w:tc>
        <w:tc>
          <w:tcPr>
            <w:tcW w:w="45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5</w:t>
            </w:r>
          </w:p>
        </w:tc>
        <w:tc>
          <w:tcPr>
            <w:tcW w:w="483"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铜</w:t>
            </w:r>
          </w:p>
        </w:tc>
        <w:tc>
          <w:tcPr>
            <w:tcW w:w="411"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100</w:t>
            </w:r>
          </w:p>
        </w:tc>
        <w:tc>
          <w:tcPr>
            <w:tcW w:w="35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32</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34</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27</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36</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29</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33</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35</w:t>
            </w:r>
          </w:p>
        </w:tc>
        <w:tc>
          <w:tcPr>
            <w:tcW w:w="45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6</w:t>
            </w:r>
          </w:p>
        </w:tc>
        <w:tc>
          <w:tcPr>
            <w:tcW w:w="483"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镍</w:t>
            </w:r>
          </w:p>
        </w:tc>
        <w:tc>
          <w:tcPr>
            <w:tcW w:w="411"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190</w:t>
            </w:r>
          </w:p>
        </w:tc>
        <w:tc>
          <w:tcPr>
            <w:tcW w:w="35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29</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25</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27</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31</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23</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36</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34</w:t>
            </w:r>
          </w:p>
        </w:tc>
        <w:tc>
          <w:tcPr>
            <w:tcW w:w="45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7</w:t>
            </w:r>
          </w:p>
        </w:tc>
        <w:tc>
          <w:tcPr>
            <w:tcW w:w="483"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szCs w:val="21"/>
                <w:highlight w:val="none"/>
                <w:lang w:val="en-US" w:eastAsia="zh-CN"/>
              </w:rPr>
              <w:t>锌</w:t>
            </w:r>
          </w:p>
        </w:tc>
        <w:tc>
          <w:tcPr>
            <w:tcW w:w="411"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300</w:t>
            </w:r>
          </w:p>
        </w:tc>
        <w:tc>
          <w:tcPr>
            <w:tcW w:w="35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52</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45</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57</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48</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45</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49</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53</w:t>
            </w:r>
          </w:p>
        </w:tc>
        <w:tc>
          <w:tcPr>
            <w:tcW w:w="45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8</w:t>
            </w:r>
          </w:p>
        </w:tc>
        <w:tc>
          <w:tcPr>
            <w:tcW w:w="483"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szCs w:val="21"/>
                <w:highlight w:val="none"/>
                <w:lang w:eastAsia="zh-CN"/>
              </w:rPr>
              <w:t>石油烃</w:t>
            </w:r>
          </w:p>
        </w:tc>
        <w:tc>
          <w:tcPr>
            <w:tcW w:w="411"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bCs/>
                <w:snapToGrid w:val="0"/>
                <w:color w:val="auto"/>
                <w:kern w:val="0"/>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w:t>
            </w:r>
          </w:p>
        </w:tc>
        <w:tc>
          <w:tcPr>
            <w:tcW w:w="35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440" w:type="pct"/>
            <w:tcBorders>
              <w:tl2br w:val="nil"/>
              <w:tr2bl w:val="nil"/>
            </w:tcBorders>
            <w:vAlign w:val="center"/>
          </w:tcPr>
          <w:p>
            <w:pPr>
              <w:autoSpaceDE w:val="0"/>
              <w:autoSpaceDN w:val="0"/>
              <w:adjustRightInd w:val="0"/>
              <w:snapToGrid w:val="0"/>
              <w:spacing w:line="32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40"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w:t>
            </w:r>
          </w:p>
        </w:tc>
        <w:tc>
          <w:tcPr>
            <w:tcW w:w="440"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9</w:t>
            </w:r>
          </w:p>
        </w:tc>
        <w:tc>
          <w:tcPr>
            <w:tcW w:w="440"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13</w:t>
            </w:r>
          </w:p>
        </w:tc>
        <w:tc>
          <w:tcPr>
            <w:tcW w:w="440"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6L</w:t>
            </w:r>
          </w:p>
        </w:tc>
        <w:tc>
          <w:tcPr>
            <w:tcW w:w="440"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w:t>
            </w:r>
          </w:p>
        </w:tc>
        <w:tc>
          <w:tcPr>
            <w:tcW w:w="440"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12</w:t>
            </w:r>
          </w:p>
        </w:tc>
        <w:tc>
          <w:tcPr>
            <w:tcW w:w="450"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9</w:t>
            </w:r>
          </w:p>
        </w:tc>
        <w:tc>
          <w:tcPr>
            <w:tcW w:w="483"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szCs w:val="21"/>
                <w:highlight w:val="none"/>
                <w:lang w:val="en-US" w:eastAsia="zh-CN"/>
              </w:rPr>
              <w:t>pH</w:t>
            </w:r>
          </w:p>
        </w:tc>
        <w:tc>
          <w:tcPr>
            <w:tcW w:w="411"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5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eastAsia" w:ascii="Times New Roman" w:hAnsi="Times New Roman" w:cs="Times New Roman"/>
                <w:color w:val="auto"/>
                <w:szCs w:val="21"/>
                <w:highlight w:val="none"/>
                <w:lang w:val="en-US" w:eastAsia="zh-CN"/>
              </w:rPr>
              <w:t>无量纲</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7.9</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8.1</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8.2</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7.7</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8.3</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7.8</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8.0</w:t>
            </w:r>
          </w:p>
        </w:tc>
        <w:tc>
          <w:tcPr>
            <w:tcW w:w="45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10</w:t>
            </w:r>
          </w:p>
        </w:tc>
        <w:tc>
          <w:tcPr>
            <w:tcW w:w="483"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汞</w:t>
            </w:r>
          </w:p>
        </w:tc>
        <w:tc>
          <w:tcPr>
            <w:tcW w:w="411" w:type="pct"/>
            <w:tcBorders>
              <w:tl2br w:val="nil"/>
              <w:tr2bl w:val="nil"/>
            </w:tcBorders>
            <w:vAlign w:val="center"/>
          </w:tcPr>
          <w:p>
            <w:pPr>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3.4</w:t>
            </w:r>
          </w:p>
        </w:tc>
        <w:tc>
          <w:tcPr>
            <w:tcW w:w="35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0.039</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0.047</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0.038</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0.042</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0.034</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0.048</w:t>
            </w:r>
          </w:p>
        </w:tc>
        <w:tc>
          <w:tcPr>
            <w:tcW w:w="44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0.045</w:t>
            </w:r>
          </w:p>
        </w:tc>
        <w:tc>
          <w:tcPr>
            <w:tcW w:w="450"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0.032</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eastAsia="宋体" w:cs="Times New Roman"/>
          <w:b/>
          <w:bCs/>
          <w:caps w:val="0"/>
          <w:smallCaps w:val="0"/>
          <w:snapToGrid/>
          <w:color w:val="auto"/>
          <w:spacing w:val="0"/>
          <w:w w:val="100"/>
          <w:kern w:val="0"/>
          <w:sz w:val="21"/>
          <w:szCs w:val="21"/>
          <w:highlight w:val="none"/>
          <w:lang w:val="en-US" w:eastAsia="zh-CN" w:bidi="ar-SA"/>
        </w:rPr>
        <w:t>续</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表4.2-1</w:t>
      </w:r>
      <w:r>
        <w:rPr>
          <w:rFonts w:hint="eastAsia" w:eastAsia="宋体" w:cs="Times New Roman"/>
          <w:b/>
          <w:bCs/>
          <w:caps w:val="0"/>
          <w:smallCaps w:val="0"/>
          <w:snapToGrid/>
          <w:color w:val="auto"/>
          <w:spacing w:val="0"/>
          <w:w w:val="100"/>
          <w:kern w:val="0"/>
          <w:sz w:val="21"/>
          <w:szCs w:val="21"/>
          <w:highlight w:val="none"/>
          <w:lang w:val="en-US" w:eastAsia="zh-CN" w:bidi="ar-SA"/>
        </w:rPr>
        <w:t>9</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项目占地外土壤现状监测结果</w:t>
      </w:r>
    </w:p>
    <w:tbl>
      <w:tblPr>
        <w:tblStyle w:val="16"/>
        <w:tblW w:w="4999"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48"/>
        <w:gridCol w:w="1661"/>
        <w:gridCol w:w="1411"/>
        <w:gridCol w:w="1211"/>
        <w:gridCol w:w="1520"/>
        <w:gridCol w:w="1520"/>
        <w:gridCol w:w="1520"/>
        <w:gridCol w:w="1520"/>
        <w:gridCol w:w="1523"/>
        <w:gridCol w:w="153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4"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序号</w:t>
            </w:r>
          </w:p>
        </w:tc>
        <w:tc>
          <w:tcPr>
            <w:tcW w:w="586"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污染物项目</w:t>
            </w:r>
          </w:p>
        </w:tc>
        <w:tc>
          <w:tcPr>
            <w:tcW w:w="498"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标准值</w:t>
            </w:r>
          </w:p>
        </w:tc>
        <w:tc>
          <w:tcPr>
            <w:tcW w:w="427"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单位</w:t>
            </w:r>
          </w:p>
        </w:tc>
        <w:tc>
          <w:tcPr>
            <w:tcW w:w="3223" w:type="pct"/>
            <w:gridSpan w:val="6"/>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监测结果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4"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58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98"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27"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536"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管道</w:t>
            </w:r>
            <w:r>
              <w:rPr>
                <w:rFonts w:hint="default" w:ascii="Times New Roman" w:hAnsi="Times New Roman" w:eastAsia="宋体" w:cs="Times New Roman"/>
                <w:i w:val="0"/>
                <w:iCs w:val="0"/>
                <w:color w:val="auto"/>
                <w:kern w:val="0"/>
                <w:sz w:val="21"/>
                <w:szCs w:val="21"/>
                <w:highlight w:val="none"/>
                <w:u w:val="none"/>
                <w:lang w:val="en-US" w:eastAsia="zh-CN" w:bidi="ar"/>
              </w:rPr>
              <w:t>J237</w:t>
            </w:r>
            <w:r>
              <w:rPr>
                <w:rFonts w:hint="eastAsia" w:ascii="宋体" w:hAnsi="宋体" w:eastAsia="宋体" w:cs="宋体"/>
                <w:i w:val="0"/>
                <w:iCs w:val="0"/>
                <w:color w:val="auto"/>
                <w:kern w:val="0"/>
                <w:sz w:val="21"/>
                <w:szCs w:val="21"/>
                <w:highlight w:val="none"/>
                <w:u w:val="none"/>
                <w:lang w:val="en-US" w:eastAsia="zh-CN" w:bidi="ar"/>
              </w:rPr>
              <w:t>西侧耕旱田内</w:t>
            </w:r>
          </w:p>
        </w:tc>
        <w:tc>
          <w:tcPr>
            <w:tcW w:w="536"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管道</w:t>
            </w:r>
            <w:r>
              <w:rPr>
                <w:rFonts w:hint="default" w:ascii="Times New Roman" w:hAnsi="Times New Roman" w:eastAsia="宋体" w:cs="Times New Roman"/>
                <w:i w:val="0"/>
                <w:iCs w:val="0"/>
                <w:color w:val="auto"/>
                <w:kern w:val="0"/>
                <w:sz w:val="21"/>
                <w:szCs w:val="21"/>
                <w:highlight w:val="none"/>
                <w:u w:val="none"/>
                <w:lang w:val="en-US" w:eastAsia="zh-CN" w:bidi="ar"/>
              </w:rPr>
              <w:t>J338</w:t>
            </w:r>
            <w:r>
              <w:rPr>
                <w:rFonts w:hint="eastAsia" w:ascii="宋体" w:hAnsi="宋体" w:eastAsia="宋体" w:cs="宋体"/>
                <w:i w:val="0"/>
                <w:iCs w:val="0"/>
                <w:color w:val="auto"/>
                <w:kern w:val="0"/>
                <w:sz w:val="21"/>
                <w:szCs w:val="21"/>
                <w:highlight w:val="none"/>
                <w:u w:val="none"/>
                <w:lang w:val="en-US" w:eastAsia="zh-CN" w:bidi="ar"/>
              </w:rPr>
              <w:t>东侧旱田内</w:t>
            </w:r>
          </w:p>
        </w:tc>
        <w:tc>
          <w:tcPr>
            <w:tcW w:w="536"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道宝村西侧旱田内</w:t>
            </w:r>
          </w:p>
        </w:tc>
        <w:tc>
          <w:tcPr>
            <w:tcW w:w="536"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道宝村林地</w:t>
            </w: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537"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道宝村林地</w:t>
            </w: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538"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发展村北侧旱田内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4"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58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98"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27"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53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53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53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53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537"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538"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w:t>
            </w:r>
          </w:p>
        </w:tc>
        <w:tc>
          <w:tcPr>
            <w:tcW w:w="586"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镉</w:t>
            </w:r>
          </w:p>
        </w:tc>
        <w:tc>
          <w:tcPr>
            <w:tcW w:w="498"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0.6</w:t>
            </w:r>
          </w:p>
        </w:tc>
        <w:tc>
          <w:tcPr>
            <w:tcW w:w="427"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0.20</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0.21</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0.14</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0.15</w:t>
            </w:r>
          </w:p>
        </w:tc>
        <w:tc>
          <w:tcPr>
            <w:tcW w:w="537"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0.18</w:t>
            </w:r>
          </w:p>
        </w:tc>
        <w:tc>
          <w:tcPr>
            <w:tcW w:w="538"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w:t>
            </w:r>
          </w:p>
        </w:tc>
        <w:tc>
          <w:tcPr>
            <w:tcW w:w="586"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砷</w:t>
            </w:r>
          </w:p>
        </w:tc>
        <w:tc>
          <w:tcPr>
            <w:tcW w:w="498"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25</w:t>
            </w:r>
          </w:p>
        </w:tc>
        <w:tc>
          <w:tcPr>
            <w:tcW w:w="427"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1.67</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1.54</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1.53</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1.38</w:t>
            </w:r>
          </w:p>
        </w:tc>
        <w:tc>
          <w:tcPr>
            <w:tcW w:w="537"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1.45</w:t>
            </w:r>
          </w:p>
        </w:tc>
        <w:tc>
          <w:tcPr>
            <w:tcW w:w="538"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w:t>
            </w:r>
          </w:p>
        </w:tc>
        <w:tc>
          <w:tcPr>
            <w:tcW w:w="586"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铅</w:t>
            </w:r>
          </w:p>
        </w:tc>
        <w:tc>
          <w:tcPr>
            <w:tcW w:w="498"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170</w:t>
            </w:r>
          </w:p>
        </w:tc>
        <w:tc>
          <w:tcPr>
            <w:tcW w:w="427"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16.7</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16.4</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14.2</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15.7</w:t>
            </w:r>
          </w:p>
        </w:tc>
        <w:tc>
          <w:tcPr>
            <w:tcW w:w="537"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14.8</w:t>
            </w:r>
          </w:p>
        </w:tc>
        <w:tc>
          <w:tcPr>
            <w:tcW w:w="538"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13.9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w:t>
            </w:r>
          </w:p>
        </w:tc>
        <w:tc>
          <w:tcPr>
            <w:tcW w:w="586"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铬</w:t>
            </w:r>
          </w:p>
        </w:tc>
        <w:tc>
          <w:tcPr>
            <w:tcW w:w="498"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250</w:t>
            </w:r>
          </w:p>
        </w:tc>
        <w:tc>
          <w:tcPr>
            <w:tcW w:w="427"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34</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35</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29</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34</w:t>
            </w:r>
          </w:p>
        </w:tc>
        <w:tc>
          <w:tcPr>
            <w:tcW w:w="537"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32</w:t>
            </w:r>
          </w:p>
        </w:tc>
        <w:tc>
          <w:tcPr>
            <w:tcW w:w="538"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5</w:t>
            </w:r>
          </w:p>
        </w:tc>
        <w:tc>
          <w:tcPr>
            <w:tcW w:w="586"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铜</w:t>
            </w:r>
          </w:p>
        </w:tc>
        <w:tc>
          <w:tcPr>
            <w:tcW w:w="498"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100</w:t>
            </w:r>
          </w:p>
        </w:tc>
        <w:tc>
          <w:tcPr>
            <w:tcW w:w="427"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32</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34</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28</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26</w:t>
            </w:r>
          </w:p>
        </w:tc>
        <w:tc>
          <w:tcPr>
            <w:tcW w:w="537"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27</w:t>
            </w:r>
          </w:p>
        </w:tc>
        <w:tc>
          <w:tcPr>
            <w:tcW w:w="538"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6</w:t>
            </w:r>
          </w:p>
        </w:tc>
        <w:tc>
          <w:tcPr>
            <w:tcW w:w="586"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镍</w:t>
            </w:r>
          </w:p>
        </w:tc>
        <w:tc>
          <w:tcPr>
            <w:tcW w:w="498"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190</w:t>
            </w:r>
          </w:p>
        </w:tc>
        <w:tc>
          <w:tcPr>
            <w:tcW w:w="427"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32</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31</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29</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28</w:t>
            </w:r>
          </w:p>
        </w:tc>
        <w:tc>
          <w:tcPr>
            <w:tcW w:w="537"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33</w:t>
            </w:r>
          </w:p>
        </w:tc>
        <w:tc>
          <w:tcPr>
            <w:tcW w:w="538"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7</w:t>
            </w:r>
          </w:p>
        </w:tc>
        <w:tc>
          <w:tcPr>
            <w:tcW w:w="586"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szCs w:val="21"/>
                <w:highlight w:val="none"/>
                <w:lang w:val="en-US" w:eastAsia="zh-CN"/>
              </w:rPr>
              <w:t>锌</w:t>
            </w:r>
          </w:p>
        </w:tc>
        <w:tc>
          <w:tcPr>
            <w:tcW w:w="498"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300</w:t>
            </w:r>
          </w:p>
        </w:tc>
        <w:tc>
          <w:tcPr>
            <w:tcW w:w="427"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40</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51</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46</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37</w:t>
            </w:r>
          </w:p>
        </w:tc>
        <w:tc>
          <w:tcPr>
            <w:tcW w:w="537"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42</w:t>
            </w:r>
          </w:p>
        </w:tc>
        <w:tc>
          <w:tcPr>
            <w:tcW w:w="538"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8</w:t>
            </w:r>
          </w:p>
        </w:tc>
        <w:tc>
          <w:tcPr>
            <w:tcW w:w="586"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szCs w:val="21"/>
                <w:highlight w:val="none"/>
                <w:lang w:eastAsia="zh-CN"/>
              </w:rPr>
              <w:t>石油烃</w:t>
            </w:r>
          </w:p>
        </w:tc>
        <w:tc>
          <w:tcPr>
            <w:tcW w:w="498"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bCs/>
                <w:snapToGrid w:val="0"/>
                <w:color w:val="auto"/>
                <w:kern w:val="0"/>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w:t>
            </w:r>
          </w:p>
        </w:tc>
        <w:tc>
          <w:tcPr>
            <w:tcW w:w="427"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36" w:type="pct"/>
            <w:tcBorders>
              <w:tl2br w:val="nil"/>
              <w:tr2bl w:val="nil"/>
            </w:tcBorders>
            <w:vAlign w:val="center"/>
          </w:tcPr>
          <w:p>
            <w:pPr>
              <w:autoSpaceDE w:val="0"/>
              <w:autoSpaceDN w:val="0"/>
              <w:adjustRightInd w:val="0"/>
              <w:snapToGrid w:val="0"/>
              <w:spacing w:line="32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13</w:t>
            </w:r>
          </w:p>
        </w:tc>
        <w:tc>
          <w:tcPr>
            <w:tcW w:w="536"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11</w:t>
            </w:r>
          </w:p>
        </w:tc>
        <w:tc>
          <w:tcPr>
            <w:tcW w:w="536"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6L</w:t>
            </w:r>
          </w:p>
        </w:tc>
        <w:tc>
          <w:tcPr>
            <w:tcW w:w="536"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6L</w:t>
            </w:r>
          </w:p>
        </w:tc>
        <w:tc>
          <w:tcPr>
            <w:tcW w:w="537"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6L</w:t>
            </w:r>
          </w:p>
        </w:tc>
        <w:tc>
          <w:tcPr>
            <w:tcW w:w="538"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9</w:t>
            </w:r>
          </w:p>
        </w:tc>
        <w:tc>
          <w:tcPr>
            <w:tcW w:w="586"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szCs w:val="21"/>
                <w:highlight w:val="none"/>
                <w:lang w:val="en-US" w:eastAsia="zh-CN"/>
              </w:rPr>
              <w:t>pH</w:t>
            </w:r>
          </w:p>
        </w:tc>
        <w:tc>
          <w:tcPr>
            <w:tcW w:w="498"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27"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eastAsia" w:ascii="Times New Roman" w:hAnsi="Times New Roman" w:cs="Times New Roman"/>
                <w:color w:val="auto"/>
                <w:szCs w:val="21"/>
                <w:highlight w:val="none"/>
                <w:lang w:val="en-US" w:eastAsia="zh-CN"/>
              </w:rPr>
              <w:t>无量纲</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8.2</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8.2</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8.1</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7.9</w:t>
            </w:r>
          </w:p>
        </w:tc>
        <w:tc>
          <w:tcPr>
            <w:tcW w:w="537"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8.0</w:t>
            </w:r>
          </w:p>
        </w:tc>
        <w:tc>
          <w:tcPr>
            <w:tcW w:w="538"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64"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10</w:t>
            </w:r>
          </w:p>
        </w:tc>
        <w:tc>
          <w:tcPr>
            <w:tcW w:w="586"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汞</w:t>
            </w:r>
          </w:p>
        </w:tc>
        <w:tc>
          <w:tcPr>
            <w:tcW w:w="498" w:type="pct"/>
            <w:tcBorders>
              <w:tl2br w:val="nil"/>
              <w:tr2bl w:val="nil"/>
            </w:tcBorders>
            <w:vAlign w:val="center"/>
          </w:tcPr>
          <w:p>
            <w:pPr>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3.4</w:t>
            </w:r>
          </w:p>
        </w:tc>
        <w:tc>
          <w:tcPr>
            <w:tcW w:w="427"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0.036</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0.043</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0.036</w:t>
            </w:r>
          </w:p>
        </w:tc>
        <w:tc>
          <w:tcPr>
            <w:tcW w:w="53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0.033</w:t>
            </w:r>
          </w:p>
        </w:tc>
        <w:tc>
          <w:tcPr>
            <w:tcW w:w="537"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0.035</w:t>
            </w:r>
          </w:p>
        </w:tc>
        <w:tc>
          <w:tcPr>
            <w:tcW w:w="538"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0.031</w:t>
            </w:r>
          </w:p>
        </w:tc>
      </w:tr>
    </w:tbl>
    <w:p>
      <w:pPr>
        <w:rPr>
          <w:rFonts w:hint="default"/>
          <w:color w:val="auto"/>
          <w:highlight w:val="none"/>
          <w:lang w:val="en-US" w:eastAsia="zh-CN"/>
        </w:rPr>
      </w:pPr>
      <w:r>
        <w:rPr>
          <w:rFonts w:hint="default"/>
          <w:color w:val="auto"/>
          <w:highlight w:val="none"/>
          <w:lang w:val="en-US" w:eastAsia="zh-CN"/>
        </w:rPr>
        <w:br w:type="page"/>
      </w:r>
    </w:p>
    <w:p>
      <w:pPr>
        <w:pStyle w:val="11"/>
        <w:ind w:left="0" w:leftChars="0" w:firstLine="0" w:firstLineChars="0"/>
        <w:rPr>
          <w:rFonts w:hint="default"/>
          <w:color w:val="auto"/>
          <w:highlight w:val="none"/>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4.2.5.4土壤现状评价</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①评价方法</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采用指数法进行土壤环境质量现状评价，即通过指数的大小来反映土壤环境受污染的程度，指数小于1即为达标。</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720" w:firstLineChars="3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Ki=Xi/Xoi</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720" w:firstLineChars="3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式中：Ki：第i项分指数；</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440" w:firstLineChars="6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Xi：土壤中i污染物的实测含量mg/kg；</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440" w:firstLineChars="6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Xoi：土壤中i污染物的标准值mg/kg。</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②评价标准</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项目</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占地</w:t>
      </w:r>
      <w:r>
        <w:rPr>
          <w:rFonts w:hint="eastAsia" w:eastAsia="宋体" w:cs="Times New Roman"/>
          <w:caps w:val="0"/>
          <w:smallCaps w:val="0"/>
          <w:snapToGrid/>
          <w:color w:val="auto"/>
          <w:spacing w:val="0"/>
          <w:w w:val="100"/>
          <w:kern w:val="0"/>
          <w:sz w:val="24"/>
          <w:szCs w:val="24"/>
          <w:highlight w:val="none"/>
          <w:lang w:val="en-US" w:eastAsia="zh-CN" w:bidi="ar-SA"/>
        </w:rPr>
        <w:t>内</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土壤质量污染物执行《土壤环境质量建设用地土壤污染风险管控标准（试行）（GB36600-2018）中表1建设用地土壤污染风险管控标准第二类用地标准对各个参数进行评价。占地范围外执行《土壤环境质量农用地土壤污染风险管控标准（试行）（GB15618-2018）表1农用地土壤污染风险筛选值（基本项目）。</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③现状评价结果分析</w:t>
      </w:r>
    </w:p>
    <w:p>
      <w:pPr>
        <w:rPr>
          <w:rFonts w:hint="default"/>
          <w:color w:val="auto"/>
          <w:highlight w:val="none"/>
          <w:lang w:val="en-US" w:eastAsia="zh-CN"/>
        </w:rPr>
      </w:pPr>
      <w:r>
        <w:rPr>
          <w:rFonts w:hint="default"/>
          <w:color w:val="auto"/>
          <w:highlight w:val="none"/>
          <w:lang w:val="en-US" w:eastAsia="zh-CN"/>
        </w:rPr>
        <w:br w:type="page"/>
      </w:r>
    </w:p>
    <w:p>
      <w:pPr>
        <w:pStyle w:val="11"/>
        <w:ind w:left="0" w:leftChars="0" w:firstLine="0" w:firstLineChars="0"/>
        <w:rPr>
          <w:rFonts w:hint="default"/>
          <w:color w:val="auto"/>
          <w:highlight w:val="none"/>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表4.2-</w:t>
      </w:r>
      <w:r>
        <w:rPr>
          <w:rFonts w:hint="eastAsia" w:eastAsia="宋体" w:cs="Times New Roman"/>
          <w:b/>
          <w:bCs/>
          <w:caps w:val="0"/>
          <w:smallCaps w:val="0"/>
          <w:snapToGrid/>
          <w:color w:val="auto"/>
          <w:spacing w:val="0"/>
          <w:w w:val="100"/>
          <w:kern w:val="0"/>
          <w:sz w:val="21"/>
          <w:szCs w:val="21"/>
          <w:highlight w:val="none"/>
          <w:lang w:val="en-US" w:eastAsia="zh-CN" w:bidi="ar-SA"/>
        </w:rPr>
        <w:t>20项目</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占地内土壤环境质量现状指数（Ki）评价结果</w:t>
      </w:r>
    </w:p>
    <w:tbl>
      <w:tblPr>
        <w:tblStyle w:val="16"/>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33"/>
        <w:gridCol w:w="1259"/>
        <w:gridCol w:w="1049"/>
        <w:gridCol w:w="1044"/>
        <w:gridCol w:w="1452"/>
        <w:gridCol w:w="1452"/>
        <w:gridCol w:w="1456"/>
        <w:gridCol w:w="1453"/>
        <w:gridCol w:w="1453"/>
        <w:gridCol w:w="1456"/>
        <w:gridCol w:w="146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序号</w:t>
            </w:r>
          </w:p>
        </w:tc>
        <w:tc>
          <w:tcPr>
            <w:tcW w:w="418"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污染物项目</w:t>
            </w:r>
          </w:p>
        </w:tc>
        <w:tc>
          <w:tcPr>
            <w:tcW w:w="373"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标准值</w:t>
            </w:r>
          </w:p>
        </w:tc>
        <w:tc>
          <w:tcPr>
            <w:tcW w:w="371"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单位</w:t>
            </w:r>
          </w:p>
        </w:tc>
        <w:tc>
          <w:tcPr>
            <w:tcW w:w="3609" w:type="pct"/>
            <w:gridSpan w:val="7"/>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监测结果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18"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373"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371"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1546" w:type="pct"/>
            <w:gridSpan w:val="3"/>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拟建储水池区1#</w:t>
            </w:r>
          </w:p>
        </w:tc>
        <w:tc>
          <w:tcPr>
            <w:tcW w:w="1546" w:type="pct"/>
            <w:gridSpan w:val="3"/>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拟建污油储罐区2#</w:t>
            </w:r>
          </w:p>
        </w:tc>
        <w:tc>
          <w:tcPr>
            <w:tcW w:w="516" w:type="pct"/>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拟建预处理车间区4#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18"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373"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371"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0-0.5m</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0.5-1.5m</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1.5-3.0m</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0-0.5m</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0.5-1.5m</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1.5-3.0m</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0-0.2m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镉</w:t>
            </w:r>
          </w:p>
        </w:tc>
        <w:tc>
          <w:tcPr>
            <w:tcW w:w="373"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65</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0.004</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0.003</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0.004</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0.003</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0.004</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0.003</w:t>
            </w:r>
          </w:p>
        </w:tc>
        <w:tc>
          <w:tcPr>
            <w:tcW w:w="51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砷</w:t>
            </w:r>
          </w:p>
        </w:tc>
        <w:tc>
          <w:tcPr>
            <w:tcW w:w="373"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60</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0.045</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0.044</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0.043</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0.045</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0.0445</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0.046</w:t>
            </w:r>
          </w:p>
        </w:tc>
        <w:tc>
          <w:tcPr>
            <w:tcW w:w="51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铅</w:t>
            </w:r>
          </w:p>
        </w:tc>
        <w:tc>
          <w:tcPr>
            <w:tcW w:w="373"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800</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0.031</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0.030</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0.030</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0.027</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0.028</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0.027</w:t>
            </w:r>
          </w:p>
        </w:tc>
        <w:tc>
          <w:tcPr>
            <w:tcW w:w="51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六价铬</w:t>
            </w:r>
          </w:p>
        </w:tc>
        <w:tc>
          <w:tcPr>
            <w:tcW w:w="373"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5.7</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515"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515"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515"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515"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515"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516"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5</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铜</w:t>
            </w:r>
          </w:p>
        </w:tc>
        <w:tc>
          <w:tcPr>
            <w:tcW w:w="373"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18000</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0.002</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0.002</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0.002</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0.002</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0.002</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0.002</w:t>
            </w:r>
          </w:p>
        </w:tc>
        <w:tc>
          <w:tcPr>
            <w:tcW w:w="51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6</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镍</w:t>
            </w:r>
          </w:p>
        </w:tc>
        <w:tc>
          <w:tcPr>
            <w:tcW w:w="373"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SA"/>
              </w:rPr>
              <w:t>900</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0.044</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0.042</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0.046</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0.043</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0.042</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0.039</w:t>
            </w:r>
          </w:p>
        </w:tc>
        <w:tc>
          <w:tcPr>
            <w:tcW w:w="51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0.039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7</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szCs w:val="21"/>
                <w:highlight w:val="none"/>
                <w:lang w:eastAsia="zh-CN"/>
              </w:rPr>
              <w:t>石油烃（</w:t>
            </w:r>
            <w:r>
              <w:rPr>
                <w:rFonts w:hint="eastAsia" w:ascii="Times New Roman" w:hAnsi="Times New Roman" w:cs="Times New Roman"/>
                <w:color w:val="auto"/>
                <w:szCs w:val="21"/>
                <w:highlight w:val="none"/>
                <w:lang w:val="en-US" w:eastAsia="zh-CN"/>
              </w:rPr>
              <w:t>C</w:t>
            </w:r>
            <w:r>
              <w:rPr>
                <w:rFonts w:hint="eastAsia" w:ascii="Times New Roman" w:hAnsi="Times New Roman" w:cs="Times New Roman"/>
                <w:color w:val="auto"/>
                <w:szCs w:val="21"/>
                <w:highlight w:val="none"/>
                <w:vertAlign w:val="subscript"/>
                <w:lang w:val="en-US" w:eastAsia="zh-CN"/>
              </w:rPr>
              <w:t>10</w:t>
            </w:r>
            <w:r>
              <w:rPr>
                <w:rFonts w:hint="eastAsia" w:ascii="Times New Roman" w:hAnsi="Times New Roman" w:cs="Times New Roman"/>
                <w:color w:val="auto"/>
                <w:szCs w:val="21"/>
                <w:highlight w:val="none"/>
                <w:lang w:val="en-US" w:eastAsia="zh-CN"/>
              </w:rPr>
              <w:t>-C</w:t>
            </w:r>
            <w:r>
              <w:rPr>
                <w:rFonts w:hint="eastAsia" w:ascii="Times New Roman" w:hAnsi="Times New Roman" w:cs="Times New Roman"/>
                <w:color w:val="auto"/>
                <w:szCs w:val="21"/>
                <w:highlight w:val="none"/>
                <w:vertAlign w:val="subscript"/>
                <w:lang w:val="en-US" w:eastAsia="zh-CN"/>
              </w:rPr>
              <w:t>40</w:t>
            </w:r>
            <w:r>
              <w:rPr>
                <w:rFonts w:hint="eastAsia" w:ascii="Times New Roman" w:hAnsi="Times New Roman" w:cs="Times New Roman"/>
                <w:color w:val="auto"/>
                <w:szCs w:val="21"/>
                <w:highlight w:val="none"/>
                <w:lang w:eastAsia="zh-CN"/>
              </w:rPr>
              <w:t>）</w:t>
            </w:r>
          </w:p>
        </w:tc>
        <w:tc>
          <w:tcPr>
            <w:tcW w:w="373"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4500</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0.007</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0.007</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0.0064</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0.010</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0.010</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0.009</w:t>
            </w:r>
          </w:p>
        </w:tc>
        <w:tc>
          <w:tcPr>
            <w:tcW w:w="51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8</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0"/>
                <w:szCs w:val="21"/>
                <w:highlight w:val="none"/>
                <w:lang w:eastAsia="zh-CN"/>
              </w:rPr>
              <w:t>土壤水溶性盐总量</w:t>
            </w:r>
          </w:p>
        </w:tc>
        <w:tc>
          <w:tcPr>
            <w:tcW w:w="373"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9</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szCs w:val="21"/>
                <w:highlight w:val="none"/>
                <w:lang w:val="en-US" w:eastAsia="zh-CN"/>
              </w:rPr>
              <w:t>pH</w:t>
            </w:r>
          </w:p>
        </w:tc>
        <w:tc>
          <w:tcPr>
            <w:tcW w:w="373" w:type="pct"/>
            <w:tcBorders>
              <w:tl2br w:val="nil"/>
              <w:tr2bl w:val="nil"/>
            </w:tcBorders>
            <w:vAlign w:val="center"/>
          </w:tcPr>
          <w:p>
            <w:pPr>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无量纲</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10</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汞</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38</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0.001</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0.001</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0.001</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0.002</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0.002</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0.002</w:t>
            </w:r>
          </w:p>
        </w:tc>
        <w:tc>
          <w:tcPr>
            <w:tcW w:w="51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11</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四氯化碳</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2.8</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515"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516" w:type="pct"/>
            <w:tcBorders>
              <w:tl2br w:val="nil"/>
              <w:tr2bl w:val="nil"/>
            </w:tcBorders>
            <w:vAlign w:val="center"/>
          </w:tcPr>
          <w:p>
            <w:pPr>
              <w:pStyle w:val="12"/>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12</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氯仿</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0.9</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13</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氯甲烷</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37</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14</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1,1-二氯乙烷</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9</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15</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1,2-二氯乙烷</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5</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16</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1,1-二氯乙烯</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66</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17</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顺-1,2-二氯乙烯</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596</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18</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反-1,2-二氯乙烯</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54</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19</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二氯甲烷</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616</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20</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1,2-二氯丙烷</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5</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21</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1,1,1,2-四氯乙烷</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10</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22</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1,1,2,2-四氯乙烷</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olor w:val="auto"/>
                <w:kern w:val="2"/>
                <w:sz w:val="21"/>
                <w:szCs w:val="21"/>
                <w:highlight w:val="none"/>
                <w:lang w:val="en-US" w:eastAsia="zh-CN" w:bidi="ar-SA"/>
              </w:rPr>
              <w:t>6.8</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23</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四氯乙烯</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53</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24</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1,1,1-三氯乙烷</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840</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25</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1,1,2-三氯乙烷</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2.8</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26</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三氯乙烯</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2.8</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27</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1,2,3-三氯丙烷</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0.5</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28</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氯乙烯</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0.43</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29</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苯</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4</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30</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氯苯</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270</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31</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1,2-二氯苯</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560</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32</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1,4-二氯苯</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20</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33</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乙苯</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28</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34</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苯乙烯</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1290</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35</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甲苯</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1200</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36</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间+对二甲苯</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570</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37</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邻二甲苯</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640</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38</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硝基苯</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76</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39</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苯胺</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260</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40</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2-氯酚</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2256</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41</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苯并[a]蒽</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15</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42</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苯并[a]芘</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1.5</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43</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苯并[b]荧蒽</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15</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44</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苯并[</w:t>
            </w:r>
            <w:r>
              <w:rPr>
                <w:rFonts w:hint="eastAsia" w:ascii="Times New Roman" w:hAnsi="Times New Roman" w:cs="Times New Roman"/>
                <w:color w:val="auto"/>
                <w:szCs w:val="21"/>
                <w:highlight w:val="none"/>
                <w:lang w:eastAsia="zh-CN"/>
              </w:rPr>
              <w:t>k</w:t>
            </w:r>
            <w:r>
              <w:rPr>
                <w:rFonts w:hint="default" w:ascii="Times New Roman" w:hAnsi="Times New Roman" w:cs="Times New Roman"/>
                <w:color w:val="auto"/>
                <w:szCs w:val="21"/>
                <w:highlight w:val="none"/>
              </w:rPr>
              <w:t>]荧蒽</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151</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45</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center"/>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䓛</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1293</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46</w:t>
            </w:r>
          </w:p>
        </w:tc>
        <w:tc>
          <w:tcPr>
            <w:tcW w:w="418" w:type="pct"/>
            <w:tcBorders>
              <w:tl2br w:val="nil"/>
              <w:tr2bl w:val="nil"/>
            </w:tcBorders>
            <w:vAlign w:val="center"/>
          </w:tcPr>
          <w:p>
            <w:pPr>
              <w:keepNext w:val="0"/>
              <w:keepLines w:val="0"/>
              <w:pageBreakBefore w:val="0"/>
              <w:widowControl w:val="0"/>
              <w:kinsoku/>
              <w:wordWrap/>
              <w:overflowPunct/>
              <w:topLinePunct w:val="0"/>
              <w:bidi w:val="0"/>
              <w:spacing w:line="240" w:lineRule="auto"/>
              <w:jc w:val="both"/>
              <w:textAlignment w:val="auto"/>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Cs w:val="21"/>
                <w:highlight w:val="none"/>
              </w:rPr>
              <w:t>二苯并[a，h]蒽</w:t>
            </w:r>
          </w:p>
        </w:tc>
        <w:tc>
          <w:tcPr>
            <w:tcW w:w="373" w:type="pct"/>
            <w:tcBorders>
              <w:tl2br w:val="nil"/>
              <w:tr2bl w:val="nil"/>
            </w:tcBorders>
            <w:vAlign w:val="center"/>
          </w:tcPr>
          <w:p>
            <w:pPr>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1.5</w:t>
            </w:r>
          </w:p>
        </w:tc>
        <w:tc>
          <w:tcPr>
            <w:tcW w:w="371"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mg/</w:t>
            </w:r>
            <w:r>
              <w:rPr>
                <w:rFonts w:hint="eastAsia" w:ascii="Times New Roman" w:hAnsi="Times New Roman" w:cs="Times New Roman"/>
                <w:color w:val="auto"/>
                <w:kern w:val="0"/>
                <w:sz w:val="21"/>
                <w:szCs w:val="21"/>
                <w:highlight w:val="none"/>
                <w:lang w:val="en-US" w:eastAsia="zh-CN" w:bidi="ar"/>
              </w:rPr>
              <w:t>k</w:t>
            </w:r>
            <w:r>
              <w:rPr>
                <w:rFonts w:hint="default" w:ascii="Times New Roman" w:hAnsi="Times New Roman" w:cs="Times New Roman"/>
                <w:color w:val="auto"/>
                <w:kern w:val="0"/>
                <w:sz w:val="21"/>
                <w:szCs w:val="21"/>
                <w:highlight w:val="none"/>
                <w:lang w:val="en-US" w:eastAsia="zh-CN" w:bidi="ar"/>
              </w:rPr>
              <w:t>g</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47</w:t>
            </w:r>
          </w:p>
        </w:tc>
        <w:tc>
          <w:tcPr>
            <w:tcW w:w="41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Style w:val="32"/>
                <w:color w:val="auto"/>
                <w:highlight w:val="none"/>
                <w:lang w:val="en-US" w:eastAsia="zh-CN" w:bidi="ar"/>
              </w:rPr>
              <w:t>茚苯并</w:t>
            </w:r>
            <w:r>
              <w:rPr>
                <w:rFonts w:hint="default" w:ascii="Times New Roman" w:hAnsi="Times New Roman" w:eastAsia="宋体" w:cs="Times New Roman"/>
                <w:i w:val="0"/>
                <w:iCs w:val="0"/>
                <w:color w:val="auto"/>
                <w:kern w:val="0"/>
                <w:sz w:val="21"/>
                <w:szCs w:val="21"/>
                <w:highlight w:val="none"/>
                <w:u w:val="none"/>
                <w:lang w:val="en-US" w:eastAsia="zh-CN" w:bidi="ar"/>
              </w:rPr>
              <w:t>[1,2,3-c</w:t>
            </w:r>
            <w:r>
              <w:rPr>
                <w:rStyle w:val="32"/>
                <w:color w:val="auto"/>
                <w:highlight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d]</w:t>
            </w:r>
            <w:r>
              <w:rPr>
                <w:rStyle w:val="32"/>
                <w:color w:val="auto"/>
                <w:highlight w:val="none"/>
                <w:lang w:val="en-US" w:eastAsia="zh-CN" w:bidi="ar"/>
              </w:rPr>
              <w:t>芘</w:t>
            </w:r>
          </w:p>
        </w:tc>
        <w:tc>
          <w:tcPr>
            <w:tcW w:w="373"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371"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47</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6"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41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Style w:val="32"/>
                <w:color w:val="auto"/>
                <w:highlight w:val="none"/>
                <w:lang w:val="en-US" w:eastAsia="zh-CN" w:bidi="ar"/>
              </w:rPr>
              <w:t>萘</w:t>
            </w:r>
          </w:p>
        </w:tc>
        <w:tc>
          <w:tcPr>
            <w:tcW w:w="373"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371"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516"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表4.2-</w:t>
      </w:r>
      <w:r>
        <w:rPr>
          <w:rFonts w:hint="eastAsia" w:eastAsia="宋体" w:cs="Times New Roman"/>
          <w:b/>
          <w:bCs/>
          <w:caps w:val="0"/>
          <w:smallCaps w:val="0"/>
          <w:snapToGrid/>
          <w:color w:val="auto"/>
          <w:spacing w:val="0"/>
          <w:w w:val="100"/>
          <w:kern w:val="0"/>
          <w:sz w:val="21"/>
          <w:szCs w:val="21"/>
          <w:highlight w:val="none"/>
          <w:lang w:val="en-US" w:eastAsia="zh-CN" w:bidi="ar-SA"/>
        </w:rPr>
        <w:t>21</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占地</w:t>
      </w:r>
      <w:r>
        <w:rPr>
          <w:rFonts w:hint="eastAsia" w:eastAsia="宋体" w:cs="Times New Roman"/>
          <w:b/>
          <w:bCs/>
          <w:caps w:val="0"/>
          <w:smallCaps w:val="0"/>
          <w:snapToGrid/>
          <w:color w:val="auto"/>
          <w:spacing w:val="0"/>
          <w:w w:val="100"/>
          <w:kern w:val="0"/>
          <w:sz w:val="21"/>
          <w:szCs w:val="21"/>
          <w:highlight w:val="none"/>
          <w:lang w:val="en-US" w:eastAsia="zh-CN" w:bidi="ar-SA"/>
        </w:rPr>
        <w:t>外</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土壤环境质量现状指数（Ki）评价结果</w:t>
      </w:r>
    </w:p>
    <w:tbl>
      <w:tblPr>
        <w:tblStyle w:val="16"/>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29"/>
        <w:gridCol w:w="1369"/>
        <w:gridCol w:w="1165"/>
        <w:gridCol w:w="998"/>
        <w:gridCol w:w="1247"/>
        <w:gridCol w:w="1247"/>
        <w:gridCol w:w="1247"/>
        <w:gridCol w:w="1247"/>
        <w:gridCol w:w="1247"/>
        <w:gridCol w:w="1247"/>
        <w:gridCol w:w="1247"/>
        <w:gridCol w:w="127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序号</w:t>
            </w:r>
          </w:p>
        </w:tc>
        <w:tc>
          <w:tcPr>
            <w:tcW w:w="483"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污染物项目</w:t>
            </w:r>
          </w:p>
        </w:tc>
        <w:tc>
          <w:tcPr>
            <w:tcW w:w="411"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标准值</w:t>
            </w:r>
          </w:p>
        </w:tc>
        <w:tc>
          <w:tcPr>
            <w:tcW w:w="352"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单位</w:t>
            </w:r>
          </w:p>
        </w:tc>
        <w:tc>
          <w:tcPr>
            <w:tcW w:w="3530" w:type="pct"/>
            <w:gridSpan w:val="8"/>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监测结果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83"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11"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352"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站址东侧耕地</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新立屯散户西侧旱田内</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管道</w:t>
            </w:r>
            <w:r>
              <w:rPr>
                <w:rFonts w:hint="default" w:ascii="Times New Roman" w:hAnsi="Times New Roman" w:eastAsia="宋体" w:cs="Times New Roman"/>
                <w:i w:val="0"/>
                <w:iCs w:val="0"/>
                <w:color w:val="auto"/>
                <w:kern w:val="0"/>
                <w:sz w:val="21"/>
                <w:szCs w:val="21"/>
                <w:highlight w:val="none"/>
                <w:u w:val="none"/>
                <w:lang w:val="en-US" w:eastAsia="zh-CN" w:bidi="ar"/>
              </w:rPr>
              <w:t>J47</w:t>
            </w:r>
            <w:r>
              <w:rPr>
                <w:rFonts w:hint="eastAsia" w:ascii="宋体" w:hAnsi="宋体" w:eastAsia="宋体" w:cs="宋体"/>
                <w:i w:val="0"/>
                <w:iCs w:val="0"/>
                <w:color w:val="auto"/>
                <w:kern w:val="0"/>
                <w:sz w:val="21"/>
                <w:szCs w:val="21"/>
                <w:highlight w:val="none"/>
                <w:u w:val="none"/>
                <w:lang w:val="en-US" w:eastAsia="zh-CN" w:bidi="ar"/>
              </w:rPr>
              <w:t>西侧旱田内</w:t>
            </w:r>
          </w:p>
        </w:tc>
        <w:tc>
          <w:tcPr>
            <w:tcW w:w="44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管道</w:t>
            </w:r>
            <w:r>
              <w:rPr>
                <w:rFonts w:hint="default" w:ascii="Times New Roman" w:hAnsi="Times New Roman" w:eastAsia="宋体" w:cs="Times New Roman"/>
                <w:i w:val="0"/>
                <w:iCs w:val="0"/>
                <w:color w:val="auto"/>
                <w:kern w:val="0"/>
                <w:sz w:val="21"/>
                <w:szCs w:val="21"/>
                <w:highlight w:val="none"/>
                <w:u w:val="none"/>
                <w:lang w:val="en-US" w:eastAsia="zh-CN" w:bidi="ar"/>
              </w:rPr>
              <w:t>J66</w:t>
            </w:r>
            <w:r>
              <w:rPr>
                <w:rFonts w:hint="eastAsia" w:ascii="宋体" w:hAnsi="宋体" w:eastAsia="宋体" w:cs="宋体"/>
                <w:i w:val="0"/>
                <w:iCs w:val="0"/>
                <w:color w:val="auto"/>
                <w:kern w:val="0"/>
                <w:sz w:val="21"/>
                <w:szCs w:val="21"/>
                <w:highlight w:val="none"/>
                <w:u w:val="none"/>
                <w:lang w:val="en-US" w:eastAsia="zh-CN" w:bidi="ar"/>
              </w:rPr>
              <w:t>西侧底泥</w:t>
            </w:r>
          </w:p>
        </w:tc>
        <w:tc>
          <w:tcPr>
            <w:tcW w:w="44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河北村西北侧旱田内</w:t>
            </w:r>
          </w:p>
        </w:tc>
        <w:tc>
          <w:tcPr>
            <w:tcW w:w="44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管道</w:t>
            </w:r>
            <w:r>
              <w:rPr>
                <w:rFonts w:hint="default" w:ascii="Times New Roman" w:hAnsi="Times New Roman" w:eastAsia="宋体" w:cs="Times New Roman"/>
                <w:i w:val="0"/>
                <w:iCs w:val="0"/>
                <w:color w:val="auto"/>
                <w:kern w:val="0"/>
                <w:sz w:val="21"/>
                <w:szCs w:val="21"/>
                <w:highlight w:val="none"/>
                <w:u w:val="none"/>
                <w:lang w:val="en-US" w:eastAsia="zh-CN" w:bidi="ar"/>
              </w:rPr>
              <w:t>J127</w:t>
            </w:r>
            <w:r>
              <w:rPr>
                <w:rFonts w:hint="eastAsia" w:ascii="宋体" w:hAnsi="宋体" w:eastAsia="宋体" w:cs="宋体"/>
                <w:i w:val="0"/>
                <w:iCs w:val="0"/>
                <w:color w:val="auto"/>
                <w:kern w:val="0"/>
                <w:sz w:val="21"/>
                <w:szCs w:val="21"/>
                <w:highlight w:val="none"/>
                <w:u w:val="none"/>
                <w:lang w:val="en-US" w:eastAsia="zh-CN" w:bidi="ar"/>
              </w:rPr>
              <w:t>西侧旱田内</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管道</w:t>
            </w:r>
            <w:r>
              <w:rPr>
                <w:rFonts w:hint="default" w:ascii="Times New Roman" w:hAnsi="Times New Roman" w:eastAsia="宋体" w:cs="Times New Roman"/>
                <w:i w:val="0"/>
                <w:iCs w:val="0"/>
                <w:color w:val="auto"/>
                <w:kern w:val="0"/>
                <w:sz w:val="21"/>
                <w:szCs w:val="21"/>
                <w:highlight w:val="none"/>
                <w:u w:val="none"/>
                <w:lang w:val="en-US" w:eastAsia="zh-CN" w:bidi="ar"/>
              </w:rPr>
              <w:t>J169</w:t>
            </w:r>
            <w:r>
              <w:rPr>
                <w:rFonts w:hint="eastAsia" w:ascii="宋体" w:hAnsi="宋体" w:eastAsia="宋体" w:cs="宋体"/>
                <w:i w:val="0"/>
                <w:iCs w:val="0"/>
                <w:color w:val="auto"/>
                <w:kern w:val="0"/>
                <w:sz w:val="21"/>
                <w:szCs w:val="21"/>
                <w:highlight w:val="none"/>
                <w:u w:val="none"/>
                <w:lang w:val="en-US" w:eastAsia="zh-CN" w:bidi="ar"/>
              </w:rPr>
              <w:t>西侧沟渠内</w:t>
            </w:r>
          </w:p>
        </w:tc>
        <w:tc>
          <w:tcPr>
            <w:tcW w:w="447"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西葫芦代北侧旱田内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83"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11"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352"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40"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440"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440"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440"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440"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440"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440"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447"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w:t>
            </w:r>
          </w:p>
        </w:tc>
        <w:tc>
          <w:tcPr>
            <w:tcW w:w="1369"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镉</w:t>
            </w:r>
          </w:p>
        </w:tc>
        <w:tc>
          <w:tcPr>
            <w:tcW w:w="116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0.6</w:t>
            </w:r>
          </w:p>
        </w:tc>
        <w:tc>
          <w:tcPr>
            <w:tcW w:w="998"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0.267</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0.333</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0.233</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0.283</w:t>
            </w:r>
          </w:p>
        </w:tc>
        <w:tc>
          <w:tcPr>
            <w:tcW w:w="12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0.250</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0.383</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0.317</w:t>
            </w:r>
          </w:p>
        </w:tc>
        <w:tc>
          <w:tcPr>
            <w:tcW w:w="127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0.217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w:t>
            </w:r>
          </w:p>
        </w:tc>
        <w:tc>
          <w:tcPr>
            <w:tcW w:w="1369"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砷</w:t>
            </w:r>
          </w:p>
        </w:tc>
        <w:tc>
          <w:tcPr>
            <w:tcW w:w="116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998"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0.065</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0.059</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0.062</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0.072</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0.061</w:t>
            </w:r>
          </w:p>
        </w:tc>
        <w:tc>
          <w:tcPr>
            <w:tcW w:w="12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0.070</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0.065</w:t>
            </w:r>
          </w:p>
        </w:tc>
        <w:tc>
          <w:tcPr>
            <w:tcW w:w="127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0.063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w:t>
            </w:r>
          </w:p>
        </w:tc>
        <w:tc>
          <w:tcPr>
            <w:tcW w:w="1369"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铅</w:t>
            </w:r>
          </w:p>
        </w:tc>
        <w:tc>
          <w:tcPr>
            <w:tcW w:w="116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170</w:t>
            </w:r>
          </w:p>
        </w:tc>
        <w:tc>
          <w:tcPr>
            <w:tcW w:w="998"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0.099</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0.079</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0.088</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0.101</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0.085</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0.096</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0.106</w:t>
            </w:r>
          </w:p>
        </w:tc>
        <w:tc>
          <w:tcPr>
            <w:tcW w:w="127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0.081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w:t>
            </w:r>
          </w:p>
        </w:tc>
        <w:tc>
          <w:tcPr>
            <w:tcW w:w="1369"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铬</w:t>
            </w:r>
          </w:p>
        </w:tc>
        <w:tc>
          <w:tcPr>
            <w:tcW w:w="116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998"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0.16</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0.136</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0.156</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0.148</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0.128</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0.144</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0.152</w:t>
            </w:r>
          </w:p>
        </w:tc>
        <w:tc>
          <w:tcPr>
            <w:tcW w:w="127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5</w:t>
            </w:r>
          </w:p>
        </w:tc>
        <w:tc>
          <w:tcPr>
            <w:tcW w:w="1369"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铜</w:t>
            </w:r>
          </w:p>
        </w:tc>
        <w:tc>
          <w:tcPr>
            <w:tcW w:w="116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c>
          <w:tcPr>
            <w:tcW w:w="998"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12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0.320</w:t>
            </w:r>
          </w:p>
        </w:tc>
        <w:tc>
          <w:tcPr>
            <w:tcW w:w="12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0.340</w:t>
            </w:r>
          </w:p>
        </w:tc>
        <w:tc>
          <w:tcPr>
            <w:tcW w:w="12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0.270</w:t>
            </w:r>
          </w:p>
        </w:tc>
        <w:tc>
          <w:tcPr>
            <w:tcW w:w="12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0.360</w:t>
            </w:r>
          </w:p>
        </w:tc>
        <w:tc>
          <w:tcPr>
            <w:tcW w:w="12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0.290</w:t>
            </w:r>
          </w:p>
        </w:tc>
        <w:tc>
          <w:tcPr>
            <w:tcW w:w="12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0.330</w:t>
            </w:r>
          </w:p>
        </w:tc>
        <w:tc>
          <w:tcPr>
            <w:tcW w:w="12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0.350</w:t>
            </w:r>
          </w:p>
        </w:tc>
        <w:tc>
          <w:tcPr>
            <w:tcW w:w="127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6</w:t>
            </w:r>
          </w:p>
        </w:tc>
        <w:tc>
          <w:tcPr>
            <w:tcW w:w="1369"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镍</w:t>
            </w:r>
          </w:p>
        </w:tc>
        <w:tc>
          <w:tcPr>
            <w:tcW w:w="116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190</w:t>
            </w:r>
          </w:p>
        </w:tc>
        <w:tc>
          <w:tcPr>
            <w:tcW w:w="998"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0.153</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0.132</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0.142</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0.163</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0.121</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0.189</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0.179</w:t>
            </w:r>
          </w:p>
        </w:tc>
        <w:tc>
          <w:tcPr>
            <w:tcW w:w="127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7</w:t>
            </w:r>
          </w:p>
        </w:tc>
        <w:tc>
          <w:tcPr>
            <w:tcW w:w="1369"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锌</w:t>
            </w:r>
          </w:p>
        </w:tc>
        <w:tc>
          <w:tcPr>
            <w:tcW w:w="116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998"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0.173</w:t>
            </w:r>
          </w:p>
        </w:tc>
        <w:tc>
          <w:tcPr>
            <w:tcW w:w="12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0.150</w:t>
            </w:r>
          </w:p>
        </w:tc>
        <w:tc>
          <w:tcPr>
            <w:tcW w:w="12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0.190</w:t>
            </w:r>
          </w:p>
        </w:tc>
        <w:tc>
          <w:tcPr>
            <w:tcW w:w="12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0.160</w:t>
            </w:r>
          </w:p>
        </w:tc>
        <w:tc>
          <w:tcPr>
            <w:tcW w:w="12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0.150</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0.163</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0.177</w:t>
            </w:r>
          </w:p>
        </w:tc>
        <w:tc>
          <w:tcPr>
            <w:tcW w:w="127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8</w:t>
            </w:r>
          </w:p>
        </w:tc>
        <w:tc>
          <w:tcPr>
            <w:tcW w:w="136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石油烃</w:t>
            </w:r>
            <w:r>
              <w:rPr>
                <w:rFonts w:hint="default" w:ascii="Times New Roman" w:hAnsi="Times New Roman" w:cs="Times New Roman"/>
                <w:i w:val="0"/>
                <w:iCs w:val="0"/>
                <w:color w:val="auto"/>
                <w:kern w:val="0"/>
                <w:sz w:val="21"/>
                <w:szCs w:val="21"/>
                <w:highlight w:val="none"/>
                <w:u w:val="none"/>
                <w:lang w:val="en-US" w:eastAsia="zh-CN" w:bidi="ar"/>
              </w:rPr>
              <w:t>（C</w:t>
            </w:r>
            <w:r>
              <w:rPr>
                <w:rFonts w:hint="default" w:ascii="Times New Roman" w:hAnsi="Times New Roman" w:cs="Times New Roman"/>
                <w:i w:val="0"/>
                <w:iCs w:val="0"/>
                <w:color w:val="auto"/>
                <w:kern w:val="0"/>
                <w:sz w:val="21"/>
                <w:szCs w:val="21"/>
                <w:highlight w:val="none"/>
                <w:u w:val="none"/>
                <w:vertAlign w:val="subscript"/>
                <w:lang w:val="en-US" w:eastAsia="zh-CN" w:bidi="ar"/>
              </w:rPr>
              <w:t>10</w:t>
            </w:r>
            <w:r>
              <w:rPr>
                <w:rFonts w:hint="default" w:ascii="Times New Roman" w:hAnsi="Times New Roman" w:cs="Times New Roman"/>
                <w:i w:val="0"/>
                <w:iCs w:val="0"/>
                <w:color w:val="auto"/>
                <w:kern w:val="0"/>
                <w:sz w:val="21"/>
                <w:szCs w:val="21"/>
                <w:highlight w:val="none"/>
                <w:u w:val="none"/>
                <w:lang w:val="en-US" w:eastAsia="zh-CN" w:bidi="ar"/>
              </w:rPr>
              <w:t>-C</w:t>
            </w:r>
            <w:r>
              <w:rPr>
                <w:rFonts w:hint="default" w:ascii="Times New Roman" w:hAnsi="Times New Roman" w:cs="Times New Roman"/>
                <w:i w:val="0"/>
                <w:iCs w:val="0"/>
                <w:color w:val="auto"/>
                <w:kern w:val="0"/>
                <w:sz w:val="21"/>
                <w:szCs w:val="21"/>
                <w:highlight w:val="none"/>
                <w:u w:val="none"/>
                <w:vertAlign w:val="subscript"/>
                <w:lang w:val="en-US" w:eastAsia="zh-CN" w:bidi="ar"/>
              </w:rPr>
              <w:t>40</w:t>
            </w:r>
            <w:r>
              <w:rPr>
                <w:rFonts w:hint="default" w:ascii="Times New Roman" w:hAnsi="Times New Roman" w:cs="Times New Roman"/>
                <w:i w:val="0"/>
                <w:iCs w:val="0"/>
                <w:color w:val="auto"/>
                <w:kern w:val="0"/>
                <w:sz w:val="21"/>
                <w:szCs w:val="21"/>
                <w:highlight w:val="none"/>
                <w:u w:val="none"/>
                <w:lang w:val="en-US" w:eastAsia="zh-CN" w:bidi="ar"/>
              </w:rPr>
              <w:t>）</w:t>
            </w:r>
          </w:p>
        </w:tc>
        <w:tc>
          <w:tcPr>
            <w:tcW w:w="116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bCs/>
                <w:snapToGrid w:val="0"/>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98"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44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47"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9</w:t>
            </w:r>
          </w:p>
        </w:tc>
        <w:tc>
          <w:tcPr>
            <w:tcW w:w="1369"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116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98"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无量纲</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40"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47"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22"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10</w:t>
            </w:r>
          </w:p>
        </w:tc>
        <w:tc>
          <w:tcPr>
            <w:tcW w:w="1369"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汞</w:t>
            </w:r>
          </w:p>
        </w:tc>
        <w:tc>
          <w:tcPr>
            <w:tcW w:w="116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3.4</w:t>
            </w:r>
          </w:p>
        </w:tc>
        <w:tc>
          <w:tcPr>
            <w:tcW w:w="998"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0.011</w:t>
            </w:r>
          </w:p>
        </w:tc>
        <w:tc>
          <w:tcPr>
            <w:tcW w:w="12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0.014</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0.011</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0.012</w:t>
            </w:r>
          </w:p>
        </w:tc>
        <w:tc>
          <w:tcPr>
            <w:tcW w:w="124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0.010</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0.014</w:t>
            </w:r>
          </w:p>
        </w:tc>
        <w:tc>
          <w:tcPr>
            <w:tcW w:w="124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0.013</w:t>
            </w:r>
          </w:p>
        </w:tc>
        <w:tc>
          <w:tcPr>
            <w:tcW w:w="127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0.009</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eastAsia="宋体" w:cs="Times New Roman"/>
          <w:b/>
          <w:bCs/>
          <w:caps w:val="0"/>
          <w:smallCaps w:val="0"/>
          <w:snapToGrid/>
          <w:color w:val="auto"/>
          <w:spacing w:val="0"/>
          <w:w w:val="100"/>
          <w:kern w:val="0"/>
          <w:sz w:val="21"/>
          <w:szCs w:val="21"/>
          <w:highlight w:val="none"/>
          <w:lang w:val="en-US" w:eastAsia="zh-CN" w:bidi="ar-SA"/>
        </w:rPr>
        <w:t>续</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表4.2-</w:t>
      </w:r>
      <w:r>
        <w:rPr>
          <w:rFonts w:hint="eastAsia" w:eastAsia="宋体" w:cs="Times New Roman"/>
          <w:b/>
          <w:bCs/>
          <w:caps w:val="0"/>
          <w:smallCaps w:val="0"/>
          <w:snapToGrid/>
          <w:color w:val="auto"/>
          <w:spacing w:val="0"/>
          <w:w w:val="100"/>
          <w:kern w:val="0"/>
          <w:sz w:val="21"/>
          <w:szCs w:val="21"/>
          <w:highlight w:val="none"/>
          <w:lang w:val="en-US" w:eastAsia="zh-CN" w:bidi="ar-SA"/>
        </w:rPr>
        <w:t>21</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占地</w:t>
      </w:r>
      <w:r>
        <w:rPr>
          <w:rFonts w:hint="eastAsia" w:eastAsia="宋体" w:cs="Times New Roman"/>
          <w:b/>
          <w:bCs/>
          <w:caps w:val="0"/>
          <w:smallCaps w:val="0"/>
          <w:snapToGrid/>
          <w:color w:val="auto"/>
          <w:spacing w:val="0"/>
          <w:w w:val="100"/>
          <w:kern w:val="0"/>
          <w:sz w:val="21"/>
          <w:szCs w:val="21"/>
          <w:highlight w:val="none"/>
          <w:lang w:val="en-US" w:eastAsia="zh-CN" w:bidi="ar-SA"/>
        </w:rPr>
        <w:t>外</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土壤环境质量现状指数（Ki）评价结果</w:t>
      </w:r>
    </w:p>
    <w:tbl>
      <w:tblPr>
        <w:tblStyle w:val="16"/>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31"/>
        <w:gridCol w:w="1312"/>
        <w:gridCol w:w="918"/>
        <w:gridCol w:w="1233"/>
        <w:gridCol w:w="1659"/>
        <w:gridCol w:w="1659"/>
        <w:gridCol w:w="1659"/>
        <w:gridCol w:w="1659"/>
        <w:gridCol w:w="1659"/>
        <w:gridCol w:w="167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8"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序号</w:t>
            </w:r>
          </w:p>
        </w:tc>
        <w:tc>
          <w:tcPr>
            <w:tcW w:w="463"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污染物项目</w:t>
            </w:r>
          </w:p>
        </w:tc>
        <w:tc>
          <w:tcPr>
            <w:tcW w:w="324"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标准值</w:t>
            </w:r>
          </w:p>
        </w:tc>
        <w:tc>
          <w:tcPr>
            <w:tcW w:w="435" w:type="pct"/>
            <w:vMerge w:val="restart"/>
            <w:tcBorders>
              <w:tl2br w:val="nil"/>
              <w:tr2bl w:val="nil"/>
            </w:tcBorders>
            <w:vAlign w:val="center"/>
          </w:tcPr>
          <w:p>
            <w:pPr>
              <w:widowControl w:val="0"/>
              <w:spacing w:line="360" w:lineRule="exact"/>
              <w:jc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单位</w:t>
            </w:r>
          </w:p>
        </w:tc>
        <w:tc>
          <w:tcPr>
            <w:tcW w:w="3517" w:type="pct"/>
            <w:gridSpan w:val="6"/>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监测结果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8"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63"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324"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35"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管道</w:t>
            </w:r>
            <w:r>
              <w:rPr>
                <w:rFonts w:hint="default" w:ascii="Times New Roman" w:hAnsi="Times New Roman" w:eastAsia="宋体" w:cs="Times New Roman"/>
                <w:i w:val="0"/>
                <w:iCs w:val="0"/>
                <w:color w:val="auto"/>
                <w:kern w:val="0"/>
                <w:sz w:val="21"/>
                <w:szCs w:val="21"/>
                <w:highlight w:val="none"/>
                <w:u w:val="none"/>
                <w:lang w:val="en-US" w:eastAsia="zh-CN" w:bidi="ar"/>
              </w:rPr>
              <w:t>J237</w:t>
            </w:r>
            <w:r>
              <w:rPr>
                <w:rFonts w:hint="eastAsia" w:ascii="宋体" w:hAnsi="宋体" w:eastAsia="宋体" w:cs="宋体"/>
                <w:i w:val="0"/>
                <w:iCs w:val="0"/>
                <w:color w:val="auto"/>
                <w:kern w:val="0"/>
                <w:sz w:val="21"/>
                <w:szCs w:val="21"/>
                <w:highlight w:val="none"/>
                <w:u w:val="none"/>
                <w:lang w:val="en-US" w:eastAsia="zh-CN" w:bidi="ar"/>
              </w:rPr>
              <w:t>西侧耕旱田内</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管道</w:t>
            </w:r>
            <w:r>
              <w:rPr>
                <w:rFonts w:hint="default" w:ascii="Times New Roman" w:hAnsi="Times New Roman" w:eastAsia="宋体" w:cs="Times New Roman"/>
                <w:i w:val="0"/>
                <w:iCs w:val="0"/>
                <w:color w:val="auto"/>
                <w:kern w:val="0"/>
                <w:sz w:val="21"/>
                <w:szCs w:val="21"/>
                <w:highlight w:val="none"/>
                <w:u w:val="none"/>
                <w:lang w:val="en-US" w:eastAsia="zh-CN" w:bidi="ar"/>
              </w:rPr>
              <w:t>J338</w:t>
            </w:r>
            <w:r>
              <w:rPr>
                <w:rFonts w:hint="eastAsia" w:ascii="宋体" w:hAnsi="宋体" w:eastAsia="宋体" w:cs="宋体"/>
                <w:i w:val="0"/>
                <w:iCs w:val="0"/>
                <w:color w:val="auto"/>
                <w:kern w:val="0"/>
                <w:sz w:val="21"/>
                <w:szCs w:val="21"/>
                <w:highlight w:val="none"/>
                <w:u w:val="none"/>
                <w:lang w:val="en-US" w:eastAsia="zh-CN" w:bidi="ar"/>
              </w:rPr>
              <w:t>东侧旱田内</w:t>
            </w:r>
          </w:p>
        </w:tc>
        <w:tc>
          <w:tcPr>
            <w:tcW w:w="58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道宝村西侧旱田内</w:t>
            </w:r>
          </w:p>
        </w:tc>
        <w:tc>
          <w:tcPr>
            <w:tcW w:w="58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道宝村林地</w:t>
            </w: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道宝村林地</w:t>
            </w: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588"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发展村北侧旱田内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8"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63"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324"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435" w:type="pct"/>
            <w:vMerge w:val="continue"/>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p>
        </w:tc>
        <w:tc>
          <w:tcPr>
            <w:tcW w:w="58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58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58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58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585"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c>
          <w:tcPr>
            <w:tcW w:w="588"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w:t>
            </w:r>
            <w:r>
              <w:rPr>
                <w:rFonts w:hint="eastAsia" w:ascii="Times New Roman" w:hAnsi="Times New Roman"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8"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w:t>
            </w:r>
          </w:p>
        </w:tc>
        <w:tc>
          <w:tcPr>
            <w:tcW w:w="463"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镉</w:t>
            </w:r>
          </w:p>
        </w:tc>
        <w:tc>
          <w:tcPr>
            <w:tcW w:w="324"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0.6</w:t>
            </w:r>
          </w:p>
        </w:tc>
        <w:tc>
          <w:tcPr>
            <w:tcW w:w="43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0.333</w:t>
            </w:r>
          </w:p>
        </w:tc>
        <w:tc>
          <w:tcPr>
            <w:tcW w:w="58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0.350</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0.233</w:t>
            </w:r>
          </w:p>
        </w:tc>
        <w:tc>
          <w:tcPr>
            <w:tcW w:w="58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0.250</w:t>
            </w:r>
          </w:p>
        </w:tc>
        <w:tc>
          <w:tcPr>
            <w:tcW w:w="58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0.300</w:t>
            </w:r>
          </w:p>
        </w:tc>
        <w:tc>
          <w:tcPr>
            <w:tcW w:w="588"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0.267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8"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w:t>
            </w:r>
          </w:p>
        </w:tc>
        <w:tc>
          <w:tcPr>
            <w:tcW w:w="463"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砷</w:t>
            </w:r>
          </w:p>
        </w:tc>
        <w:tc>
          <w:tcPr>
            <w:tcW w:w="324"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43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0.067</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0.062</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0.061</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0.055</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0.058</w:t>
            </w:r>
          </w:p>
        </w:tc>
        <w:tc>
          <w:tcPr>
            <w:tcW w:w="58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8"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w:t>
            </w:r>
          </w:p>
        </w:tc>
        <w:tc>
          <w:tcPr>
            <w:tcW w:w="463"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铅</w:t>
            </w:r>
          </w:p>
        </w:tc>
        <w:tc>
          <w:tcPr>
            <w:tcW w:w="324"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170</w:t>
            </w:r>
          </w:p>
        </w:tc>
        <w:tc>
          <w:tcPr>
            <w:tcW w:w="43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0.098</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0.096</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0.084</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0.092</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0.087</w:t>
            </w:r>
          </w:p>
        </w:tc>
        <w:tc>
          <w:tcPr>
            <w:tcW w:w="588"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8"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4</w:t>
            </w:r>
          </w:p>
        </w:tc>
        <w:tc>
          <w:tcPr>
            <w:tcW w:w="463"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铬</w:t>
            </w:r>
          </w:p>
        </w:tc>
        <w:tc>
          <w:tcPr>
            <w:tcW w:w="324"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43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0.136</w:t>
            </w:r>
          </w:p>
        </w:tc>
        <w:tc>
          <w:tcPr>
            <w:tcW w:w="58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0.140</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0.116</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0.136</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0.128</w:t>
            </w:r>
          </w:p>
        </w:tc>
        <w:tc>
          <w:tcPr>
            <w:tcW w:w="588"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8"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5</w:t>
            </w:r>
          </w:p>
        </w:tc>
        <w:tc>
          <w:tcPr>
            <w:tcW w:w="463"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铜</w:t>
            </w:r>
          </w:p>
        </w:tc>
        <w:tc>
          <w:tcPr>
            <w:tcW w:w="324"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c>
          <w:tcPr>
            <w:tcW w:w="43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8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0.320</w:t>
            </w:r>
          </w:p>
        </w:tc>
        <w:tc>
          <w:tcPr>
            <w:tcW w:w="58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0.340</w:t>
            </w:r>
          </w:p>
        </w:tc>
        <w:tc>
          <w:tcPr>
            <w:tcW w:w="58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0.280</w:t>
            </w:r>
          </w:p>
        </w:tc>
        <w:tc>
          <w:tcPr>
            <w:tcW w:w="58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0.260</w:t>
            </w:r>
          </w:p>
        </w:tc>
        <w:tc>
          <w:tcPr>
            <w:tcW w:w="58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0.270</w:t>
            </w:r>
          </w:p>
        </w:tc>
        <w:tc>
          <w:tcPr>
            <w:tcW w:w="58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8"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6</w:t>
            </w:r>
          </w:p>
        </w:tc>
        <w:tc>
          <w:tcPr>
            <w:tcW w:w="463"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镍</w:t>
            </w:r>
          </w:p>
        </w:tc>
        <w:tc>
          <w:tcPr>
            <w:tcW w:w="324"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190</w:t>
            </w:r>
          </w:p>
        </w:tc>
        <w:tc>
          <w:tcPr>
            <w:tcW w:w="43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0.168</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0.163</w:t>
            </w:r>
          </w:p>
        </w:tc>
        <w:tc>
          <w:tcPr>
            <w:tcW w:w="58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0.153</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0.147</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0.174</w:t>
            </w:r>
          </w:p>
        </w:tc>
        <w:tc>
          <w:tcPr>
            <w:tcW w:w="588"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0.147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8"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7</w:t>
            </w:r>
          </w:p>
        </w:tc>
        <w:tc>
          <w:tcPr>
            <w:tcW w:w="463"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锌</w:t>
            </w:r>
          </w:p>
        </w:tc>
        <w:tc>
          <w:tcPr>
            <w:tcW w:w="324"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300</w:t>
            </w:r>
          </w:p>
        </w:tc>
        <w:tc>
          <w:tcPr>
            <w:tcW w:w="43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0.133</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0.17</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0.153</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0.123</w:t>
            </w:r>
          </w:p>
        </w:tc>
        <w:tc>
          <w:tcPr>
            <w:tcW w:w="58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0.140</w:t>
            </w:r>
          </w:p>
        </w:tc>
        <w:tc>
          <w:tcPr>
            <w:tcW w:w="588"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8"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8</w:t>
            </w:r>
          </w:p>
        </w:tc>
        <w:tc>
          <w:tcPr>
            <w:tcW w:w="463"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石油烃</w:t>
            </w:r>
            <w:r>
              <w:rPr>
                <w:rFonts w:hint="default" w:ascii="Times New Roman" w:hAnsi="Times New Roman" w:cs="Times New Roman"/>
                <w:i w:val="0"/>
                <w:iCs w:val="0"/>
                <w:color w:val="auto"/>
                <w:kern w:val="0"/>
                <w:sz w:val="21"/>
                <w:szCs w:val="21"/>
                <w:highlight w:val="none"/>
                <w:u w:val="none"/>
                <w:lang w:val="en-US" w:eastAsia="zh-CN" w:bidi="ar"/>
              </w:rPr>
              <w:t>（C</w:t>
            </w:r>
            <w:r>
              <w:rPr>
                <w:rFonts w:hint="default" w:ascii="Times New Roman" w:hAnsi="Times New Roman" w:cs="Times New Roman"/>
                <w:i w:val="0"/>
                <w:iCs w:val="0"/>
                <w:color w:val="auto"/>
                <w:kern w:val="0"/>
                <w:sz w:val="21"/>
                <w:szCs w:val="21"/>
                <w:highlight w:val="none"/>
                <w:u w:val="none"/>
                <w:vertAlign w:val="subscript"/>
                <w:lang w:val="en-US" w:eastAsia="zh-CN" w:bidi="ar"/>
              </w:rPr>
              <w:t>10</w:t>
            </w:r>
            <w:r>
              <w:rPr>
                <w:rFonts w:hint="default" w:ascii="Times New Roman" w:hAnsi="Times New Roman" w:cs="Times New Roman"/>
                <w:i w:val="0"/>
                <w:iCs w:val="0"/>
                <w:color w:val="auto"/>
                <w:kern w:val="0"/>
                <w:sz w:val="21"/>
                <w:szCs w:val="21"/>
                <w:highlight w:val="none"/>
                <w:u w:val="none"/>
                <w:lang w:val="en-US" w:eastAsia="zh-CN" w:bidi="ar"/>
              </w:rPr>
              <w:t>-C</w:t>
            </w:r>
            <w:r>
              <w:rPr>
                <w:rFonts w:hint="default" w:ascii="Times New Roman" w:hAnsi="Times New Roman" w:cs="Times New Roman"/>
                <w:i w:val="0"/>
                <w:iCs w:val="0"/>
                <w:color w:val="auto"/>
                <w:kern w:val="0"/>
                <w:sz w:val="21"/>
                <w:szCs w:val="21"/>
                <w:highlight w:val="none"/>
                <w:u w:val="none"/>
                <w:vertAlign w:val="subscript"/>
                <w:lang w:val="en-US" w:eastAsia="zh-CN" w:bidi="ar"/>
              </w:rPr>
              <w:t>40</w:t>
            </w:r>
            <w:r>
              <w:rPr>
                <w:rFonts w:hint="default" w:ascii="Times New Roman" w:hAnsi="Times New Roman" w:cs="Times New Roman"/>
                <w:i w:val="0"/>
                <w:iCs w:val="0"/>
                <w:color w:val="auto"/>
                <w:kern w:val="0"/>
                <w:sz w:val="21"/>
                <w:szCs w:val="21"/>
                <w:highlight w:val="none"/>
                <w:u w:val="none"/>
                <w:lang w:val="en-US" w:eastAsia="zh-CN" w:bidi="ar"/>
              </w:rPr>
              <w:t>）</w:t>
            </w:r>
          </w:p>
        </w:tc>
        <w:tc>
          <w:tcPr>
            <w:tcW w:w="324"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bCs/>
                <w:snapToGrid w:val="0"/>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3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85" w:type="pct"/>
            <w:tcBorders>
              <w:tl2br w:val="nil"/>
              <w:tr2bl w:val="nil"/>
            </w:tcBorders>
            <w:vAlign w:val="center"/>
          </w:tcPr>
          <w:p>
            <w:pPr>
              <w:widowControl w:val="0"/>
              <w:autoSpaceDE w:val="0"/>
              <w:autoSpaceDN w:val="0"/>
              <w:adjustRightInd w:val="0"/>
              <w:snapToGrid w:val="0"/>
              <w:spacing w:line="320" w:lineRule="exact"/>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58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eastAsia="宋体" w:cs="Times New Roman"/>
                <w:bCs/>
                <w:snapToGrid w:val="0"/>
                <w:color w:val="auto"/>
                <w:kern w:val="0"/>
                <w:sz w:val="21"/>
                <w:szCs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58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eastAsia="宋体" w:cs="Times New Roman"/>
                <w:bCs/>
                <w:snapToGrid w:val="0"/>
                <w:color w:val="auto"/>
                <w:kern w:val="0"/>
                <w:sz w:val="21"/>
                <w:szCs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58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585"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eastAsia="宋体" w:cs="Times New Roman"/>
                <w:bCs/>
                <w:snapToGrid w:val="0"/>
                <w:color w:val="auto"/>
                <w:kern w:val="0"/>
                <w:sz w:val="21"/>
                <w:szCs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588" w:type="pct"/>
            <w:tcBorders>
              <w:tl2br w:val="nil"/>
              <w:tr2bl w:val="nil"/>
            </w:tcBorders>
            <w:vAlign w:val="center"/>
          </w:tcPr>
          <w:p>
            <w:pPr>
              <w:widowControl w:val="0"/>
              <w:autoSpaceDE w:val="0"/>
              <w:autoSpaceDN w:val="0"/>
              <w:adjustRightInd w:val="0"/>
              <w:snapToGrid w:val="0"/>
              <w:spacing w:line="320" w:lineRule="exact"/>
              <w:jc w:val="center"/>
              <w:rPr>
                <w:rFonts w:hint="eastAsia" w:ascii="Times New Roman" w:hAnsi="Times New Roman" w:eastAsia="宋体" w:cs="Times New Roman"/>
                <w:bCs/>
                <w:snapToGrid w:val="0"/>
                <w:color w:val="auto"/>
                <w:kern w:val="0"/>
                <w:sz w:val="21"/>
                <w:szCs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8"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9</w:t>
            </w:r>
          </w:p>
        </w:tc>
        <w:tc>
          <w:tcPr>
            <w:tcW w:w="463"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324"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3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无量纲</w:t>
            </w:r>
          </w:p>
        </w:tc>
        <w:tc>
          <w:tcPr>
            <w:tcW w:w="585"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585"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585"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585"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585"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588" w:type="pct"/>
            <w:tcBorders>
              <w:tl2br w:val="nil"/>
              <w:tr2bl w:val="nil"/>
            </w:tcBorders>
            <w:vAlign w:val="center"/>
          </w:tcPr>
          <w:p>
            <w:pPr>
              <w:keepNext w:val="0"/>
              <w:keepLines w:val="0"/>
              <w:pageBreakBefore w:val="0"/>
              <w:widowControl w:val="0"/>
              <w:kinsoku/>
              <w:wordWrap/>
              <w:overflowPunct/>
              <w:topLinePunct w:val="0"/>
              <w:bidi w:val="0"/>
              <w:spacing w:before="0" w:after="0" w:afterAutospacing="0" w:line="240" w:lineRule="auto"/>
              <w:jc w:val="center"/>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8" w:type="pct"/>
            <w:tcBorders>
              <w:tl2br w:val="nil"/>
              <w:tr2bl w:val="nil"/>
            </w:tcBorders>
            <w:vAlign w:val="center"/>
          </w:tcPr>
          <w:p>
            <w:pPr>
              <w:keepNext w:val="0"/>
              <w:keepLines w:val="0"/>
              <w:pageBreakBefore w:val="0"/>
              <w:widowControl/>
              <w:wordWrap/>
              <w:overflowPunct/>
              <w:topLinePunct w:val="0"/>
              <w:bidi w:val="0"/>
              <w:spacing w:beforeLines="0" w:afterLines="0" w:line="360" w:lineRule="exact"/>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10</w:t>
            </w:r>
          </w:p>
        </w:tc>
        <w:tc>
          <w:tcPr>
            <w:tcW w:w="463"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汞</w:t>
            </w:r>
          </w:p>
        </w:tc>
        <w:tc>
          <w:tcPr>
            <w:tcW w:w="324"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3.4</w:t>
            </w:r>
          </w:p>
        </w:tc>
        <w:tc>
          <w:tcPr>
            <w:tcW w:w="43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Arial" w:cs="Times New Roman"/>
                <w:snapToGrid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0.011</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0.013</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0.011</w:t>
            </w:r>
          </w:p>
        </w:tc>
        <w:tc>
          <w:tcPr>
            <w:tcW w:w="585"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0.010</w:t>
            </w:r>
          </w:p>
        </w:tc>
        <w:tc>
          <w:tcPr>
            <w:tcW w:w="585"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0.010</w:t>
            </w:r>
          </w:p>
        </w:tc>
        <w:tc>
          <w:tcPr>
            <w:tcW w:w="588" w:type="pct"/>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0.009</w:t>
            </w:r>
          </w:p>
        </w:tc>
      </w:tr>
    </w:tbl>
    <w:p>
      <w:pPr>
        <w:rPr>
          <w:rFonts w:hint="default"/>
          <w:color w:val="auto"/>
          <w:highlight w:val="none"/>
          <w:lang w:val="en-US" w:eastAsia="zh-CN"/>
        </w:rPr>
      </w:pPr>
      <w:r>
        <w:rPr>
          <w:rFonts w:hint="default"/>
          <w:color w:val="auto"/>
          <w:highlight w:val="none"/>
          <w:lang w:val="en-US" w:eastAsia="zh-CN"/>
        </w:rPr>
        <w:br w:type="page"/>
      </w:r>
    </w:p>
    <w:p>
      <w:pPr>
        <w:pStyle w:val="11"/>
        <w:ind w:left="0" w:leftChars="0" w:firstLine="0" w:firstLineChars="0"/>
        <w:rPr>
          <w:rFonts w:hint="default"/>
          <w:color w:val="auto"/>
          <w:highlight w:val="none"/>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根据监测结果可知，项目占地外土壤现状满足国家《土壤环境质量 农用地土壤污染风险管控标准》（GB15618-2018）农用地土壤污染风险筛选值，项目占地内土壤各项污染物含量均不超过《土壤环境质量 建设用地土壤污染风险管控标准（试行）》（GB36600-2018）第二类土壤污染风险筛选值，评价指数均＜1，其特征污染物石油烃（C</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10</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-C</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40</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）占地范围内及占地范围外所测数值相差不大，区域土壤环境</w:t>
      </w:r>
      <w:r>
        <w:rPr>
          <w:rFonts w:hint="eastAsia" w:eastAsia="宋体" w:cs="Times New Roman"/>
          <w:caps w:val="0"/>
          <w:smallCaps w:val="0"/>
          <w:snapToGrid/>
          <w:color w:val="auto"/>
          <w:spacing w:val="0"/>
          <w:w w:val="100"/>
          <w:kern w:val="0"/>
          <w:sz w:val="24"/>
          <w:szCs w:val="24"/>
          <w:highlight w:val="none"/>
          <w:lang w:val="en-US" w:eastAsia="zh-CN" w:bidi="ar-SA"/>
        </w:rPr>
        <w:t>质量现状较好</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1202" w:name="_Toc24248"/>
      <w:r>
        <w:rPr>
          <w:rFonts w:hint="default" w:ascii="Times New Roman" w:hAnsi="Times New Roman" w:eastAsia="宋体" w:cs="Times New Roman"/>
          <w:snapToGrid/>
          <w:color w:val="auto"/>
          <w:sz w:val="32"/>
          <w:highlight w:val="none"/>
          <w:lang w:val="en-US" w:eastAsia="zh-CN" w:bidi="ar-SA"/>
        </w:rPr>
        <w:t>4.3生态环境现状调查与评价</w:t>
      </w:r>
      <w:bookmarkEnd w:id="1202"/>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4.3.1调查概况</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4.3.1.1调查范围</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本项目生态环境调查范围为</w:t>
      </w:r>
      <w:r>
        <w:rPr>
          <w:rFonts w:hint="eastAsia" w:cs="Times New Roman"/>
          <w:caps w:val="0"/>
          <w:smallCaps w:val="0"/>
          <w:snapToGrid/>
          <w:color w:val="auto"/>
          <w:spacing w:val="0"/>
          <w:w w:val="100"/>
          <w:kern w:val="0"/>
          <w:sz w:val="24"/>
          <w:szCs w:val="24"/>
          <w:highlight w:val="none"/>
          <w:lang w:val="en-US" w:eastAsia="zh-CN" w:bidi="ar-SA"/>
        </w:rPr>
        <w:t>以3#服务站站址永久占地外扩500m范围内及管道沿线两侧外300m范围内的区域。</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需特别关注永久基本农田具有相对重要生态功能的区域。项目施工对周围野生动植物及鸟类的影响。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4.3.1.2调查内容</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本次评价主要生态环境调查内容如下表所示。</w:t>
      </w:r>
    </w:p>
    <w:p>
      <w:pPr>
        <w:pStyle w:val="11"/>
        <w:keepNext w:val="0"/>
        <w:keepLines w:val="0"/>
        <w:pageBreakBefore w:val="0"/>
        <w:widowControl/>
        <w:kinsoku w:val="0"/>
        <w:wordWrap/>
        <w:overflowPunct/>
        <w:topLinePunct w:val="0"/>
        <w:autoSpaceDE w:val="0"/>
        <w:autoSpaceDN w:val="0"/>
        <w:bidi w:val="0"/>
        <w:adjustRightInd w:val="0"/>
        <w:snapToGrid w:val="0"/>
        <w:spacing w:line="500" w:lineRule="exact"/>
        <w:ind w:left="0" w:leftChars="0" w:firstLine="0" w:firstLineChars="0"/>
        <w:jc w:val="center"/>
        <w:textAlignment w:val="baseline"/>
        <w:rPr>
          <w:rFonts w:hint="default"/>
          <w:b/>
          <w:bCs/>
          <w:color w:val="auto"/>
          <w:sz w:val="21"/>
          <w:szCs w:val="21"/>
          <w:highlight w:val="none"/>
          <w:lang w:val="en-US" w:eastAsia="zh-CN"/>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表4.3-1评价范围内调查内容统计表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838"/>
        <w:gridCol w:w="2839"/>
        <w:gridCol w:w="28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38"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调查对象</w:t>
            </w:r>
          </w:p>
        </w:tc>
        <w:tc>
          <w:tcPr>
            <w:tcW w:w="2839"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调查因子</w:t>
            </w:r>
          </w:p>
        </w:tc>
        <w:tc>
          <w:tcPr>
            <w:tcW w:w="2839"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调查内容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3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土地利用现状</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土地利用类型、面积</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了解区域土地利用情况，分析项目施工建设的影响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3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植被现状</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分布、种群结构</w:t>
            </w:r>
          </w:p>
        </w:tc>
        <w:tc>
          <w:tcPr>
            <w:tcW w:w="283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了解</w:t>
            </w:r>
            <w:r>
              <w:rPr>
                <w:rFonts w:hint="default" w:ascii="Times New Roman" w:hAnsi="Times New Roman" w:cs="Times New Roman"/>
                <w:color w:val="auto"/>
                <w:sz w:val="21"/>
                <w:szCs w:val="21"/>
                <w:highlight w:val="none"/>
                <w:vertAlign w:val="baseline"/>
                <w:lang w:val="en-US" w:eastAsia="zh-CN"/>
              </w:rPr>
              <w:t>项目建设</w:t>
            </w:r>
            <w:r>
              <w:rPr>
                <w:rFonts w:hint="eastAsia" w:ascii="Times New Roman" w:hAnsi="Times New Roman" w:cs="Times New Roman"/>
                <w:color w:val="auto"/>
                <w:sz w:val="21"/>
                <w:szCs w:val="21"/>
                <w:highlight w:val="none"/>
                <w:vertAlign w:val="baseline"/>
                <w:lang w:val="en-US" w:eastAsia="zh-CN"/>
              </w:rPr>
              <w:t>前区域植被类型、分布，野生动物种类及习性，</w:t>
            </w:r>
            <w:r>
              <w:rPr>
                <w:rFonts w:hint="default" w:ascii="Times New Roman" w:hAnsi="Times New Roman" w:cs="Times New Roman"/>
                <w:color w:val="auto"/>
                <w:sz w:val="21"/>
                <w:szCs w:val="21"/>
                <w:highlight w:val="none"/>
                <w:vertAlign w:val="baseline"/>
                <w:lang w:val="en-US" w:eastAsia="zh-CN"/>
              </w:rPr>
              <w:t>分析项目施工建设的影响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3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野生动物现状</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分布、种群结构、行为</w:t>
            </w:r>
          </w:p>
        </w:tc>
        <w:tc>
          <w:tcPr>
            <w:tcW w:w="283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3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生态系统类型</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生态系统的类型、面积及空间分布</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生态结构、类型，明确主要生态问题及保护目标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3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景观生态</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类型、组成、结构</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景观体系结构与功能，分析景观动态</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4.3.1.3土地利用现状调查</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评价区域土地利用现状调查基于高分辨率遥感影像利用GIS软件进行人工目视解译，区域遥感影像采用2022年9月哨兵二号（Sentinel-2）数据L2A级产品，影像分辨率10m，同时结合区域谷歌地球0.5m分辨率影像，按照《环境影响评价技术导则 生态影响》（HJ 19-2022）要求，通过人工目视判读及部分现场调查数据，将评价范围内的土地利用类型按GB/T 21010-2017土地利用分类体系进行分类，形成土地利用现状矢量数据库，并以二级类型作为基础制图单位制作评价区域土地利用现状图。</w:t>
      </w:r>
    </w:p>
    <w:p>
      <w:pPr>
        <w:pStyle w:val="11"/>
        <w:ind w:left="0" w:leftChars="0" w:firstLine="0" w:firstLineChars="0"/>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drawing>
          <wp:inline distT="0" distB="0" distL="114300" distR="114300">
            <wp:extent cx="5262245" cy="3810635"/>
            <wp:effectExtent l="0" t="0" r="14605" b="18415"/>
            <wp:docPr id="12" name="图片 12" descr="土地利用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土地利用类型图"/>
                    <pic:cNvPicPr>
                      <a:picLocks noChangeAspect="1"/>
                    </pic:cNvPicPr>
                  </pic:nvPicPr>
                  <pic:blipFill>
                    <a:blip r:embed="rId35"/>
                    <a:stretch>
                      <a:fillRect/>
                    </a:stretch>
                  </pic:blipFill>
                  <pic:spPr>
                    <a:xfrm>
                      <a:off x="0" y="0"/>
                      <a:ext cx="5262245" cy="38106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图4.3-1土地利用现状图</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对评价范围内各土地利用类型面积进行统计分析，结果如下表所示。</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22" w:firstLineChars="200"/>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表4.3-2评价范围土地利用现状统计表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38"/>
        <w:gridCol w:w="1768"/>
        <w:gridCol w:w="1703"/>
        <w:gridCol w:w="1703"/>
        <w:gridCol w:w="170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406"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土地利用分类</w:t>
            </w:r>
          </w:p>
        </w:tc>
        <w:tc>
          <w:tcPr>
            <w:tcW w:w="170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面积（公顷）</w:t>
            </w:r>
          </w:p>
        </w:tc>
        <w:tc>
          <w:tcPr>
            <w:tcW w:w="170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占比（%）</w:t>
            </w:r>
          </w:p>
        </w:tc>
        <w:tc>
          <w:tcPr>
            <w:tcW w:w="1704"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斑块数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3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一级类</w:t>
            </w:r>
          </w:p>
        </w:tc>
        <w:tc>
          <w:tcPr>
            <w:tcW w:w="176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二级类</w:t>
            </w:r>
          </w:p>
        </w:tc>
        <w:tc>
          <w:tcPr>
            <w:tcW w:w="170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70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70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38"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01耕地</w:t>
            </w:r>
          </w:p>
        </w:tc>
        <w:tc>
          <w:tcPr>
            <w:tcW w:w="176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0101水田</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280.32</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16.55</w:t>
            </w:r>
          </w:p>
        </w:tc>
        <w:tc>
          <w:tcPr>
            <w:tcW w:w="17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38"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76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0103旱地</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989.70</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58.45</w:t>
            </w:r>
          </w:p>
        </w:tc>
        <w:tc>
          <w:tcPr>
            <w:tcW w:w="17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3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03林地</w:t>
            </w:r>
          </w:p>
        </w:tc>
        <w:tc>
          <w:tcPr>
            <w:tcW w:w="176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0301乔木林地</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168.84</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9.97</w:t>
            </w:r>
          </w:p>
        </w:tc>
        <w:tc>
          <w:tcPr>
            <w:tcW w:w="17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3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04草地</w:t>
            </w:r>
          </w:p>
        </w:tc>
        <w:tc>
          <w:tcPr>
            <w:tcW w:w="176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0404其他草地</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22.56</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1.33</w:t>
            </w:r>
          </w:p>
        </w:tc>
        <w:tc>
          <w:tcPr>
            <w:tcW w:w="17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3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07住宅用地</w:t>
            </w:r>
          </w:p>
        </w:tc>
        <w:tc>
          <w:tcPr>
            <w:tcW w:w="176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0702农村宅基地</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100.44</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5.93</w:t>
            </w:r>
          </w:p>
        </w:tc>
        <w:tc>
          <w:tcPr>
            <w:tcW w:w="17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3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10交通运输用地</w:t>
            </w:r>
          </w:p>
        </w:tc>
        <w:tc>
          <w:tcPr>
            <w:tcW w:w="176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1006农村道路</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19.65</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1.16</w:t>
            </w:r>
          </w:p>
        </w:tc>
        <w:tc>
          <w:tcPr>
            <w:tcW w:w="17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3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11水域及水利设施用地</w:t>
            </w:r>
          </w:p>
        </w:tc>
        <w:tc>
          <w:tcPr>
            <w:tcW w:w="176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1104坑塘水面</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97.82</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5.78</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3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76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1107沟渠</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4.69</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0.28</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3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12其他土地</w:t>
            </w:r>
          </w:p>
        </w:tc>
        <w:tc>
          <w:tcPr>
            <w:tcW w:w="176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1204盐碱地</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9.35</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0.55</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406" w:type="dxa"/>
            <w:gridSpan w:val="2"/>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合计</w:t>
            </w:r>
          </w:p>
        </w:tc>
        <w:tc>
          <w:tcPr>
            <w:tcW w:w="1703"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1693.37</w:t>
            </w:r>
          </w:p>
        </w:tc>
        <w:tc>
          <w:tcPr>
            <w:tcW w:w="1703"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100.00</w:t>
            </w:r>
          </w:p>
        </w:tc>
        <w:tc>
          <w:tcPr>
            <w:tcW w:w="1704"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120</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根据统计结果，区域土地利用现状类型主要为旱地，面积占比58.45%；其次为水田、乔木林地，面积占比分别为16.55%、9.97%；其他草地和农村道路类型面积较少。</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4.3.2植被调查</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ab/>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4.3.2.1植被类型与分布</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结合植被群落样方调查结果，将评价范围内的植被类型图参照植被分类体系分为白杨林、狗尾草、小蓬草、农业植被等3个植被群系，同时结合区域高分遥感数据、DEM数据、地面调查数据等进行评价范围植被类型遥感目视解译，勾画出植被类型矢量图斑，并利用GIS软件以植被群落调查结果制作评价范围植被类型图，结果如下图所示。</w:t>
      </w:r>
    </w:p>
    <w:p>
      <w:pPr>
        <w:keepNext w:val="0"/>
        <w:keepLines w:val="0"/>
        <w:pageBreakBefore w:val="0"/>
        <w:wordWrap/>
        <w:overflowPunct/>
        <w:topLinePunct w:val="0"/>
        <w:bidi w:val="0"/>
        <w:spacing w:line="240" w:lineRule="auto"/>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drawing>
          <wp:inline distT="0" distB="0" distL="114300" distR="114300">
            <wp:extent cx="5262245" cy="3810635"/>
            <wp:effectExtent l="0" t="0" r="14605" b="18415"/>
            <wp:docPr id="15" name="图片 15" descr="植被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植被类型图"/>
                    <pic:cNvPicPr>
                      <a:picLocks noChangeAspect="1"/>
                    </pic:cNvPicPr>
                  </pic:nvPicPr>
                  <pic:blipFill>
                    <a:blip r:embed="rId36"/>
                    <a:stretch>
                      <a:fillRect/>
                    </a:stretch>
                  </pic:blipFill>
                  <pic:spPr>
                    <a:xfrm>
                      <a:off x="0" y="0"/>
                      <a:ext cx="5262245" cy="38106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图4.3-2植被类型图</w:t>
      </w:r>
    </w:p>
    <w:p>
      <w:pPr>
        <w:keepNext w:val="0"/>
        <w:keepLines w:val="0"/>
        <w:pageBreakBefore w:val="0"/>
        <w:wordWrap/>
        <w:overflowPunct/>
        <w:topLinePunct w:val="0"/>
        <w:bidi w:val="0"/>
        <w:spacing w:line="500" w:lineRule="exact"/>
        <w:ind w:firstLine="480" w:firstLineChars="200"/>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根据植被类型图，统计评价范围内的各植被类型的面积和占比情况，如下表所示。根据统计结果，评价范围内植被类型比较简单，以人工栽培植被为主，面积占比为75.00%，主要为水稻、玉米、大豆等粮食作物，人工栽培的白杨树；自然植被主要为其他草地，面积占比为1.33%。</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22" w:firstLineChars="200"/>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表4.3-3评价范围植被类型面积统计表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147"/>
        <w:gridCol w:w="2530"/>
        <w:gridCol w:w="28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1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群系</w:t>
            </w:r>
          </w:p>
        </w:tc>
        <w:tc>
          <w:tcPr>
            <w:tcW w:w="25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面积（hm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vertAlign w:val="baseline"/>
                <w:lang w:val="en-US" w:eastAsia="zh-CN"/>
              </w:rPr>
              <w:t>）</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占比（%）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1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白杨林</w:t>
            </w:r>
          </w:p>
        </w:tc>
        <w:tc>
          <w:tcPr>
            <w:tcW w:w="25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168.84</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9.97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1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狗尾草、小蓬草等</w:t>
            </w:r>
          </w:p>
        </w:tc>
        <w:tc>
          <w:tcPr>
            <w:tcW w:w="25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22.56</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1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水稻、玉米、大豆等农业植被</w:t>
            </w:r>
          </w:p>
        </w:tc>
        <w:tc>
          <w:tcPr>
            <w:tcW w:w="25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1270.02</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75.00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1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水域</w:t>
            </w:r>
          </w:p>
        </w:tc>
        <w:tc>
          <w:tcPr>
            <w:tcW w:w="25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102.51</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6.05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1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其它无植被地段</w:t>
            </w:r>
          </w:p>
        </w:tc>
        <w:tc>
          <w:tcPr>
            <w:tcW w:w="25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129.44</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14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合计</w:t>
            </w:r>
          </w:p>
        </w:tc>
        <w:tc>
          <w:tcPr>
            <w:tcW w:w="25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1693.37</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100</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4.3.2.2主要植被特征</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（1）自然植被</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1）乔木林</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评价区域林地主要为人工防护林，属于“三北”防护林体系，经过多年建设，在评价区内已经形成林网体系。耕地防护林树种均为杨树，已有30几年的树龄，胸径20～30cm，树高10～15m，多为成树林和近熟林。</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白杨为乔木，高15-30米。白杨喜光，耐寒，耐干旱，耐轻度盐碱，不耐阴，不耐湿热，抗风、抗病虫害能力强。白杨的繁殖方式为埋条、根蘖繁殖。</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2）草地</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评价范围内植物资源以草本植物为主体，在地势较高处草原植被较为茂盛繁杂，狗尾草为优势种，伴生种有蒿属等植物。水泡子附近和低洼地范围内生长有小蓬草植被。</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狗尾草一年生。根为须状，高大植株具支持根。产中国各地；生于海拔4000米以下的荒野、道旁，为旱地作物常见的一种杂草。原产欧亚大陆的温带和暖温带地区，现广布于全世界的温带和亚热带地区。</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小蓬草茎直立，株高50～100cm，具粗糙毛和细条纹。叶互生，叶柄短或不明显。叶片窄披针形，全缘或微锯齿，有长睫毛。头状花序有短梗，多形成圆锥状。总苞半球形，总苞片2～3层，披针形，边缘膜质，舌状花直立，小，白色至微带紫色，筒状花短于舌状花。瘦果扁长圆形，具毛，冠毛污白色。种子繁殖。</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（2）人工植被</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区域内农作物主要为水稻、玉米、大豆等。</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4.3.2.3重要野生植物及古树名木</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ab/>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根据《国家重点保护野生植物名录》（2021年），本项目所在行政区内关于国家重点保护野生植物的相关资料，结合现场调查，评价范围内未发现重点野生保护植物分布。</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黑龙江省古树名木资源保护规划》（2020-2029）古树名木资源普查结果，全省现有古树名木4322株，其中，古树4303株，含4个古树群2283株，名木19株，涉及大庆市古树主要为肇源县大庙村古树群及萨尔图区城市森林公园古树群，本项目评价区域内无古树名木。</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4.3.3野生动物调查</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4.3.3.1动物种类组成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结合区域走访及实地样线调查情况，结果表明区域内现状野生动物种类和数量均较少，区域内原始动物中鸟类主要有喜鹊、麻雀等，兽类主要有山兔、鼠等。评价范围内数量较多的主要为伴随人类生存的农田小型鼠类、麻雀、家燕等种群，陆生动物区系具有典型的农田动物群色彩。</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结合2021年最新颁布的《国家重点保护野生动物名录》，评价范围没有发现有重要野生动物分布。</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4.3.4生态系统现状评价</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4.3.4.1评价区生态系统组成</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ab/>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按照《全国生态状况调查评估技术规范—生态系统遥感解译与野外核查》（HJ1166—2021）中生态系统分类体系，结合评价区域土地利用现状调查分析，评价区生态系统主要以农田生态系统、草地生态系统为主，含有少量荒漠生态系统、森林生态系统、池塘生态系统、城镇生态系统等。</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（1）农田生态系统</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农田生态系统是人工的生态系统，农业生态系统组成简单，其植物主要以居民种植的人工粮食作物为主，垄间或生长些杂草和灌丛，种植的主要农作物有玉米、冬小麦等，动物主要由土壤动物及小型啮齿目、鸟类等组成，共同构成简单的农业生态系统。</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评价范围内农业生产活动频度和强度都比较高，地域原有的野生动物基本消失，伴之而来的地域物种主要与农业生产活动有关，较大型哺乳类动物基本绝迹，但小型哺乳类特别是鼠类仍为常见种。区域内原始动物中鸟类主要有喜鹊、麻雀等，兽类主要有山兔、鼠等。评价范围内数量较多的主要为伴随人类生存的农田小型鼠类、麻雀、家燕等种群，陆生动物区系具有典型的农田动物群色彩。</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（2）草地生态系统</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草地生态系统是以饲用植物和食草动物为主体的生物群落与其生存环境共同构成的开放生态系统，评价区域草地生态系统主要沿泡泽附近分布，优势种为狗尾草，其次在路边防护林下及林间也有部分草地分布，优势植物有艾蒿、大白茅等，草地生态系统是评价范围内重要的生态系统，生态系统的组成结构较为单一。</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（3）池塘生态系统</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池塘生态系统最大的环境特点在于以淡水为其环境介质。与空气相比，水的密度大、浮力大，许多小型生物如浮游生物可以悬浮在水中，借助水的浮力度过它们的一生。水的密度大还决定了水生生物在构造上的许多特点。水的比热较大，导热率低，因此水温的升降变化比较缓慢，温度相对稳定，通常不会出现陆地那样强烈的温度变化。</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营养结构特点为：消费者层次的组成状况在淡水和海洋两类生态系统中的差别较大。在淡水水域，消费者一般是体型较小、生物学分类地位较低的变温动物，新陈代谢过程中所需热量比恒温动物少，热能代谢受外界环境变化的影响较大。</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（4）森林生态系统</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评价范围内的森林生态系统主要为人工防护林，是本区耕地生态系统的重要组成部分。本区的耕地防护林属于“三北”防护林体系，经过多年建设，在评价区内已经形成林网体系。耕地防护林树种均为杨树，已有30几年的树龄，胸径20～30cm，树高10～15m，多为成熟林和近熟林。区内无天然林分布。耕地防护林对于防风、改善耕地小气候等发挥着重要的生态功能。</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（5）城镇生态系统</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项目选址、选线过程中，最大程度上对城镇、村落等居民聚集区进行了避让，城镇生态系统主要为农村居民点，在项目周边零星斑块状分布。城镇、村落是一个高度复合的人工化生态系统，与自然生态系统在结构和功能上都存在明显差别。由于城镇村落生态系统受人类干扰因素大，故动物种类较少。</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4.3.5评价区景观分析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景观格局变化对生物多样性产生直接而强烈影响，其主要原因是生境丧失和破碎化。景观指数是能够反映景观格局特征的定量化指标，分为三个级别，代表三种不同的应用尺度，即斑块级别指数、斑块类型级别指数和景观级别指数，可根据需要选取相应的指标，采用FRAGSTATS等景观格局分析软件进行计算分析。常用的景观指数如下：</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斑块类型面积Class area（CA)：斑块类型面积是度量其他指标的基础，其值的大小影响以此斑块类型作为生境的物种数量及丰度。</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斑块所占景观面积比例Percent of landscape（PLAND）：某一斑块类型占整个景观面积的百分比，是确定优势景观元素重要依据，也是决定景观中优势种和数量等生态系统指标的重要因素。</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最大斑块指数Largest patch index（LPI）：某一斑块类型中最大斑块占整个景观的百分比，用于确定景观中的优势斑块，可间接反映景观变化受人类活动的干扰程度。</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香农多样性指数Shannon's diversity index（SHDI）：反映景观类型的多样性和异质性，对景观中各斑块类型非均衡分布状况较敏感，值增大表明斑块类型增加或各斑块类型呈均衡趋势分布。</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蔓延度指数Contagion index（CONTAG)：高蔓延度值表明景观中的某种优势斑块类型形成了良好的连接性，反之则表明景观具有多种要素的密集格局,破碎化程度较高。</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散布与并列指数Interspersion juxtaposition index（IJI）：反映斑块类型的隔离分布情况，值越小表明斑块与相同类型斑块相邻越多，而与其他类型斑块相邻的越少。</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聚集度指数Aggregation index（AL）：基于栅格数量测度景观或者某种斑块类型的聚集程度。</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评价区的景观类型包括森林、水域、农田、草地、建设用地、其他等6个类型。运用ArcGIS地理信息系统软件，根据野外植被调查情况，利用ArcGIS和Fragstats的统计分析功能可以得到各类景观要素的指数信息，结果见下表。</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表4.3-4评价范围景观指数统计表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19"/>
        <w:gridCol w:w="1419"/>
        <w:gridCol w:w="1419"/>
        <w:gridCol w:w="1419"/>
        <w:gridCol w:w="1420"/>
        <w:gridCol w:w="14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景观类型</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CA（公顷）</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PLAND（%）</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LPI（%）</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IJI</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AI</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419"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农田</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1267.28</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74.84</w:t>
            </w:r>
          </w:p>
        </w:tc>
        <w:tc>
          <w:tcPr>
            <w:tcW w:w="1419"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22.43</w:t>
            </w:r>
          </w:p>
        </w:tc>
        <w:tc>
          <w:tcPr>
            <w:tcW w:w="1420"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71.55</w:t>
            </w:r>
          </w:p>
        </w:tc>
        <w:tc>
          <w:tcPr>
            <w:tcW w:w="1420"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92.79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草地</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21.75</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1.28</w:t>
            </w:r>
          </w:p>
        </w:tc>
        <w:tc>
          <w:tcPr>
            <w:tcW w:w="1419"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0.81</w:t>
            </w:r>
          </w:p>
        </w:tc>
        <w:tc>
          <w:tcPr>
            <w:tcW w:w="1420"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80.94</w:t>
            </w:r>
          </w:p>
        </w:tc>
        <w:tc>
          <w:tcPr>
            <w:tcW w:w="1420"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85.93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森林</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168.45</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9.95</w:t>
            </w:r>
          </w:p>
        </w:tc>
        <w:tc>
          <w:tcPr>
            <w:tcW w:w="1419"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2.89</w:t>
            </w:r>
          </w:p>
        </w:tc>
        <w:tc>
          <w:tcPr>
            <w:tcW w:w="1420"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45.45</w:t>
            </w:r>
          </w:p>
        </w:tc>
        <w:tc>
          <w:tcPr>
            <w:tcW w:w="1420"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68.51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419"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水域</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104.35</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6.16</w:t>
            </w:r>
          </w:p>
        </w:tc>
        <w:tc>
          <w:tcPr>
            <w:tcW w:w="1419"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2.32</w:t>
            </w:r>
          </w:p>
        </w:tc>
        <w:tc>
          <w:tcPr>
            <w:tcW w:w="1420"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75.15</w:t>
            </w:r>
          </w:p>
        </w:tc>
        <w:tc>
          <w:tcPr>
            <w:tcW w:w="1420"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86.83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建设</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131.55</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7.76</w:t>
            </w:r>
          </w:p>
        </w:tc>
        <w:tc>
          <w:tcPr>
            <w:tcW w:w="1419"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1.56</w:t>
            </w:r>
          </w:p>
        </w:tc>
        <w:tc>
          <w:tcPr>
            <w:tcW w:w="1420"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71.41</w:t>
            </w:r>
          </w:p>
        </w:tc>
        <w:tc>
          <w:tcPr>
            <w:tcW w:w="1420"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76.32</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从表可以看出，评价区内农田斑块面积最大，为</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1267.28</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公顷，占评价区总面积的</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74.84</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%，最大斑块指数为22.43%，散布与并列指数为71.55，聚集度指数为92.79，评价范围内的优势板块为农田景观，集中度高。</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4.3.6评价区主要生态环境问题</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（1）生物多样性不高</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通过评价区现状调查及区域资料分析，该区人为干扰较大，农耕区占地较广，自然植被以草地为主，评价区的森林植被以人工的纯林为主。评价区内地带性植被、垂直分布特征均不显著，植被类型较为单一。从动物种类组成与分布来看，大型兽类与保护种类较少，整体而言，整个区域的生物多样性不高。</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（2）土地盐渍化</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所在区域属于松嫩平原西部草甸草原生态区，松嫩平原西部草甸草原与农业生态亚区。大庆市气候类型属中温带大陆性季风气候，为半干旱向半湿润过渡地带，是我国土地盐碱化比较严重的地区之一，肇源县也位于松嫩平原腹地的河谷冲洪积平原上，具有形成盐碱土地的特殊条件。项目评价范围现状盐碱土地较多，随着石油资源开发、地下水的开采及人类活动的加剧，区域土地盐渍化问题压力将增大，必须加强保护，及时开展修复治理、改良。</w:t>
      </w:r>
    </w:p>
    <w:p>
      <w:pP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p>
    <w:p>
      <w:pP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br w:type="page"/>
      </w:r>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1203" w:name="_Toc29369"/>
      <w:bookmarkStart w:id="1204" w:name="_Toc9833"/>
      <w:r>
        <w:rPr>
          <w:rFonts w:hint="default" w:ascii="Times New Roman" w:hAnsi="Times New Roman" w:eastAsia="宋体" w:cs="Times New Roman"/>
          <w:snapToGrid/>
          <w:color w:val="auto"/>
          <w:sz w:val="32"/>
          <w:highlight w:val="none"/>
          <w:lang w:val="en-US" w:eastAsia="zh-CN" w:bidi="ar-SA"/>
        </w:rPr>
        <w:t>5.环境影响预测与评价</w:t>
      </w:r>
      <w:bookmarkEnd w:id="1203"/>
      <w:bookmarkEnd w:id="1204"/>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1205" w:name="_Toc31898"/>
      <w:r>
        <w:rPr>
          <w:rFonts w:hint="default" w:ascii="Times New Roman" w:hAnsi="Times New Roman" w:eastAsia="宋体" w:cs="Times New Roman"/>
          <w:snapToGrid/>
          <w:color w:val="auto"/>
          <w:sz w:val="32"/>
          <w:highlight w:val="none"/>
          <w:lang w:val="en-US" w:eastAsia="zh-CN" w:bidi="ar-SA"/>
        </w:rPr>
        <w:t>5.1</w:t>
      </w:r>
      <w:r>
        <w:rPr>
          <w:rFonts w:hint="eastAsia" w:ascii="Times New Roman" w:hAnsi="Times New Roman" w:eastAsia="宋体" w:cs="Times New Roman"/>
          <w:snapToGrid/>
          <w:color w:val="auto"/>
          <w:sz w:val="32"/>
          <w:highlight w:val="none"/>
          <w:lang w:val="en-US" w:eastAsia="zh-CN" w:bidi="ar-SA"/>
        </w:rPr>
        <w:t>施工期</w:t>
      </w:r>
      <w:r>
        <w:rPr>
          <w:rFonts w:hint="default" w:ascii="Times New Roman" w:hAnsi="Times New Roman" w:eastAsia="宋体" w:cs="Times New Roman"/>
          <w:snapToGrid/>
          <w:color w:val="auto"/>
          <w:sz w:val="32"/>
          <w:highlight w:val="none"/>
          <w:lang w:val="en-US" w:eastAsia="zh-CN" w:bidi="ar-SA"/>
        </w:rPr>
        <w:t>环境影响预测与评价</w:t>
      </w:r>
      <w:bookmarkEnd w:id="1205"/>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5.1.1</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大气环境影响预测</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本项目施工期废气主要为施工扬尘</w:t>
      </w:r>
      <w:r>
        <w:rPr>
          <w:rFonts w:hint="eastAsia" w:eastAsia="宋体" w:cs="Times New Roman"/>
          <w:caps w:val="0"/>
          <w:smallCaps w:val="0"/>
          <w:snapToGrid/>
          <w:color w:val="auto"/>
          <w:spacing w:val="0"/>
          <w:w w:val="100"/>
          <w:kern w:val="0"/>
          <w:sz w:val="24"/>
          <w:szCs w:val="24"/>
          <w:highlight w:val="no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施工设备和运输车辆尾气</w:t>
      </w:r>
      <w:r>
        <w:rPr>
          <w:rFonts w:hint="eastAsia" w:eastAsia="宋体" w:cs="Times New Roman"/>
          <w:caps w:val="0"/>
          <w:smallCaps w:val="0"/>
          <w:snapToGrid/>
          <w:color w:val="auto"/>
          <w:spacing w:val="0"/>
          <w:w w:val="100"/>
          <w:kern w:val="0"/>
          <w:sz w:val="24"/>
          <w:szCs w:val="24"/>
          <w:highlight w:val="none"/>
          <w:lang w:val="en-US" w:eastAsia="zh-CN" w:bidi="ar-SA"/>
        </w:rPr>
        <w:t>，焊接烟尘。</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（1）</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施工扬尘</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施工期扬尘污染主要来自平整土地、开挖土方，材料运输、装卸等过程。其污染范围和程度与施工工艺、施工管理、土方含水率、气象条件等等多种因素有关。本项目区块所在区域平坦空旷，大气扩散条件好。根据以往施工经验可知施工时产生的场界扬尘约为1.15mg/m</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施工期间只要采取加强管理、控制作业面积，在运输和堆置过程中对易起尘的建筑材料加盖遮盖物，对进出的运输道路进行洒水抑尘，施工场地设置围护，大风天停止作业等措施，通过采取以上措施，产生的扬尘可</w:t>
      </w:r>
      <w:r>
        <w:rPr>
          <w:rFonts w:hint="default" w:eastAsia="宋体" w:cs="Times New Roman"/>
          <w:caps w:val="0"/>
          <w:smallCaps w:val="0"/>
          <w:snapToGrid/>
          <w:color w:val="auto"/>
          <w:spacing w:val="0"/>
          <w:w w:val="100"/>
          <w:kern w:val="0"/>
          <w:sz w:val="24"/>
          <w:szCs w:val="24"/>
          <w:highlight w:val="none"/>
          <w:lang w:val="en-US" w:eastAsia="zh-CN" w:bidi="ar-SA"/>
        </w:rPr>
        <w:t>降至1.0mg/m</w:t>
      </w:r>
      <w:r>
        <w:rPr>
          <w:rFonts w:hint="default" w:eastAsia="宋体" w:cs="Times New Roman"/>
          <w:caps w:val="0"/>
          <w:smallCaps w:val="0"/>
          <w:snapToGrid/>
          <w:color w:val="auto"/>
          <w:spacing w:val="0"/>
          <w:w w:val="100"/>
          <w:kern w:val="0"/>
          <w:sz w:val="24"/>
          <w:szCs w:val="24"/>
          <w:highlight w:val="none"/>
          <w:vertAlign w:val="superscript"/>
          <w:lang w:val="en-US" w:eastAsia="zh-CN" w:bidi="ar-SA"/>
        </w:rPr>
        <w:t>3</w:t>
      </w:r>
      <w:r>
        <w:rPr>
          <w:rFonts w:hint="default" w:eastAsia="宋体" w:cs="Times New Roman"/>
          <w:caps w:val="0"/>
          <w:smallCaps w:val="0"/>
          <w:snapToGrid/>
          <w:color w:val="auto"/>
          <w:spacing w:val="0"/>
          <w:w w:val="100"/>
          <w:kern w:val="0"/>
          <w:sz w:val="24"/>
          <w:szCs w:val="24"/>
          <w:highlight w:val="none"/>
          <w:lang w:val="en-US" w:eastAsia="zh-CN" w:bidi="ar-SA"/>
        </w:rPr>
        <w:t>以下。</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（2）排放的尾气</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施</w:t>
      </w:r>
      <w:r>
        <w:rPr>
          <w:rFonts w:hint="default" w:eastAsia="宋体" w:cs="Times New Roman"/>
          <w:caps w:val="0"/>
          <w:smallCaps w:val="0"/>
          <w:snapToGrid/>
          <w:color w:val="auto"/>
          <w:spacing w:val="0"/>
          <w:w w:val="100"/>
          <w:kern w:val="0"/>
          <w:sz w:val="24"/>
          <w:szCs w:val="24"/>
          <w:highlight w:val="none"/>
          <w:lang w:val="en-US" w:eastAsia="zh-CN" w:bidi="ar-SA"/>
        </w:rPr>
        <w:t>工期间，</w:t>
      </w:r>
      <w:r>
        <w:rPr>
          <w:rFonts w:hint="eastAsia" w:cs="Times New Roman"/>
          <w:caps w:val="0"/>
          <w:smallCaps w:val="0"/>
          <w:snapToGrid/>
          <w:color w:val="auto"/>
          <w:spacing w:val="0"/>
          <w:w w:val="100"/>
          <w:kern w:val="0"/>
          <w:sz w:val="24"/>
          <w:szCs w:val="24"/>
          <w:highlight w:val="none"/>
          <w:lang w:val="en-US" w:eastAsia="zh-CN" w:bidi="ar-SA"/>
        </w:rPr>
        <w:t>车辆及机械</w:t>
      </w:r>
      <w:r>
        <w:rPr>
          <w:rFonts w:hint="default" w:eastAsia="宋体" w:cs="Times New Roman"/>
          <w:caps w:val="0"/>
          <w:smallCaps w:val="0"/>
          <w:snapToGrid/>
          <w:color w:val="auto"/>
          <w:spacing w:val="0"/>
          <w:w w:val="100"/>
          <w:kern w:val="0"/>
          <w:sz w:val="24"/>
          <w:szCs w:val="24"/>
          <w:highlight w:val="none"/>
          <w:lang w:val="en-US" w:eastAsia="zh-CN" w:bidi="ar-SA"/>
        </w:rPr>
        <w:t>排放的尾气含有NO</w:t>
      </w:r>
      <w:r>
        <w:rPr>
          <w:rFonts w:hint="default" w:eastAsia="宋体" w:cs="Times New Roman"/>
          <w:caps w:val="0"/>
          <w:smallCaps w:val="0"/>
          <w:snapToGrid/>
          <w:color w:val="auto"/>
          <w:spacing w:val="0"/>
          <w:w w:val="100"/>
          <w:kern w:val="0"/>
          <w:sz w:val="24"/>
          <w:szCs w:val="24"/>
          <w:highlight w:val="none"/>
          <w:vertAlign w:val="subscript"/>
          <w:lang w:val="en-US" w:eastAsia="zh-CN" w:bidi="ar-SA"/>
        </w:rPr>
        <w:t>X</w:t>
      </w:r>
      <w:r>
        <w:rPr>
          <w:rFonts w:hint="default" w:eastAsia="宋体" w:cs="Times New Roman"/>
          <w:caps w:val="0"/>
          <w:smallCaps w:val="0"/>
          <w:snapToGrid/>
          <w:color w:val="auto"/>
          <w:spacing w:val="0"/>
          <w:w w:val="100"/>
          <w:kern w:val="0"/>
          <w:sz w:val="24"/>
          <w:szCs w:val="24"/>
          <w:highlight w:val="none"/>
          <w:lang w:val="en-US" w:eastAsia="zh-CN" w:bidi="ar-SA"/>
        </w:rPr>
        <w:t>、CO、HC等污染物，由于施工运输车辆作业范围较分散，机械运行时长不确定，车辆尾气难以定量，本次评价不进行定量评价，仅进行定性分析。一般情况下，各种污染物的排放量不大，且由于车辆排放的尾气为流动的线源，污染不集中且扩散能力相对较快，对局部地区环境的影响不大。</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焊接</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烟尘</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项目</w:t>
      </w:r>
      <w:r>
        <w:rPr>
          <w:rFonts w:hint="eastAsia" w:eastAsia="宋体" w:cs="Times New Roman"/>
          <w:caps w:val="0"/>
          <w:smallCaps w:val="0"/>
          <w:snapToGrid/>
          <w:color w:val="auto"/>
          <w:spacing w:val="0"/>
          <w:w w:val="100"/>
          <w:kern w:val="0"/>
          <w:sz w:val="24"/>
          <w:szCs w:val="24"/>
          <w:highlight w:val="none"/>
          <w:lang w:val="en-US" w:eastAsia="zh-CN" w:bidi="ar-SA"/>
        </w:rPr>
        <w:t>站址厂房建设需要焊接作业；</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焊接过程中会产生少量焊接烟气，焊接烟气中有毒有害气体的成份主要为CO、CO</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、O</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、NO</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X</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、CH</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4</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等，其中以CO所占的比例最大。本项目</w:t>
      </w:r>
      <w:r>
        <w:rPr>
          <w:rFonts w:hint="eastAsia" w:eastAsia="宋体" w:cs="Times New Roman"/>
          <w:caps w:val="0"/>
          <w:smallCaps w:val="0"/>
          <w:snapToGrid/>
          <w:color w:val="auto"/>
          <w:spacing w:val="0"/>
          <w:w w:val="100"/>
          <w:kern w:val="0"/>
          <w:sz w:val="24"/>
          <w:szCs w:val="24"/>
          <w:highlight w:val="none"/>
          <w:lang w:val="en-US" w:eastAsia="zh-CN" w:bidi="ar-SA"/>
        </w:rPr>
        <w:t>焊接作业时间剪短，且站址常年主导风向下风向无村屯住宅，</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焊接烟尘产生量较小，项目</w:t>
      </w:r>
      <w:r>
        <w:rPr>
          <w:rFonts w:hint="eastAsia" w:eastAsia="宋体" w:cs="Times New Roman"/>
          <w:caps w:val="0"/>
          <w:smallCaps w:val="0"/>
          <w:snapToGrid/>
          <w:color w:val="auto"/>
          <w:spacing w:val="0"/>
          <w:w w:val="100"/>
          <w:kern w:val="0"/>
          <w:sz w:val="24"/>
          <w:szCs w:val="24"/>
          <w:highlight w:val="none"/>
          <w:lang w:val="en-US" w:eastAsia="zh-CN" w:bidi="ar-SA"/>
        </w:rPr>
        <w:t>所在区域</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空气扩散条件较好，经空气稀释、扩散后对周围大气环境影响较小。</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综上分析，本</w:t>
      </w:r>
      <w:r>
        <w:rPr>
          <w:rFonts w:hint="eastAsia" w:eastAsia="宋体" w:cs="Times New Roman"/>
          <w:caps w:val="0"/>
          <w:smallCaps w:val="0"/>
          <w:snapToGrid/>
          <w:color w:val="auto"/>
          <w:spacing w:val="0"/>
          <w:w w:val="100"/>
          <w:kern w:val="0"/>
          <w:sz w:val="24"/>
          <w:szCs w:val="24"/>
          <w:highlight w:val="none"/>
          <w:lang w:val="en-US" w:eastAsia="zh-CN" w:bidi="ar-SA"/>
        </w:rPr>
        <w:t>项目</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施工过程将产生</w:t>
      </w:r>
      <w:r>
        <w:rPr>
          <w:rFonts w:hint="eastAsia" w:eastAsia="宋体" w:cs="Times New Roman"/>
          <w:caps w:val="0"/>
          <w:smallCaps w:val="0"/>
          <w:snapToGrid/>
          <w:color w:val="auto"/>
          <w:spacing w:val="0"/>
          <w:w w:val="100"/>
          <w:kern w:val="0"/>
          <w:sz w:val="24"/>
          <w:szCs w:val="24"/>
          <w:highlight w:val="none"/>
          <w:lang w:val="en-US" w:eastAsia="zh-CN" w:bidi="ar-SA"/>
        </w:rPr>
        <w:t>施工扬尘、车辆及</w:t>
      </w:r>
      <w:r>
        <w:rPr>
          <w:rFonts w:hint="eastAsia" w:cs="Times New Roman"/>
          <w:caps w:val="0"/>
          <w:smallCaps w:val="0"/>
          <w:snapToGrid/>
          <w:color w:val="auto"/>
          <w:spacing w:val="0"/>
          <w:w w:val="100"/>
          <w:kern w:val="0"/>
          <w:sz w:val="24"/>
          <w:szCs w:val="24"/>
          <w:highlight w:val="none"/>
          <w:lang w:val="en-US" w:eastAsia="zh-CN" w:bidi="ar-SA"/>
        </w:rPr>
        <w:t>机械</w:t>
      </w:r>
      <w:r>
        <w:rPr>
          <w:rFonts w:hint="default" w:eastAsia="宋体" w:cs="Times New Roman"/>
          <w:caps w:val="0"/>
          <w:smallCaps w:val="0"/>
          <w:snapToGrid/>
          <w:color w:val="auto"/>
          <w:spacing w:val="0"/>
          <w:w w:val="100"/>
          <w:kern w:val="0"/>
          <w:sz w:val="24"/>
          <w:szCs w:val="24"/>
          <w:highlight w:val="none"/>
          <w:lang w:val="en-US" w:eastAsia="zh-CN" w:bidi="ar-SA"/>
        </w:rPr>
        <w:t>排放的</w:t>
      </w:r>
      <w:r>
        <w:rPr>
          <w:rFonts w:hint="eastAsia" w:eastAsia="宋体" w:cs="Times New Roman"/>
          <w:caps w:val="0"/>
          <w:smallCaps w:val="0"/>
          <w:snapToGrid/>
          <w:color w:val="auto"/>
          <w:spacing w:val="0"/>
          <w:w w:val="100"/>
          <w:kern w:val="0"/>
          <w:sz w:val="24"/>
          <w:szCs w:val="24"/>
          <w:highlight w:val="none"/>
          <w:lang w:val="en-US" w:eastAsia="zh-CN" w:bidi="ar-SA"/>
        </w:rPr>
        <w:t>尾气、焊接烟尘对周围环境空气的影响是局部的、短期的，项目建设完成之后影响就会消失，且在施工过程中可采取合理可行的控制措施，尽量减轻其污染程度，缩小其影响。因此，施工废气的影响对周围环境的影响可被接受。</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5.1.</w:t>
      </w:r>
      <w:r>
        <w:rPr>
          <w:rFonts w:hint="eastAsia" w:eastAsia="宋体" w:cs="Times New Roman"/>
          <w:caps w:val="0"/>
          <w:smallCaps w:val="0"/>
          <w:snapToGrid/>
          <w:color w:val="auto"/>
          <w:spacing w:val="0"/>
          <w:w w:val="100"/>
          <w:kern w:val="0"/>
          <w:sz w:val="24"/>
          <w:szCs w:val="24"/>
          <w:highlight w:val="none"/>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地表水环境影响分析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本项目站址及管道附近地表水体有鸭木蛋格泡子、葫芦代泡、河北</w:t>
      </w:r>
      <w:r>
        <w:rPr>
          <w:rFonts w:hint="eastAsia" w:cs="Times New Roman"/>
          <w:caps w:val="0"/>
          <w:smallCaps w:val="0"/>
          <w:snapToGrid/>
          <w:color w:val="auto"/>
          <w:spacing w:val="0"/>
          <w:w w:val="100"/>
          <w:kern w:val="0"/>
          <w:sz w:val="24"/>
          <w:szCs w:val="24"/>
          <w:highlight w:val="none"/>
          <w:lang w:val="en-US" w:eastAsia="zh-CN" w:bidi="ar-SA"/>
        </w:rPr>
        <w:t>村</w:t>
      </w:r>
      <w:r>
        <w:rPr>
          <w:rFonts w:hint="eastAsia" w:eastAsia="宋体" w:cs="Times New Roman"/>
          <w:caps w:val="0"/>
          <w:smallCaps w:val="0"/>
          <w:snapToGrid/>
          <w:color w:val="auto"/>
          <w:spacing w:val="0"/>
          <w:w w:val="100"/>
          <w:kern w:val="0"/>
          <w:sz w:val="24"/>
          <w:szCs w:val="24"/>
          <w:highlight w:val="none"/>
          <w:lang w:val="en-US" w:eastAsia="zh-CN" w:bidi="ar-SA"/>
        </w:rPr>
        <w:t>南侧沟渠及</w:t>
      </w:r>
      <w:r>
        <w:rPr>
          <w:rFonts w:hint="eastAsia" w:cs="Times New Roman"/>
          <w:caps w:val="0"/>
          <w:smallCaps w:val="0"/>
          <w:snapToGrid/>
          <w:color w:val="auto"/>
          <w:spacing w:val="0"/>
          <w:w w:val="100"/>
          <w:kern w:val="0"/>
          <w:sz w:val="24"/>
          <w:szCs w:val="24"/>
          <w:highlight w:val="none"/>
          <w:lang w:val="en-US" w:eastAsia="zh-CN" w:bidi="ar-SA"/>
        </w:rPr>
        <w:t>大五家子屯</w:t>
      </w:r>
      <w:r>
        <w:rPr>
          <w:rFonts w:hint="eastAsia" w:eastAsia="宋体" w:cs="Times New Roman"/>
          <w:caps w:val="0"/>
          <w:smallCaps w:val="0"/>
          <w:snapToGrid/>
          <w:color w:val="auto"/>
          <w:spacing w:val="0"/>
          <w:w w:val="100"/>
          <w:kern w:val="0"/>
          <w:sz w:val="24"/>
          <w:szCs w:val="24"/>
          <w:highlight w:val="none"/>
          <w:lang w:val="en-US" w:eastAsia="zh-CN" w:bidi="ar-SA"/>
        </w:rPr>
        <w:t>东北侧沟渠，项目附近地表水体为乡级河湖，按照河湖保护要求，保持水体、水面和堤岸保洁，暂不执行《地表水环境质量标准》（GB3838-2002）。且本项目在施工期穿越</w:t>
      </w:r>
      <w:r>
        <w:rPr>
          <w:rFonts w:hint="eastAsia" w:cs="Times New Roman"/>
          <w:caps w:val="0"/>
          <w:smallCaps w:val="0"/>
          <w:snapToGrid/>
          <w:color w:val="auto"/>
          <w:spacing w:val="0"/>
          <w:w w:val="100"/>
          <w:kern w:val="0"/>
          <w:sz w:val="24"/>
          <w:szCs w:val="24"/>
          <w:highlight w:val="none"/>
          <w:lang w:val="en-US" w:eastAsia="zh-CN" w:bidi="ar-SA"/>
        </w:rPr>
        <w:t>坑塘水面、</w:t>
      </w:r>
      <w:r>
        <w:rPr>
          <w:rFonts w:hint="eastAsia" w:eastAsia="宋体" w:cs="Times New Roman"/>
          <w:caps w:val="0"/>
          <w:smallCaps w:val="0"/>
          <w:snapToGrid/>
          <w:color w:val="auto"/>
          <w:spacing w:val="0"/>
          <w:w w:val="100"/>
          <w:kern w:val="0"/>
          <w:sz w:val="24"/>
          <w:szCs w:val="24"/>
          <w:highlight w:val="none"/>
          <w:lang w:val="en-US" w:eastAsia="zh-CN" w:bidi="ar-SA"/>
        </w:rPr>
        <w:t>沟渠时，采取定向穿越的施工方式，不进行涉水施工，在两侧下钻杆及设置泥浆坑时，注意沟渠岸边坡度，设置在沟渠两侧管理范围之外，减少对干渠两岸的水力侵蚀影响，避免出现塌方现象。</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本项目施工期产生的废水为施工人员生活污水及搅拌砂浆、润湿建筑材料、清洗施工设备的少量生产废水。</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3#服务站站址施工区域生活污水排入站内化粪池，施工结束后，可随站内运维人员生活污水一起拉运处置；管道施工区域距附近村屯较近，不设置施工营地，租用附近的村民民房进行生活，生活污水排入租用民房防渗化粪池内，定期清掏。</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少量生产废水中污染物主要为悬浮物，施工场地内临时沉淀池沉淀后，用于厂区施工洒水抑尘。本项目管道采用压缩空气进行试压，无试压废水产生。</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eastAsia="宋体" w:cs="Times New Roman"/>
          <w:caps w:val="0"/>
          <w:smallCaps w:val="0"/>
          <w:snapToGrid/>
          <w:color w:val="auto"/>
          <w:spacing w:val="0"/>
          <w:w w:val="100"/>
          <w:kern w:val="0"/>
          <w:sz w:val="24"/>
          <w:szCs w:val="24"/>
          <w:highlight w:val="none"/>
          <w:lang w:val="en-US" w:eastAsia="zh-CN" w:bidi="ar-SA"/>
        </w:rPr>
        <w:t>本项目</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施工期废水均得到合理有效的处理，不排入外环境，因此不会对周边地表水体造成影响</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5</w:t>
      </w:r>
      <w:r>
        <w:rPr>
          <w:rFonts w:hint="default" w:eastAsia="宋体" w:cs="Times New Roman"/>
          <w:caps w:val="0"/>
          <w:smallCaps w:val="0"/>
          <w:snapToGrid/>
          <w:color w:val="auto"/>
          <w:spacing w:val="0"/>
          <w:w w:val="100"/>
          <w:kern w:val="0"/>
          <w:sz w:val="24"/>
          <w:szCs w:val="24"/>
          <w:highlight w:val="none"/>
          <w:lang w:val="en-US" w:eastAsia="zh-CN" w:bidi="ar-SA"/>
        </w:rPr>
        <w:t>.1.3声环境影响分析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（1）噪声源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default" w:eastAsia="宋体" w:cs="Times New Roman"/>
          <w:caps w:val="0"/>
          <w:smallCaps w:val="0"/>
          <w:snapToGrid/>
          <w:color w:val="auto"/>
          <w:spacing w:val="0"/>
          <w:w w:val="100"/>
          <w:kern w:val="0"/>
          <w:sz w:val="24"/>
          <w:szCs w:val="24"/>
          <w:highlight w:val="none"/>
          <w:lang w:val="en-US" w:eastAsia="zh-CN" w:bidi="ar-SA"/>
        </w:rPr>
        <w:t>在</w:t>
      </w:r>
      <w:r>
        <w:rPr>
          <w:rFonts w:hint="eastAsia" w:eastAsia="宋体" w:cs="Times New Roman"/>
          <w:caps w:val="0"/>
          <w:smallCaps w:val="0"/>
          <w:snapToGrid/>
          <w:color w:val="auto"/>
          <w:spacing w:val="0"/>
          <w:w w:val="100"/>
          <w:kern w:val="0"/>
          <w:sz w:val="24"/>
          <w:szCs w:val="24"/>
          <w:highlight w:val="none"/>
          <w:lang w:val="en-US" w:eastAsia="zh-CN" w:bidi="ar-SA"/>
        </w:rPr>
        <w:t>项目</w:t>
      </w:r>
      <w:r>
        <w:rPr>
          <w:rFonts w:hint="default" w:eastAsia="宋体" w:cs="Times New Roman"/>
          <w:caps w:val="0"/>
          <w:smallCaps w:val="0"/>
          <w:snapToGrid/>
          <w:color w:val="auto"/>
          <w:spacing w:val="0"/>
          <w:w w:val="100"/>
          <w:kern w:val="0"/>
          <w:sz w:val="24"/>
          <w:szCs w:val="24"/>
          <w:highlight w:val="none"/>
          <w:lang w:val="en-US" w:eastAsia="zh-CN" w:bidi="ar-SA"/>
        </w:rPr>
        <w:t>建设过程中，由于运输、</w:t>
      </w:r>
      <w:r>
        <w:rPr>
          <w:rFonts w:hint="eastAsia" w:eastAsia="宋体" w:cs="Times New Roman"/>
          <w:caps w:val="0"/>
          <w:smallCaps w:val="0"/>
          <w:snapToGrid/>
          <w:color w:val="auto"/>
          <w:spacing w:val="0"/>
          <w:w w:val="100"/>
          <w:kern w:val="0"/>
          <w:sz w:val="24"/>
          <w:szCs w:val="24"/>
          <w:highlight w:val="none"/>
          <w:lang w:val="en-US" w:eastAsia="zh-CN" w:bidi="ar-SA"/>
        </w:rPr>
        <w:t>站址构</w:t>
      </w:r>
      <w:r>
        <w:rPr>
          <w:rFonts w:hint="default" w:eastAsia="宋体" w:cs="Times New Roman"/>
          <w:caps w:val="0"/>
          <w:smallCaps w:val="0"/>
          <w:snapToGrid/>
          <w:color w:val="auto"/>
          <w:spacing w:val="0"/>
          <w:w w:val="100"/>
          <w:kern w:val="0"/>
          <w:sz w:val="24"/>
          <w:szCs w:val="24"/>
          <w:highlight w:val="none"/>
          <w:lang w:val="en-US" w:eastAsia="zh-CN" w:bidi="ar-SA"/>
        </w:rPr>
        <w:t>筑物修建</w:t>
      </w:r>
      <w:r>
        <w:rPr>
          <w:rFonts w:hint="eastAsia" w:eastAsia="宋体" w:cs="Times New Roman"/>
          <w:caps w:val="0"/>
          <w:smallCaps w:val="0"/>
          <w:snapToGrid/>
          <w:color w:val="auto"/>
          <w:spacing w:val="0"/>
          <w:w w:val="100"/>
          <w:kern w:val="0"/>
          <w:sz w:val="24"/>
          <w:szCs w:val="24"/>
          <w:highlight w:val="none"/>
          <w:lang w:val="en-US" w:eastAsia="zh-CN" w:bidi="ar-SA"/>
        </w:rPr>
        <w:t>、管道</w:t>
      </w:r>
      <w:r>
        <w:rPr>
          <w:rFonts w:hint="default" w:eastAsia="宋体" w:cs="Times New Roman"/>
          <w:caps w:val="0"/>
          <w:smallCaps w:val="0"/>
          <w:snapToGrid/>
          <w:color w:val="auto"/>
          <w:spacing w:val="0"/>
          <w:w w:val="100"/>
          <w:kern w:val="0"/>
          <w:sz w:val="24"/>
          <w:szCs w:val="24"/>
          <w:highlight w:val="none"/>
          <w:lang w:val="en-US" w:eastAsia="zh-CN" w:bidi="ar-SA"/>
        </w:rPr>
        <w:t>管沟开挖及回填等</w:t>
      </w:r>
      <w:r>
        <w:rPr>
          <w:rFonts w:hint="eastAsia" w:cs="Times New Roman"/>
          <w:caps w:val="0"/>
          <w:smallCaps w:val="0"/>
          <w:snapToGrid/>
          <w:color w:val="auto"/>
          <w:spacing w:val="0"/>
          <w:w w:val="100"/>
          <w:kern w:val="0"/>
          <w:sz w:val="24"/>
          <w:szCs w:val="24"/>
          <w:highlight w:val="none"/>
          <w:lang w:val="en-US" w:eastAsia="zh-CN" w:bidi="ar-SA"/>
        </w:rPr>
        <w:t>作业</w:t>
      </w:r>
      <w:r>
        <w:rPr>
          <w:rFonts w:hint="default" w:eastAsia="宋体" w:cs="Times New Roman"/>
          <w:caps w:val="0"/>
          <w:smallCaps w:val="0"/>
          <w:snapToGrid/>
          <w:color w:val="auto"/>
          <w:spacing w:val="0"/>
          <w:w w:val="100"/>
          <w:kern w:val="0"/>
          <w:sz w:val="24"/>
          <w:szCs w:val="24"/>
          <w:highlight w:val="none"/>
          <w:lang w:val="en-US" w:eastAsia="zh-CN" w:bidi="ar-SA"/>
        </w:rPr>
        <w:t>要使用各种车辆和机械，其产生的噪声，对施工区周围的环境将产生一定的影响。施工噪声源主要包括施工期使用的装载机</w:t>
      </w:r>
      <w:r>
        <w:rPr>
          <w:rFonts w:hint="eastAsia" w:eastAsia="宋体" w:cs="Times New Roman"/>
          <w:caps w:val="0"/>
          <w:smallCaps w:val="0"/>
          <w:snapToGrid/>
          <w:color w:val="auto"/>
          <w:spacing w:val="0"/>
          <w:w w:val="100"/>
          <w:kern w:val="0"/>
          <w:sz w:val="24"/>
          <w:szCs w:val="24"/>
          <w:highlight w:val="none"/>
          <w:lang w:val="en-US" w:eastAsia="zh-CN" w:bidi="ar-SA"/>
        </w:rPr>
        <w:t>、推土机、挖掘机、运输车辆、电焊机及</w:t>
      </w:r>
      <w:r>
        <w:rPr>
          <w:rFonts w:hint="default" w:eastAsia="宋体" w:cs="Times New Roman"/>
          <w:caps w:val="0"/>
          <w:smallCaps w:val="0"/>
          <w:snapToGrid/>
          <w:color w:val="auto"/>
          <w:spacing w:val="0"/>
          <w:w w:val="100"/>
          <w:kern w:val="0"/>
          <w:sz w:val="24"/>
          <w:szCs w:val="24"/>
          <w:highlight w:val="none"/>
          <w:lang w:val="en-US" w:eastAsia="zh-CN" w:bidi="ar-SA"/>
        </w:rPr>
        <w:t>搅拌机等</w:t>
      </w:r>
      <w:r>
        <w:rPr>
          <w:rFonts w:hint="eastAsia"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（1）预测模式</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①距离衰减公式</w:t>
      </w:r>
    </w:p>
    <w:p>
      <w:pPr>
        <w:pStyle w:val="5"/>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drawing>
          <wp:inline distT="0" distB="0" distL="114300" distR="114300">
            <wp:extent cx="1457325" cy="466725"/>
            <wp:effectExtent l="0" t="0" r="9525" b="8255"/>
            <wp:docPr id="17" name="图片 17" descr="噪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噪声"/>
                    <pic:cNvPicPr>
                      <a:picLocks noChangeAspect="1"/>
                    </pic:cNvPicPr>
                  </pic:nvPicPr>
                  <pic:blipFill>
                    <a:blip r:embed="rId37"/>
                    <a:stretch>
                      <a:fillRect/>
                    </a:stretch>
                  </pic:blipFill>
                  <pic:spPr>
                    <a:xfrm>
                      <a:off x="0" y="0"/>
                      <a:ext cx="1457325" cy="46672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式中：L</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PA</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-预测点距声源A处的声压级，dB(A)；</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720" w:firstLineChars="3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L</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PB</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-声源B处的声压级，dB(A)；</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720" w:firstLineChars="3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r</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a</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-预测点距声源A处的距离，m；</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720" w:firstLineChars="3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r</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b</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-测点距声源B处的距离，m；</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720" w:firstLineChars="3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A</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e</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-环境衰减值，dB(A)。</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720" w:firstLineChars="3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A</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e</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取值受地面吸收、空气温度、物体阻挡的屏蔽等环境因素影响。</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②多声源理论叠加公式</w:t>
      </w:r>
    </w:p>
    <w:p>
      <w:pP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drawing>
          <wp:inline distT="0" distB="0" distL="114300" distR="114300">
            <wp:extent cx="1285875" cy="466725"/>
            <wp:effectExtent l="0" t="0" r="9525" b="8255"/>
            <wp:docPr id="16" name="图片 16" descr="噪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噪声2"/>
                    <pic:cNvPicPr>
                      <a:picLocks noChangeAspect="1"/>
                    </pic:cNvPicPr>
                  </pic:nvPicPr>
                  <pic:blipFill>
                    <a:blip r:embed="rId38"/>
                    <a:stretch>
                      <a:fillRect/>
                    </a:stretch>
                  </pic:blipFill>
                  <pic:spPr>
                    <a:xfrm>
                      <a:off x="0" y="0"/>
                      <a:ext cx="1285875" cy="46672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720" w:firstLineChars="3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式中：L</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P</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-n个声源叠加后的总声源级，dB(A)；</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440" w:firstLineChars="6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L</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i</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-第i个声源对某点的声压级，dB(A)；</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440" w:firstLineChars="6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n-声i源个数。</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snapToGrid/>
          <w:color w:val="auto"/>
          <w:spacing w:val="0"/>
          <w:w w:val="100"/>
          <w:kern w:val="0"/>
          <w:sz w:val="24"/>
          <w:szCs w:val="24"/>
          <w:highlight w:val="none"/>
          <w:lang w:val="en-US" w:eastAsia="zh-CN" w:bidi="ar-SA"/>
        </w:rPr>
      </w:pPr>
      <w:r>
        <w:rPr>
          <w:rFonts w:hint="default" w:ascii="Times New Roman" w:hAnsi="Times New Roman" w:eastAsia="宋体" w:cs="Times New Roman"/>
          <w:snapToGrid/>
          <w:color w:val="auto"/>
          <w:spacing w:val="0"/>
          <w:w w:val="100"/>
          <w:kern w:val="0"/>
          <w:sz w:val="24"/>
          <w:szCs w:val="24"/>
          <w:highlight w:val="none"/>
          <w:lang w:val="en-US" w:eastAsia="zh-CN" w:bidi="ar-SA"/>
        </w:rPr>
        <w:t>对于多台施工机械对某个预测点的影响，应进行声级</w:t>
      </w:r>
      <w:r>
        <w:rPr>
          <w:rFonts w:hint="eastAsia" w:ascii="Times New Roman" w:hAnsi="Times New Roman" w:eastAsia="宋体" w:cs="Times New Roman"/>
          <w:snapToGrid/>
          <w:color w:val="auto"/>
          <w:spacing w:val="0"/>
          <w:w w:val="100"/>
          <w:kern w:val="0"/>
          <w:sz w:val="24"/>
          <w:szCs w:val="24"/>
          <w:highlight w:val="none"/>
          <w:lang w:val="en-US" w:eastAsia="zh-CN" w:bidi="ar-SA"/>
        </w:rPr>
        <w:t>叠加</w:t>
      </w:r>
      <w:r>
        <w:rPr>
          <w:rFonts w:hint="default" w:ascii="Times New Roman" w:hAnsi="Times New Roman" w:eastAsia="宋体" w:cs="Times New Roman"/>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default" w:eastAsia="宋体" w:cs="Times New Roman"/>
          <w:caps w:val="0"/>
          <w:smallCaps w:val="0"/>
          <w:snapToGrid/>
          <w:color w:val="auto"/>
          <w:spacing w:val="0"/>
          <w:w w:val="100"/>
          <w:kern w:val="0"/>
          <w:sz w:val="24"/>
          <w:szCs w:val="24"/>
          <w:highlight w:val="none"/>
          <w:lang w:val="en-US" w:eastAsia="zh-CN" w:bidi="ar-SA"/>
        </w:rPr>
        <w:t>（2）预测结果</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default" w:eastAsia="宋体" w:cs="Times New Roman"/>
          <w:caps w:val="0"/>
          <w:smallCaps w:val="0"/>
          <w:snapToGrid/>
          <w:color w:val="auto"/>
          <w:spacing w:val="0"/>
          <w:w w:val="100"/>
          <w:kern w:val="0"/>
          <w:sz w:val="24"/>
          <w:szCs w:val="24"/>
          <w:highlight w:val="none"/>
          <w:lang w:val="en-US" w:eastAsia="zh-CN" w:bidi="ar-SA"/>
        </w:rPr>
        <w:t>根据本项目噪声源情况和预测模式，参照《环境噪声与振动控制工程技术导则》（HJ2034-2013）中表A.2常见施工设备噪声源不同距离声压级，本</w:t>
      </w:r>
      <w:r>
        <w:rPr>
          <w:rFonts w:hint="eastAsia" w:eastAsia="宋体" w:cs="Times New Roman"/>
          <w:caps w:val="0"/>
          <w:smallCaps w:val="0"/>
          <w:snapToGrid/>
          <w:color w:val="auto"/>
          <w:spacing w:val="0"/>
          <w:w w:val="100"/>
          <w:kern w:val="0"/>
          <w:sz w:val="24"/>
          <w:szCs w:val="24"/>
          <w:highlight w:val="none"/>
          <w:lang w:val="en-US" w:eastAsia="zh-CN" w:bidi="ar-SA"/>
        </w:rPr>
        <w:t>项目</w:t>
      </w:r>
      <w:r>
        <w:rPr>
          <w:rFonts w:hint="default" w:eastAsia="宋体" w:cs="Times New Roman"/>
          <w:caps w:val="0"/>
          <w:smallCaps w:val="0"/>
          <w:snapToGrid/>
          <w:color w:val="auto"/>
          <w:spacing w:val="0"/>
          <w:w w:val="100"/>
          <w:kern w:val="0"/>
          <w:sz w:val="24"/>
          <w:szCs w:val="24"/>
          <w:highlight w:val="none"/>
          <w:lang w:val="en-US" w:eastAsia="zh-CN" w:bidi="ar-SA"/>
        </w:rPr>
        <w:t>施工机械噪声预测结果见下表。</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eastAsia="宋体" w:cs="Times New Roman"/>
          <w:b/>
          <w:bCs/>
          <w:caps w:val="0"/>
          <w:smallCaps w:val="0"/>
          <w:snapToGrid/>
          <w:color w:val="auto"/>
          <w:spacing w:val="0"/>
          <w:w w:val="100"/>
          <w:kern w:val="0"/>
          <w:sz w:val="21"/>
          <w:szCs w:val="21"/>
          <w:highlight w:val="none"/>
          <w:lang w:val="en-US" w:eastAsia="zh-CN" w:bidi="ar-SA"/>
        </w:rPr>
      </w:pPr>
      <w:r>
        <w:rPr>
          <w:rFonts w:hint="eastAsia" w:eastAsia="宋体" w:cs="Times New Roman"/>
          <w:b/>
          <w:bCs/>
          <w:caps w:val="0"/>
          <w:smallCaps w:val="0"/>
          <w:snapToGrid/>
          <w:color w:val="auto"/>
          <w:spacing w:val="0"/>
          <w:w w:val="100"/>
          <w:kern w:val="0"/>
          <w:sz w:val="21"/>
          <w:szCs w:val="21"/>
          <w:highlight w:val="none"/>
          <w:lang w:val="en-US" w:eastAsia="zh-CN" w:bidi="ar-SA"/>
        </w:rPr>
        <w:t>表5.1-1施工机械噪声衰减值一览表 单位：dB(A)</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64"/>
        <w:gridCol w:w="783"/>
        <w:gridCol w:w="803"/>
        <w:gridCol w:w="803"/>
        <w:gridCol w:w="803"/>
        <w:gridCol w:w="803"/>
        <w:gridCol w:w="803"/>
        <w:gridCol w:w="803"/>
        <w:gridCol w:w="823"/>
        <w:gridCol w:w="82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2" w:hRule="atLeast"/>
        </w:trPr>
        <w:tc>
          <w:tcPr>
            <w:tcW w:w="1264"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aps w:val="0"/>
                <w:smallCaps w:val="0"/>
                <w:color w:val="auto"/>
                <w:spacing w:val="0"/>
                <w:w w:val="100"/>
                <w:szCs w:val="21"/>
                <w:highlight w:val="none"/>
                <w:lang w:val="zh-CN"/>
              </w:rPr>
              <w:t>设备名称</w:t>
            </w:r>
          </w:p>
        </w:tc>
        <w:tc>
          <w:tcPr>
            <w:tcW w:w="7252" w:type="dxa"/>
            <w:gridSpan w:val="9"/>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离施工点不同距离处的噪声值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6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5m</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10m</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20m</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30m</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40m</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60m</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80m</w:t>
            </w:r>
          </w:p>
        </w:tc>
        <w:tc>
          <w:tcPr>
            <w:tcW w:w="82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150m</w:t>
            </w:r>
          </w:p>
        </w:tc>
        <w:tc>
          <w:tcPr>
            <w:tcW w:w="82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200m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eastAsia="Arial" w:cs="Times New Roman"/>
                <w:snapToGrid w:val="0"/>
                <w:color w:val="auto"/>
                <w:kern w:val="0"/>
                <w:sz w:val="21"/>
                <w:szCs w:val="21"/>
                <w:highlight w:val="none"/>
                <w:vertAlign w:val="baseline"/>
                <w:lang w:val="en-US" w:eastAsia="zh-CN"/>
              </w:rPr>
              <w:t>装载机</w:t>
            </w:r>
          </w:p>
        </w:tc>
        <w:tc>
          <w:tcPr>
            <w:tcW w:w="7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86</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80</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74</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70</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68</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64</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62</w:t>
            </w:r>
          </w:p>
        </w:tc>
        <w:tc>
          <w:tcPr>
            <w:tcW w:w="82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56</w:t>
            </w:r>
          </w:p>
        </w:tc>
        <w:tc>
          <w:tcPr>
            <w:tcW w:w="82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推土机</w:t>
            </w:r>
          </w:p>
        </w:tc>
        <w:tc>
          <w:tcPr>
            <w:tcW w:w="7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76</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70</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64</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60</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58</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54</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52</w:t>
            </w:r>
          </w:p>
        </w:tc>
        <w:tc>
          <w:tcPr>
            <w:tcW w:w="82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46</w:t>
            </w:r>
          </w:p>
        </w:tc>
        <w:tc>
          <w:tcPr>
            <w:tcW w:w="82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挖掘机</w:t>
            </w:r>
          </w:p>
        </w:tc>
        <w:tc>
          <w:tcPr>
            <w:tcW w:w="7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65</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61</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55</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51</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49</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4</w:t>
            </w:r>
            <w:r>
              <w:rPr>
                <w:rFonts w:hint="eastAsia" w:ascii="Times New Roman" w:hAnsi="Times New Roman" w:cs="Times New Roman"/>
                <w:color w:val="auto"/>
                <w:sz w:val="21"/>
                <w:szCs w:val="21"/>
                <w:highlight w:val="none"/>
                <w:vertAlign w:val="baseline"/>
                <w:lang w:val="en-US" w:eastAsia="zh-CN"/>
              </w:rPr>
              <w:t>7</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4</w:t>
            </w:r>
            <w:r>
              <w:rPr>
                <w:rFonts w:hint="eastAsia" w:ascii="Times New Roman" w:hAnsi="Times New Roman" w:cs="Times New Roman"/>
                <w:color w:val="auto"/>
                <w:sz w:val="21"/>
                <w:szCs w:val="21"/>
                <w:highlight w:val="none"/>
                <w:vertAlign w:val="baseline"/>
                <w:lang w:val="en-US" w:eastAsia="zh-CN"/>
              </w:rPr>
              <w:t>5</w:t>
            </w:r>
          </w:p>
        </w:tc>
        <w:tc>
          <w:tcPr>
            <w:tcW w:w="82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42</w:t>
            </w:r>
          </w:p>
        </w:tc>
        <w:tc>
          <w:tcPr>
            <w:tcW w:w="82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4</w:t>
            </w:r>
            <w:r>
              <w:rPr>
                <w:rFonts w:hint="eastAsia" w:ascii="Times New Roman" w:hAnsi="Times New Roman"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搅拌机</w:t>
            </w:r>
          </w:p>
        </w:tc>
        <w:tc>
          <w:tcPr>
            <w:tcW w:w="7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6</w:t>
            </w:r>
            <w:r>
              <w:rPr>
                <w:rFonts w:hint="eastAsia" w:ascii="Times New Roman" w:hAnsi="Times New Roman" w:cs="Times New Roman"/>
                <w:color w:val="auto"/>
                <w:sz w:val="21"/>
                <w:szCs w:val="21"/>
                <w:highlight w:val="none"/>
                <w:vertAlign w:val="baseline"/>
                <w:lang w:val="en-US" w:eastAsia="zh-CN"/>
              </w:rPr>
              <w:t>7</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6</w:t>
            </w:r>
            <w:r>
              <w:rPr>
                <w:rFonts w:hint="eastAsia" w:ascii="Times New Roman" w:hAnsi="Times New Roman" w:cs="Times New Roman"/>
                <w:color w:val="auto"/>
                <w:sz w:val="21"/>
                <w:szCs w:val="21"/>
                <w:highlight w:val="none"/>
                <w:vertAlign w:val="baseline"/>
                <w:lang w:val="en-US" w:eastAsia="zh-CN"/>
              </w:rPr>
              <w:t>3</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5</w:t>
            </w:r>
            <w:r>
              <w:rPr>
                <w:rFonts w:hint="eastAsia" w:ascii="Times New Roman" w:hAnsi="Times New Roman" w:cs="Times New Roman"/>
                <w:color w:val="auto"/>
                <w:sz w:val="21"/>
                <w:szCs w:val="21"/>
                <w:highlight w:val="none"/>
                <w:vertAlign w:val="baseline"/>
                <w:lang w:val="en-US" w:eastAsia="zh-CN"/>
              </w:rPr>
              <w:t>8</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5</w:t>
            </w:r>
            <w:r>
              <w:rPr>
                <w:rFonts w:hint="eastAsia" w:ascii="Times New Roman" w:hAnsi="Times New Roman" w:cs="Times New Roman"/>
                <w:color w:val="auto"/>
                <w:sz w:val="21"/>
                <w:szCs w:val="21"/>
                <w:highlight w:val="none"/>
                <w:vertAlign w:val="baseline"/>
                <w:lang w:val="en-US" w:eastAsia="zh-CN"/>
              </w:rPr>
              <w:t>2</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50</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4</w:t>
            </w:r>
            <w:r>
              <w:rPr>
                <w:rFonts w:hint="eastAsia" w:ascii="Times New Roman" w:hAnsi="Times New Roman" w:cs="Times New Roman"/>
                <w:color w:val="auto"/>
                <w:sz w:val="21"/>
                <w:szCs w:val="21"/>
                <w:highlight w:val="none"/>
                <w:vertAlign w:val="baseline"/>
                <w:lang w:val="en-US" w:eastAsia="zh-CN"/>
              </w:rPr>
              <w:t>7</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4</w:t>
            </w:r>
            <w:r>
              <w:rPr>
                <w:rFonts w:hint="eastAsia" w:ascii="Times New Roman" w:hAnsi="Times New Roman" w:cs="Times New Roman"/>
                <w:color w:val="auto"/>
                <w:sz w:val="21"/>
                <w:szCs w:val="21"/>
                <w:highlight w:val="none"/>
                <w:vertAlign w:val="baseline"/>
                <w:lang w:val="en-US" w:eastAsia="zh-CN"/>
              </w:rPr>
              <w:t>4</w:t>
            </w:r>
          </w:p>
        </w:tc>
        <w:tc>
          <w:tcPr>
            <w:tcW w:w="82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42</w:t>
            </w:r>
          </w:p>
        </w:tc>
        <w:tc>
          <w:tcPr>
            <w:tcW w:w="82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zh-CN" w:eastAsia="zh-CN"/>
              </w:rPr>
              <w:t>4</w:t>
            </w:r>
            <w:r>
              <w:rPr>
                <w:rFonts w:hint="eastAsia" w:ascii="Times New Roman" w:hAnsi="Times New Roman"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运输车辆</w:t>
            </w:r>
          </w:p>
        </w:tc>
        <w:tc>
          <w:tcPr>
            <w:tcW w:w="7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63</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62</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59</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57</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55</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51</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49</w:t>
            </w:r>
          </w:p>
        </w:tc>
        <w:tc>
          <w:tcPr>
            <w:tcW w:w="82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46</w:t>
            </w:r>
          </w:p>
        </w:tc>
        <w:tc>
          <w:tcPr>
            <w:tcW w:w="82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6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电焊机</w:t>
            </w:r>
          </w:p>
        </w:tc>
        <w:tc>
          <w:tcPr>
            <w:tcW w:w="7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zh-CN" w:eastAsia="zh-CN"/>
              </w:rPr>
              <w:t>76</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zh-CN" w:eastAsia="zh-CN"/>
              </w:rPr>
              <w:t>70</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zh-CN" w:eastAsia="zh-CN"/>
              </w:rPr>
              <w:t>64</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zh-CN" w:eastAsia="zh-CN"/>
              </w:rPr>
              <w:t>60</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zh-CN" w:eastAsia="zh-CN"/>
              </w:rPr>
              <w:t>58</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zh-CN" w:eastAsia="zh-CN"/>
              </w:rPr>
              <w:t>54</w:t>
            </w:r>
          </w:p>
        </w:tc>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zh-CN" w:eastAsia="zh-CN"/>
              </w:rPr>
              <w:t>52</w:t>
            </w:r>
          </w:p>
        </w:tc>
        <w:tc>
          <w:tcPr>
            <w:tcW w:w="82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zh-CN" w:eastAsia="zh-CN"/>
              </w:rPr>
              <w:t>46</w:t>
            </w:r>
          </w:p>
        </w:tc>
        <w:tc>
          <w:tcPr>
            <w:tcW w:w="82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zh-CN" w:eastAsia="zh-CN"/>
              </w:rPr>
              <w:t>44</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由上表可以看出，主要机械在200m以外均能够达到建筑施工场界噪声昼间限值不超过70dB（A），夜间限值不超过55dB（A）的要求，本项目施工期间距离最近的敏感目标为</w:t>
      </w:r>
      <w:r>
        <w:rPr>
          <w:rFonts w:hint="eastAsia" w:cs="Times New Roman"/>
          <w:caps w:val="0"/>
          <w:smallCaps w:val="0"/>
          <w:snapToGrid/>
          <w:color w:val="auto"/>
          <w:spacing w:val="0"/>
          <w:w w:val="100"/>
          <w:kern w:val="0"/>
          <w:sz w:val="24"/>
          <w:szCs w:val="24"/>
          <w:highlight w:val="none"/>
          <w:lang w:val="en-US" w:eastAsia="zh-CN" w:bidi="ar-SA"/>
        </w:rPr>
        <w:t>站外输液管道东侧24m的新立屯散户。</w:t>
      </w:r>
      <w:r>
        <w:rPr>
          <w:rFonts w:hint="eastAsia" w:eastAsia="宋体" w:cs="Times New Roman"/>
          <w:caps w:val="0"/>
          <w:smallCaps w:val="0"/>
          <w:snapToGrid/>
          <w:color w:val="auto"/>
          <w:spacing w:val="0"/>
          <w:w w:val="100"/>
          <w:kern w:val="0"/>
          <w:sz w:val="24"/>
          <w:szCs w:val="24"/>
          <w:highlight w:val="none"/>
          <w:lang w:val="en-US" w:eastAsia="zh-CN" w:bidi="ar-SA"/>
        </w:rPr>
        <w:t>在施工期，通过现场合理布局，将较大声级施工设备远离敏感点，施工噪声随着施工结束后，影响随即消失。</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default" w:eastAsia="宋体" w:cs="Times New Roman"/>
          <w:caps w:val="0"/>
          <w:smallCaps w:val="0"/>
          <w:snapToGrid/>
          <w:color w:val="auto"/>
          <w:spacing w:val="0"/>
          <w:w w:val="100"/>
          <w:kern w:val="0"/>
          <w:sz w:val="24"/>
          <w:szCs w:val="24"/>
          <w:highlight w:val="none"/>
          <w:lang w:val="en-US" w:eastAsia="zh-CN" w:bidi="ar-SA"/>
        </w:rPr>
        <w:t>5.1.</w:t>
      </w:r>
      <w:r>
        <w:rPr>
          <w:rFonts w:hint="eastAsia" w:eastAsia="宋体" w:cs="Times New Roman"/>
          <w:caps w:val="0"/>
          <w:smallCaps w:val="0"/>
          <w:snapToGrid/>
          <w:color w:val="auto"/>
          <w:spacing w:val="0"/>
          <w:w w:val="100"/>
          <w:kern w:val="0"/>
          <w:sz w:val="24"/>
          <w:szCs w:val="24"/>
          <w:highlight w:val="none"/>
          <w:lang w:val="en-US" w:eastAsia="zh-CN" w:bidi="ar-SA"/>
        </w:rPr>
        <w:t>4固体废物环境影响分析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施工过程中产生的固体废物主要是建筑垃圾、废弃泥浆、清管废物及施工人员产生的生活垃圾。</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w:t>
      </w:r>
      <w:r>
        <w:rPr>
          <w:rFonts w:hint="eastAsia" w:eastAsia="宋体" w:cs="Times New Roman"/>
          <w:caps w:val="0"/>
          <w:smallCaps w:val="0"/>
          <w:snapToGrid/>
          <w:color w:val="auto"/>
          <w:spacing w:val="0"/>
          <w:w w:val="100"/>
          <w:kern w:val="0"/>
          <w:sz w:val="24"/>
          <w:szCs w:val="24"/>
          <w:highlight w:val="none"/>
          <w:lang w:val="en-US" w:eastAsia="zh-CN" w:bidi="ar-SA"/>
        </w:rPr>
        <w:t>建筑垃圾</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建筑垃圾主要包括砂石、石块、碎砖瓦、废金属、废钢筋及废弃管材等。产生的废金属和废钢筋，可分类进行回收利用。对于不能回收的建筑垃圾经集中收集后运送至大庆市红岗区建筑垃圾场。类比同类工程，本项目建设垃圾产生量约为0.3t。</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（2）</w:t>
      </w:r>
      <w:r>
        <w:rPr>
          <w:rFonts w:hint="eastAsia" w:eastAsia="宋体" w:cs="Times New Roman"/>
          <w:caps w:val="0"/>
          <w:smallCaps w:val="0"/>
          <w:snapToGrid/>
          <w:color w:val="auto"/>
          <w:spacing w:val="0"/>
          <w:w w:val="100"/>
          <w:kern w:val="0"/>
          <w:sz w:val="24"/>
          <w:szCs w:val="24"/>
          <w:highlight w:val="none"/>
          <w:lang w:val="en-US" w:eastAsia="zh-CN" w:bidi="ar-SA"/>
        </w:rPr>
        <w:t>废弃泥浆</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本项目定向穿越沟渠、坑塘水面及林地时，会产生废弃泥浆。本项目定向林地734m，穿越沟渠及坑塘共564m，共产生废弃泥浆168m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。集中收集，由建设单位拉运至自然资源局指定地点处置。</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（3）清管废物</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管道进行铺设前，会进行清管，有少量清管废物产生。清管废物主要成分为少量的泥沙等，集中收集后，随建筑垃圾一起拉运处置。</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（4）生活垃圾</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本项目施工期生活垃圾产生量共2.25t/a，由环卫部门清运至肇源县生活垃圾处理场处理。</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本项目无弃土产生，服务站站址施工建设清挖的土方回用于工程填方及构建物建设，管道清挖的中心土层渣土用于服务站施工建设。</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本项目施工期产生的固体废物均得到有效处置，不外排，对周围环境的影响可被接受。</w:t>
      </w:r>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1206" w:name="_Toc31338"/>
      <w:r>
        <w:rPr>
          <w:rFonts w:hint="default" w:ascii="Times New Roman" w:hAnsi="Times New Roman" w:eastAsia="宋体" w:cs="Times New Roman"/>
          <w:snapToGrid/>
          <w:color w:val="auto"/>
          <w:sz w:val="32"/>
          <w:highlight w:val="none"/>
          <w:lang w:val="en-US" w:eastAsia="zh-CN" w:bidi="ar-SA"/>
        </w:rPr>
        <w:t>5.</w:t>
      </w:r>
      <w:r>
        <w:rPr>
          <w:rFonts w:hint="eastAsia" w:ascii="Times New Roman" w:hAnsi="Times New Roman" w:eastAsia="宋体" w:cs="Times New Roman"/>
          <w:snapToGrid/>
          <w:color w:val="auto"/>
          <w:sz w:val="32"/>
          <w:highlight w:val="none"/>
          <w:lang w:val="en-US" w:eastAsia="zh-CN" w:bidi="ar-SA"/>
        </w:rPr>
        <w:t>2运行期</w:t>
      </w:r>
      <w:r>
        <w:rPr>
          <w:rFonts w:hint="default" w:ascii="Times New Roman" w:hAnsi="Times New Roman" w:eastAsia="宋体" w:cs="Times New Roman"/>
          <w:snapToGrid/>
          <w:color w:val="auto"/>
          <w:sz w:val="32"/>
          <w:highlight w:val="none"/>
          <w:lang w:val="en-US" w:eastAsia="zh-CN" w:bidi="ar-SA"/>
        </w:rPr>
        <w:t>环境影响预测与评价</w:t>
      </w:r>
      <w:bookmarkEnd w:id="1206"/>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cs="Times New Roman"/>
          <w:caps w:val="0"/>
          <w:smallCaps w:val="0"/>
          <w:snapToGrid/>
          <w:color w:val="auto"/>
          <w:spacing w:val="0"/>
          <w:w w:val="100"/>
          <w:kern w:val="0"/>
          <w:sz w:val="24"/>
          <w:szCs w:val="24"/>
          <w:highlight w:val="none"/>
          <w:lang w:val="en-US" w:eastAsia="zh-CN" w:bidi="ar-SA"/>
        </w:rPr>
        <w:t>5.2.1</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大气环境影响预测</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w:t>
      </w:r>
      <w:r>
        <w:rPr>
          <w:rFonts w:hint="default" w:cs="Times New Roman"/>
          <w:caps w:val="0"/>
          <w:smallCaps w:val="0"/>
          <w:snapToGrid/>
          <w:color w:val="auto"/>
          <w:spacing w:val="0"/>
          <w:w w:val="100"/>
          <w:kern w:val="0"/>
          <w:sz w:val="24"/>
          <w:szCs w:val="24"/>
          <w:highlight w:val="none"/>
          <w:lang w:val="en-US" w:eastAsia="zh-CN" w:bidi="ar-SA"/>
        </w:rPr>
        <w:t>污染源调查</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本项目运行期间产生的废气主要为废水及污泥处置过程产生的恶臭气体，站内无组织挥发性气体及食堂产生的饮食业油烟。</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运行期间，恶臭气体经密封负压收集+离子除臭设施处置后，通过15m排气筒排放，此为点源排放。未经收集的恶臭气体在预处理区域内无组织逸散，此为面源排放。</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废水、污泥处置，污油暂存及达标水储池产生的挥发性气体均无组织逸散至环境中，均为面源排放。</w:t>
      </w:r>
    </w:p>
    <w:p>
      <w:pPr>
        <w:rPr>
          <w:rFonts w:hint="eastAsia" w:cs="Times New Roman"/>
          <w:b/>
          <w:bCs/>
          <w:caps w:val="0"/>
          <w:smallCaps w:val="0"/>
          <w:snapToGrid/>
          <w:color w:val="auto"/>
          <w:spacing w:val="0"/>
          <w:w w:val="100"/>
          <w:kern w:val="0"/>
          <w:sz w:val="21"/>
          <w:szCs w:val="21"/>
          <w:highlight w:val="none"/>
          <w:lang w:val="en-US" w:eastAsia="zh-CN" w:bidi="ar-SA"/>
        </w:rPr>
      </w:pPr>
      <w:r>
        <w:rPr>
          <w:rFonts w:hint="eastAsia" w:cs="Times New Roman"/>
          <w:b/>
          <w:bCs/>
          <w:caps w:val="0"/>
          <w:smallCaps w:val="0"/>
          <w:snapToGrid/>
          <w:color w:val="auto"/>
          <w:spacing w:val="0"/>
          <w:w w:val="100"/>
          <w:kern w:val="0"/>
          <w:sz w:val="21"/>
          <w:szCs w:val="21"/>
          <w:highlight w:val="none"/>
          <w:lang w:val="en-US" w:eastAsia="zh-CN" w:bidi="ar-SA"/>
        </w:rPr>
        <w:br w:type="page"/>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22" w:firstLineChars="200"/>
        <w:jc w:val="center"/>
        <w:textAlignment w:val="baseline"/>
        <w:rPr>
          <w:rFonts w:hint="eastAsia" w:cs="Times New Roman"/>
          <w:b/>
          <w:bCs/>
          <w:caps w:val="0"/>
          <w:smallCaps w:val="0"/>
          <w:snapToGrid/>
          <w:color w:val="auto"/>
          <w:spacing w:val="0"/>
          <w:w w:val="100"/>
          <w:kern w:val="0"/>
          <w:sz w:val="21"/>
          <w:szCs w:val="21"/>
          <w:highlight w:val="none"/>
          <w:lang w:val="en-US" w:eastAsia="zh-CN" w:bidi="ar-SA"/>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22" w:firstLineChars="200"/>
        <w:jc w:val="center"/>
        <w:textAlignment w:val="baseline"/>
        <w:rPr>
          <w:rFonts w:hint="eastAsia" w:cs="Times New Roman"/>
          <w:b/>
          <w:bCs/>
          <w:caps w:val="0"/>
          <w:smallCaps w:val="0"/>
          <w:snapToGrid/>
          <w:color w:val="auto"/>
          <w:spacing w:val="0"/>
          <w:w w:val="100"/>
          <w:kern w:val="0"/>
          <w:sz w:val="21"/>
          <w:szCs w:val="21"/>
          <w:highlight w:val="none"/>
          <w:lang w:val="en-US" w:eastAsia="zh-CN" w:bidi="ar-SA"/>
        </w:rPr>
      </w:pPr>
      <w:r>
        <w:rPr>
          <w:rFonts w:hint="eastAsia" w:cs="Times New Roman"/>
          <w:b/>
          <w:bCs/>
          <w:caps w:val="0"/>
          <w:smallCaps w:val="0"/>
          <w:snapToGrid/>
          <w:color w:val="auto"/>
          <w:spacing w:val="0"/>
          <w:w w:val="100"/>
          <w:kern w:val="0"/>
          <w:sz w:val="21"/>
          <w:szCs w:val="21"/>
          <w:highlight w:val="none"/>
          <w:lang w:val="en-US" w:eastAsia="zh-CN" w:bidi="ar-SA"/>
        </w:rPr>
        <w:t>表5.2-1面源参数调查清单</w:t>
      </w:r>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29"/>
        <w:gridCol w:w="1957"/>
        <w:gridCol w:w="1279"/>
        <w:gridCol w:w="1099"/>
        <w:gridCol w:w="1099"/>
        <w:gridCol w:w="1099"/>
        <w:gridCol w:w="1099"/>
        <w:gridCol w:w="1099"/>
        <w:gridCol w:w="1101"/>
        <w:gridCol w:w="960"/>
        <w:gridCol w:w="960"/>
        <w:gridCol w:w="138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40" w:hRule="atLeast"/>
        </w:trPr>
        <w:tc>
          <w:tcPr>
            <w:tcW w:w="363"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名称</w:t>
            </w:r>
          </w:p>
        </w:tc>
        <w:tc>
          <w:tcPr>
            <w:tcW w:w="690"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坐标（°）</w:t>
            </w:r>
          </w:p>
        </w:tc>
        <w:tc>
          <w:tcPr>
            <w:tcW w:w="451"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面源海拔高度</w:t>
            </w:r>
            <w:r>
              <w:rPr>
                <w:rFonts w:hint="eastAsia" w:ascii="Times New Roman" w:hAnsi="Times New Roman" w:cs="Times New Roman"/>
                <w:color w:val="auto"/>
                <w:sz w:val="21"/>
                <w:szCs w:val="21"/>
                <w:highlight w:val="none"/>
                <w:vertAlign w:val="baseline"/>
                <w:lang w:val="en-US" w:eastAsia="zh-CN"/>
              </w:rPr>
              <w:t>/m</w:t>
            </w:r>
          </w:p>
        </w:tc>
        <w:tc>
          <w:tcPr>
            <w:tcW w:w="38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面源长度</w:t>
            </w:r>
            <w:r>
              <w:rPr>
                <w:rFonts w:hint="eastAsia" w:ascii="Times New Roman" w:hAnsi="Times New Roman" w:cs="Times New Roman"/>
                <w:color w:val="auto"/>
                <w:sz w:val="21"/>
                <w:szCs w:val="21"/>
                <w:highlight w:val="none"/>
                <w:vertAlign w:val="baseline"/>
                <w:lang w:val="en-US" w:eastAsia="zh-CN"/>
              </w:rPr>
              <w:t>/m</w:t>
            </w:r>
          </w:p>
        </w:tc>
        <w:tc>
          <w:tcPr>
            <w:tcW w:w="38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面源宽度</w:t>
            </w:r>
            <w:r>
              <w:rPr>
                <w:rFonts w:hint="eastAsia" w:ascii="Times New Roman" w:hAnsi="Times New Roman" w:cs="Times New Roman"/>
                <w:color w:val="auto"/>
                <w:sz w:val="21"/>
                <w:szCs w:val="21"/>
                <w:highlight w:val="none"/>
                <w:vertAlign w:val="baseline"/>
                <w:lang w:val="en-US" w:eastAsia="zh-CN"/>
              </w:rPr>
              <w:t>/m</w:t>
            </w:r>
          </w:p>
        </w:tc>
        <w:tc>
          <w:tcPr>
            <w:tcW w:w="38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与正北向</w:t>
            </w:r>
            <w:r>
              <w:rPr>
                <w:rFonts w:hint="eastAsia" w:ascii="Times New Roman" w:hAnsi="Times New Roman" w:cs="Times New Roman"/>
                <w:color w:val="auto"/>
                <w:sz w:val="21"/>
                <w:szCs w:val="21"/>
                <w:highlight w:val="none"/>
                <w:vertAlign w:val="baseline"/>
                <w:lang w:val="en-US" w:eastAsia="zh-CN"/>
              </w:rPr>
              <w:t>夹角/°</w:t>
            </w:r>
          </w:p>
        </w:tc>
        <w:tc>
          <w:tcPr>
            <w:tcW w:w="38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面源有效排放</w:t>
            </w:r>
            <w:r>
              <w:rPr>
                <w:rFonts w:hint="eastAsia" w:ascii="Times New Roman" w:hAnsi="Times New Roman" w:cs="Times New Roman"/>
                <w:color w:val="auto"/>
                <w:sz w:val="21"/>
                <w:szCs w:val="21"/>
                <w:highlight w:val="none"/>
                <w:vertAlign w:val="baseline"/>
                <w:lang w:val="en-US" w:eastAsia="zh-CN"/>
              </w:rPr>
              <w:t>高度/m</w:t>
            </w:r>
          </w:p>
        </w:tc>
        <w:tc>
          <w:tcPr>
            <w:tcW w:w="38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年排放</w:t>
            </w:r>
            <w:r>
              <w:rPr>
                <w:rFonts w:hint="eastAsia" w:ascii="Times New Roman" w:hAnsi="Times New Roman" w:cs="Times New Roman"/>
                <w:color w:val="auto"/>
                <w:sz w:val="21"/>
                <w:szCs w:val="21"/>
                <w:highlight w:val="none"/>
                <w:vertAlign w:val="baseline"/>
                <w:lang w:val="en-US" w:eastAsia="zh-CN"/>
              </w:rPr>
              <w:t>小时/h</w:t>
            </w:r>
          </w:p>
        </w:tc>
        <w:tc>
          <w:tcPr>
            <w:tcW w:w="388"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排放工况</w:t>
            </w:r>
          </w:p>
        </w:tc>
        <w:tc>
          <w:tcPr>
            <w:tcW w:w="1165" w:type="pct"/>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污染物排放速率</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kg/h</w:t>
            </w: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6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9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p>
        </w:tc>
        <w:tc>
          <w:tcPr>
            <w:tcW w:w="451"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38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38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38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38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38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388"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33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NH</w:t>
            </w:r>
            <w:r>
              <w:rPr>
                <w:rFonts w:hint="eastAsia" w:ascii="Times New Roman" w:hAnsi="Times New Roman" w:cs="Times New Roman"/>
                <w:color w:val="auto"/>
                <w:sz w:val="21"/>
                <w:szCs w:val="21"/>
                <w:highlight w:val="none"/>
                <w:vertAlign w:val="subscript"/>
                <w:lang w:val="en-US" w:eastAsia="zh-CN"/>
              </w:rPr>
              <w:t>3</w:t>
            </w:r>
          </w:p>
        </w:tc>
        <w:tc>
          <w:tcPr>
            <w:tcW w:w="33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H</w:t>
            </w:r>
            <w:r>
              <w:rPr>
                <w:rFonts w:hint="eastAsia" w:ascii="Times New Roman" w:hAnsi="Times New Roman" w:cs="Times New Roman"/>
                <w:color w:val="auto"/>
                <w:sz w:val="21"/>
                <w:szCs w:val="21"/>
                <w:highlight w:val="none"/>
                <w:vertAlign w:val="subscript"/>
                <w:lang w:val="en-US" w:eastAsia="zh-CN"/>
              </w:rPr>
              <w:t>2</w:t>
            </w:r>
            <w:r>
              <w:rPr>
                <w:rFonts w:hint="eastAsia" w:ascii="Times New Roman" w:hAnsi="Times New Roman" w:cs="Times New Roman"/>
                <w:color w:val="auto"/>
                <w:sz w:val="21"/>
                <w:szCs w:val="21"/>
                <w:highlight w:val="none"/>
                <w:vertAlign w:val="baseline"/>
                <w:lang w:val="en-US" w:eastAsia="zh-CN"/>
              </w:rPr>
              <w:t>S</w:t>
            </w:r>
          </w:p>
        </w:tc>
        <w:tc>
          <w:tcPr>
            <w:tcW w:w="4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非甲烷总烃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6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预处理车间</w:t>
            </w:r>
          </w:p>
        </w:tc>
        <w:tc>
          <w:tcPr>
            <w:tcW w:w="69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cs="Times New Roman"/>
                <w:color w:val="auto"/>
                <w:sz w:val="21"/>
                <w:szCs w:val="21"/>
                <w:highlight w:val="none"/>
                <w:vertAlign w:val="baseline"/>
                <w:lang w:val="en-US" w:eastAsia="zh-CN"/>
              </w:rPr>
              <w:t>124.269808935,45.740767887</w:t>
            </w:r>
          </w:p>
        </w:tc>
        <w:tc>
          <w:tcPr>
            <w:tcW w:w="45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128.7</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62</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22</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15</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5</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8760</w:t>
            </w:r>
          </w:p>
        </w:tc>
        <w:tc>
          <w:tcPr>
            <w:tcW w:w="38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正常</w:t>
            </w:r>
          </w:p>
        </w:tc>
        <w:tc>
          <w:tcPr>
            <w:tcW w:w="33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0.017</w:t>
            </w:r>
          </w:p>
        </w:tc>
        <w:tc>
          <w:tcPr>
            <w:tcW w:w="33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0.0002</w:t>
            </w:r>
          </w:p>
        </w:tc>
        <w:tc>
          <w:tcPr>
            <w:tcW w:w="4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6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污油储罐区</w:t>
            </w:r>
          </w:p>
        </w:tc>
        <w:tc>
          <w:tcPr>
            <w:tcW w:w="69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124.269361408,45.740411220</w:t>
            </w:r>
          </w:p>
        </w:tc>
        <w:tc>
          <w:tcPr>
            <w:tcW w:w="45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129.1</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13</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13</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8760</w:t>
            </w:r>
          </w:p>
        </w:tc>
        <w:tc>
          <w:tcPr>
            <w:tcW w:w="38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正常</w:t>
            </w:r>
          </w:p>
        </w:tc>
        <w:tc>
          <w:tcPr>
            <w:tcW w:w="33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33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4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6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储液池区域</w:t>
            </w:r>
          </w:p>
        </w:tc>
        <w:tc>
          <w:tcPr>
            <w:tcW w:w="69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124.267041383,45.739006716</w:t>
            </w:r>
          </w:p>
        </w:tc>
        <w:tc>
          <w:tcPr>
            <w:tcW w:w="45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128.2-129.4</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186</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323</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w:t>
            </w:r>
          </w:p>
        </w:tc>
        <w:tc>
          <w:tcPr>
            <w:tcW w:w="3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8760</w:t>
            </w:r>
          </w:p>
        </w:tc>
        <w:tc>
          <w:tcPr>
            <w:tcW w:w="38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正常</w:t>
            </w:r>
          </w:p>
        </w:tc>
        <w:tc>
          <w:tcPr>
            <w:tcW w:w="33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338"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48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0.000</w:t>
            </w:r>
            <w:r>
              <w:rPr>
                <w:rFonts w:hint="eastAsia" w:cs="Times New Roman"/>
                <w:color w:val="auto"/>
                <w:sz w:val="21"/>
                <w:szCs w:val="21"/>
                <w:highlight w:val="none"/>
                <w:vertAlign w:val="baseline"/>
                <w:lang w:val="en-US" w:eastAsia="zh-CN"/>
              </w:rPr>
              <w:t>5</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22" w:firstLineChars="200"/>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表5</w:t>
      </w:r>
      <w:r>
        <w:rPr>
          <w:rFonts w:hint="eastAsia" w:ascii="Times New Roman" w:hAnsi="Times New Roman" w:cs="Times New Roman"/>
          <w:b/>
          <w:bCs/>
          <w:caps w:val="0"/>
          <w:smallCaps w:val="0"/>
          <w:snapToGrid/>
          <w:color w:val="auto"/>
          <w:spacing w:val="0"/>
          <w:w w:val="100"/>
          <w:kern w:val="0"/>
          <w:sz w:val="21"/>
          <w:szCs w:val="21"/>
          <w:highlight w:val="none"/>
          <w:lang w:val="en-US" w:eastAsia="zh-CN" w:bidi="ar-SA"/>
        </w:rPr>
        <w:t>.2</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-2点源参数调查清单</w:t>
      </w:r>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426"/>
        <w:gridCol w:w="2789"/>
        <w:gridCol w:w="1329"/>
        <w:gridCol w:w="1170"/>
        <w:gridCol w:w="1002"/>
        <w:gridCol w:w="994"/>
        <w:gridCol w:w="791"/>
        <w:gridCol w:w="907"/>
        <w:gridCol w:w="944"/>
        <w:gridCol w:w="819"/>
        <w:gridCol w:w="99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859"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名称</w:t>
            </w:r>
          </w:p>
        </w:tc>
        <w:tc>
          <w:tcPr>
            <w:tcW w:w="985"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排气筒底部中心坐标（°）</w:t>
            </w:r>
          </w:p>
        </w:tc>
        <w:tc>
          <w:tcPr>
            <w:tcW w:w="474"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排气筒底部海拔高度</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m</w:t>
            </w:r>
          </w:p>
        </w:tc>
        <w:tc>
          <w:tcPr>
            <w:tcW w:w="416"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排气筒折算高度m</w:t>
            </w:r>
          </w:p>
        </w:tc>
        <w:tc>
          <w:tcPr>
            <w:tcW w:w="35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排气筒折算内径</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m</w:t>
            </w:r>
          </w:p>
        </w:tc>
        <w:tc>
          <w:tcPr>
            <w:tcW w:w="354"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烟气流速m</w:t>
            </w:r>
            <w:r>
              <w:rPr>
                <w:rFonts w:hint="eastAsia"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/h</w:t>
            </w:r>
          </w:p>
        </w:tc>
        <w:tc>
          <w:tcPr>
            <w:tcW w:w="282"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烟气温度</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w:t>
            </w:r>
          </w:p>
        </w:tc>
        <w:tc>
          <w:tcPr>
            <w:tcW w:w="323"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年排放小时数</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h</w:t>
            </w:r>
          </w:p>
        </w:tc>
        <w:tc>
          <w:tcPr>
            <w:tcW w:w="336"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排放工况</w:t>
            </w:r>
          </w:p>
        </w:tc>
        <w:tc>
          <w:tcPr>
            <w:tcW w:w="609" w:type="pct"/>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污染物排放速率kg/</w:t>
            </w:r>
            <w:r>
              <w:rPr>
                <w:rFonts w:hint="eastAsia" w:ascii="Times New Roman" w:hAnsi="Times New Roman" w:cs="Times New Roman"/>
                <w:color w:val="auto"/>
                <w:sz w:val="21"/>
                <w:szCs w:val="21"/>
                <w:highlight w:val="none"/>
                <w:vertAlign w:val="baseline"/>
                <w:lang w:val="en-US" w:eastAsia="zh-CN"/>
              </w:rPr>
              <w:t>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9"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985"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474"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41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54"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282"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2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3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29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NH</w:t>
            </w:r>
            <w:r>
              <w:rPr>
                <w:rFonts w:hint="eastAsia" w:ascii="Times New Roman" w:hAnsi="Times New Roman" w:cs="Times New Roman"/>
                <w:color w:val="auto"/>
                <w:sz w:val="21"/>
                <w:szCs w:val="21"/>
                <w:highlight w:val="none"/>
                <w:vertAlign w:val="subscript"/>
                <w:lang w:val="en-US" w:eastAsia="zh-CN"/>
              </w:rPr>
              <w:t>3</w:t>
            </w:r>
          </w:p>
        </w:tc>
        <w:tc>
          <w:tcPr>
            <w:tcW w:w="31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H</w:t>
            </w:r>
            <w:r>
              <w:rPr>
                <w:rFonts w:hint="eastAsia" w:ascii="Times New Roman" w:hAnsi="Times New Roman" w:cs="Times New Roman"/>
                <w:color w:val="auto"/>
                <w:sz w:val="21"/>
                <w:szCs w:val="21"/>
                <w:highlight w:val="none"/>
                <w:vertAlign w:val="subscript"/>
                <w:lang w:val="en-US" w:eastAsia="zh-CN"/>
              </w:rPr>
              <w:t>2</w:t>
            </w:r>
            <w:r>
              <w:rPr>
                <w:rFonts w:hint="eastAsia" w:ascii="Times New Roman" w:hAnsi="Times New Roman" w:cs="Times New Roman"/>
                <w:color w:val="auto"/>
                <w:sz w:val="21"/>
                <w:szCs w:val="21"/>
                <w:highlight w:val="none"/>
                <w:vertAlign w:val="baseline"/>
                <w:lang w:val="en-US" w:eastAsia="zh-CN"/>
              </w:rPr>
              <w:t>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恶臭气体15m排气筒</w:t>
            </w:r>
          </w:p>
        </w:tc>
        <w:tc>
          <w:tcPr>
            <w:tcW w:w="985"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eastAsia="Arial" w:cs="Times New Roman"/>
                <w:snapToGrid w:val="0"/>
                <w:color w:val="auto"/>
                <w:kern w:val="0"/>
                <w:sz w:val="21"/>
                <w:szCs w:val="21"/>
                <w:highlight w:val="none"/>
                <w:vertAlign w:val="baseline"/>
                <w:lang w:val="en-US" w:eastAsia="zh-CN"/>
              </w:rPr>
              <w:t>124.270592109,45.740838926</w:t>
            </w:r>
          </w:p>
        </w:tc>
        <w:tc>
          <w:tcPr>
            <w:tcW w:w="47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129.3</w:t>
            </w:r>
          </w:p>
        </w:tc>
        <w:tc>
          <w:tcPr>
            <w:tcW w:w="41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0.3</w:t>
            </w:r>
          </w:p>
        </w:tc>
        <w:tc>
          <w:tcPr>
            <w:tcW w:w="35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5000</w:t>
            </w:r>
          </w:p>
        </w:tc>
        <w:tc>
          <w:tcPr>
            <w:tcW w:w="28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常温</w:t>
            </w:r>
          </w:p>
        </w:tc>
        <w:tc>
          <w:tcPr>
            <w:tcW w:w="32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8760</w:t>
            </w:r>
          </w:p>
        </w:tc>
        <w:tc>
          <w:tcPr>
            <w:tcW w:w="33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正常排放</w:t>
            </w:r>
          </w:p>
        </w:tc>
        <w:tc>
          <w:tcPr>
            <w:tcW w:w="82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0.0076</w:t>
            </w:r>
          </w:p>
        </w:tc>
        <w:tc>
          <w:tcPr>
            <w:tcW w:w="89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cs="Times New Roman"/>
                <w:color w:val="auto"/>
                <w:sz w:val="21"/>
                <w:szCs w:val="21"/>
                <w:highlight w:val="none"/>
                <w:vertAlign w:val="baseline"/>
                <w:lang w:val="en-US" w:eastAsia="zh-CN"/>
              </w:rPr>
              <w:t>8.22E-05</w:t>
            </w:r>
          </w:p>
        </w:tc>
      </w:tr>
    </w:tbl>
    <w:p>
      <w:pPr>
        <w:pStyle w:val="11"/>
        <w:ind w:left="0" w:leftChars="0" w:firstLine="0" w:firstLineChars="0"/>
        <w:rPr>
          <w:rFonts w:hint="eastAsia" w:cs="Times New Roman"/>
          <w:b/>
          <w:bCs/>
          <w:caps w:val="0"/>
          <w:smallCaps w:val="0"/>
          <w:snapToGrid/>
          <w:color w:val="auto"/>
          <w:spacing w:val="0"/>
          <w:w w:val="100"/>
          <w:kern w:val="0"/>
          <w:sz w:val="21"/>
          <w:szCs w:val="21"/>
          <w:highlight w:val="none"/>
          <w:lang w:val="en-US" w:eastAsia="zh-CN" w:bidi="ar-SA"/>
        </w:rPr>
      </w:pPr>
    </w:p>
    <w:p>
      <w:pPr>
        <w:pStyle w:val="2"/>
        <w:ind w:left="0" w:leftChars="0" w:firstLine="0" w:firstLineChars="0"/>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p>
    <w:p>
      <w:pP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p>
    <w:p>
      <w:pPr>
        <w:pStyle w:val="11"/>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p>
    <w:p>
      <w:pP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p>
    <w:p>
      <w:pPr>
        <w:pStyle w:val="11"/>
        <w:rPr>
          <w:rFonts w:hint="default"/>
          <w:color w:val="auto"/>
          <w:highlight w:val="none"/>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cs="Times New Roman"/>
          <w:caps w:val="0"/>
          <w:smallCaps w:val="0"/>
          <w:snapToGrid/>
          <w:color w:val="auto"/>
          <w:spacing w:val="0"/>
          <w:w w:val="100"/>
          <w:kern w:val="0"/>
          <w:sz w:val="24"/>
          <w:szCs w:val="24"/>
          <w:highlight w:val="none"/>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评价等级判定</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根据《环境影响评价技术导则大气环境》（HJ2.2-2018）的规定，采用估算模式分别计算本项目正常排放情况下的主要污染物的最大影响程度和最远影响范围，然后按评价工作分级判据进行分级。</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所在地附近为村屯，不属于城市；根据章节气候气象调查，项目所在地区最高气温为38.9℃，最低气温为-36.2℃；大庆地区年相对湿度为63%，属于中等湿度；本项目主要占地类型及项目周边主要土地利用类型为耕地。本项目估算模型参数一览表见表5.</w:t>
      </w:r>
      <w:r>
        <w:rPr>
          <w:rFonts w:hint="eastAsia" w:ascii="Times New Roman" w:hAnsi="Times New Roman" w:cs="Times New Roman"/>
          <w:caps w:val="0"/>
          <w:smallCaps w:val="0"/>
          <w:snapToGrid/>
          <w:color w:val="auto"/>
          <w:spacing w:val="0"/>
          <w:w w:val="100"/>
          <w:kern w:val="0"/>
          <w:sz w:val="24"/>
          <w:szCs w:val="24"/>
          <w:highlight w:val="none"/>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cs="Times New Roman"/>
          <w:caps w:val="0"/>
          <w:smallCaps w:val="0"/>
          <w:snapToGrid/>
          <w:color w:val="auto"/>
          <w:spacing w:val="0"/>
          <w:w w:val="100"/>
          <w:kern w:val="0"/>
          <w:sz w:val="24"/>
          <w:szCs w:val="24"/>
          <w:highlight w:val="none"/>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pStyle w:val="11"/>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表5.2-3估算模型参数一览表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838"/>
        <w:gridCol w:w="2839"/>
        <w:gridCol w:w="28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参数</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取值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38"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城市/农村选项</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城市/农村</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农村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38"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人口数（城市选项时）</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最高环境温度/℃</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38.9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最低环境温度/℃</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-36.2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土地利用类型</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农田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区域湿度条件</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中等湿度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38"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是否考虑地形</w:t>
            </w:r>
          </w:p>
        </w:tc>
        <w:tc>
          <w:tcPr>
            <w:tcW w:w="2839"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考虑地形</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38"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2839" w:type="dxa"/>
            <w:tcBorders>
              <w:tl2br w:val="nil"/>
              <w:tr2bl w:val="nil"/>
            </w:tcBorders>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地形数据分辨率/m</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67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是否考虑岸线熏烟</w:t>
            </w:r>
          </w:p>
        </w:tc>
        <w:tc>
          <w:tcPr>
            <w:tcW w:w="283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否</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cs="Times New Roman"/>
          <w:caps w:val="0"/>
          <w:smallCaps w:val="0"/>
          <w:snapToGrid/>
          <w:color w:val="auto"/>
          <w:spacing w:val="0"/>
          <w:w w:val="100"/>
          <w:kern w:val="0"/>
          <w:sz w:val="24"/>
          <w:szCs w:val="24"/>
          <w:highlight w:val="none"/>
          <w:lang w:val="en-US" w:eastAsia="zh-CN" w:bidi="ar-SA"/>
        </w:rPr>
        <w:t>最大地面空气质量浓度占标率Pi及第i个污染物的地面空气质量浓度达到标准值的10%时所对应的最远距离D10%进行等级划分。其中，Pi定义为：</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cs="Times New Roman"/>
          <w:caps w:val="0"/>
          <w:smallCaps w:val="0"/>
          <w:snapToGrid/>
          <w:color w:val="auto"/>
          <w:spacing w:val="0"/>
          <w:w w:val="100"/>
          <w:kern w:val="0"/>
          <w:sz w:val="24"/>
          <w:szCs w:val="24"/>
          <w:highlight w:val="none"/>
          <w:lang w:val="en-US" w:eastAsia="zh-CN" w:bidi="ar-SA"/>
        </w:rPr>
        <w:t>Pi=Ci/C0j×100%</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cs="Times New Roman"/>
          <w:caps w:val="0"/>
          <w:smallCaps w:val="0"/>
          <w:snapToGrid/>
          <w:color w:val="auto"/>
          <w:spacing w:val="0"/>
          <w:w w:val="100"/>
          <w:kern w:val="0"/>
          <w:sz w:val="24"/>
          <w:szCs w:val="24"/>
          <w:highlight w:val="none"/>
          <w:lang w:val="en-US" w:eastAsia="zh-CN" w:bidi="ar-SA"/>
        </w:rPr>
        <w:t>式中：P</w:t>
      </w:r>
      <w:r>
        <w:rPr>
          <w:rFonts w:hint="default" w:ascii="Times New Roman" w:hAnsi="Times New Roman" w:cs="Times New Roman"/>
          <w:caps w:val="0"/>
          <w:smallCaps w:val="0"/>
          <w:snapToGrid/>
          <w:color w:val="auto"/>
          <w:spacing w:val="0"/>
          <w:w w:val="100"/>
          <w:kern w:val="0"/>
          <w:sz w:val="24"/>
          <w:szCs w:val="24"/>
          <w:highlight w:val="none"/>
          <w:vertAlign w:val="subscript"/>
          <w:lang w:val="en-US" w:eastAsia="zh-CN" w:bidi="ar-SA"/>
        </w:rPr>
        <w:t>i</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—第i个污染物的最大地面空气质量浓度占标率，%；</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default" w:ascii="Times New Roman" w:hAnsi="Times New Roman"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cs="Times New Roman"/>
          <w:caps w:val="0"/>
          <w:smallCaps w:val="0"/>
          <w:snapToGrid/>
          <w:color w:val="auto"/>
          <w:spacing w:val="0"/>
          <w:w w:val="100"/>
          <w:kern w:val="0"/>
          <w:sz w:val="24"/>
          <w:szCs w:val="24"/>
          <w:highlight w:val="none"/>
          <w:lang w:val="en-US" w:eastAsia="zh-CN" w:bidi="ar-SA"/>
        </w:rPr>
        <w:t>C</w:t>
      </w:r>
      <w:r>
        <w:rPr>
          <w:rFonts w:hint="default" w:ascii="Times New Roman" w:hAnsi="Times New Roman" w:cs="Times New Roman"/>
          <w:caps w:val="0"/>
          <w:smallCaps w:val="0"/>
          <w:snapToGrid/>
          <w:color w:val="auto"/>
          <w:spacing w:val="0"/>
          <w:w w:val="100"/>
          <w:kern w:val="0"/>
          <w:sz w:val="24"/>
          <w:szCs w:val="24"/>
          <w:highlight w:val="none"/>
          <w:vertAlign w:val="subscript"/>
          <w:lang w:val="en-US" w:eastAsia="zh-CN" w:bidi="ar-SA"/>
        </w:rPr>
        <w:t>i</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—采用估算模式计算出的第i个污染物的最大1h地面空气质量浓度，μg/m</w:t>
      </w:r>
      <w:r>
        <w:rPr>
          <w:rFonts w:hint="default" w:ascii="Times New Roman" w:hAnsi="Times New Roman" w:cs="Times New Roman"/>
          <w:caps w:val="0"/>
          <w:smallCaps w:val="0"/>
          <w:snapToGrid/>
          <w:color w:val="auto"/>
          <w:spacing w:val="0"/>
          <w:w w:val="100"/>
          <w:kern w:val="0"/>
          <w:sz w:val="24"/>
          <w:szCs w:val="24"/>
          <w:highlight w:val="none"/>
          <w:vertAlign w:val="superscript"/>
          <w:lang w:val="en-US" w:eastAsia="zh-CN" w:bidi="ar-SA"/>
        </w:rPr>
        <w:t>3</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default" w:ascii="Times New Roman" w:hAnsi="Times New Roman"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cs="Times New Roman"/>
          <w:caps w:val="0"/>
          <w:smallCaps w:val="0"/>
          <w:snapToGrid/>
          <w:color w:val="auto"/>
          <w:spacing w:val="0"/>
          <w:w w:val="100"/>
          <w:kern w:val="0"/>
          <w:sz w:val="24"/>
          <w:szCs w:val="24"/>
          <w:highlight w:val="none"/>
          <w:lang w:val="en-US" w:eastAsia="zh-CN" w:bidi="ar-SA"/>
        </w:rPr>
        <w:t>C</w:t>
      </w:r>
      <w:r>
        <w:rPr>
          <w:rFonts w:hint="default" w:ascii="Times New Roman" w:hAnsi="Times New Roman" w:cs="Times New Roman"/>
          <w:caps w:val="0"/>
          <w:smallCaps w:val="0"/>
          <w:snapToGrid/>
          <w:color w:val="auto"/>
          <w:spacing w:val="0"/>
          <w:w w:val="100"/>
          <w:kern w:val="0"/>
          <w:sz w:val="24"/>
          <w:szCs w:val="24"/>
          <w:highlight w:val="none"/>
          <w:vertAlign w:val="subscript"/>
          <w:lang w:val="en-US" w:eastAsia="zh-CN" w:bidi="ar-SA"/>
        </w:rPr>
        <w:t>0i</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—第i个污染物的环境空气质量浓度标准，μg/m</w:t>
      </w:r>
      <w:r>
        <w:rPr>
          <w:rFonts w:hint="default" w:ascii="Times New Roman" w:hAnsi="Times New Roman" w:cs="Times New Roman"/>
          <w:caps w:val="0"/>
          <w:smallCaps w:val="0"/>
          <w:snapToGrid/>
          <w:color w:val="auto"/>
          <w:spacing w:val="0"/>
          <w:w w:val="100"/>
          <w:kern w:val="0"/>
          <w:sz w:val="24"/>
          <w:szCs w:val="24"/>
          <w:highlight w:val="none"/>
          <w:vertAlign w:val="superscript"/>
          <w:lang w:val="en-US" w:eastAsia="zh-CN" w:bidi="ar-SA"/>
        </w:rPr>
        <w:t>3</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cs="Times New Roman"/>
          <w:caps w:val="0"/>
          <w:smallCaps w:val="0"/>
          <w:snapToGrid/>
          <w:color w:val="auto"/>
          <w:spacing w:val="0"/>
          <w:w w:val="100"/>
          <w:kern w:val="0"/>
          <w:sz w:val="24"/>
          <w:szCs w:val="24"/>
          <w:highlight w:val="none"/>
          <w:lang w:val="en-US" w:eastAsia="zh-CN" w:bidi="ar-SA"/>
        </w:rPr>
        <w:t>根据AERSCREEN估算模式预测，预测结果见下表。</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cs="Times New Roman"/>
          <w:b/>
          <w:bCs/>
          <w:caps w:val="0"/>
          <w:smallCaps w:val="0"/>
          <w:snapToGrid/>
          <w:color w:val="auto"/>
          <w:spacing w:val="0"/>
          <w:w w:val="100"/>
          <w:kern w:val="0"/>
          <w:sz w:val="21"/>
          <w:szCs w:val="21"/>
          <w:highlight w:val="none"/>
          <w:lang w:val="en-US" w:eastAsia="zh-CN" w:bidi="ar-SA"/>
        </w:rPr>
      </w:pPr>
      <w:r>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5.</w:t>
      </w:r>
      <w:r>
        <w:rPr>
          <w:rFonts w:hint="eastAsia" w:ascii="Times New Roman" w:hAnsi="Times New Roman" w:cs="Times New Roman"/>
          <w:b/>
          <w:bCs/>
          <w:caps w:val="0"/>
          <w:smallCaps w:val="0"/>
          <w:snapToGrid/>
          <w:color w:val="auto"/>
          <w:spacing w:val="0"/>
          <w:w w:val="100"/>
          <w:kern w:val="0"/>
          <w:sz w:val="21"/>
          <w:szCs w:val="21"/>
          <w:highlight w:val="none"/>
          <w:lang w:val="en-US" w:eastAsia="zh-CN" w:bidi="ar-SA"/>
        </w:rPr>
        <w:t>2</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-4预处理车间</w:t>
      </w:r>
      <w:r>
        <w:rPr>
          <w:rFonts w:hint="eastAsia" w:ascii="Times New Roman" w:hAnsi="Times New Roman" w:cs="Times New Roman"/>
          <w:b/>
          <w:bCs/>
          <w:caps w:val="0"/>
          <w:smallCaps w:val="0"/>
          <w:snapToGrid/>
          <w:color w:val="auto"/>
          <w:spacing w:val="0"/>
          <w:w w:val="100"/>
          <w:kern w:val="0"/>
          <w:sz w:val="21"/>
          <w:szCs w:val="21"/>
          <w:highlight w:val="none"/>
          <w:lang w:val="en-US" w:eastAsia="zh-CN" w:bidi="ar-SA"/>
        </w:rPr>
        <w:t>无组织面源排放</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13"/>
        <w:gridCol w:w="1183"/>
        <w:gridCol w:w="1195"/>
        <w:gridCol w:w="1011"/>
        <w:gridCol w:w="1195"/>
        <w:gridCol w:w="1012"/>
        <w:gridCol w:w="1195"/>
        <w:gridCol w:w="101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名称</w:t>
            </w:r>
          </w:p>
        </w:tc>
        <w:tc>
          <w:tcPr>
            <w:tcW w:w="118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原点下风向距离（m）</w:t>
            </w:r>
          </w:p>
        </w:tc>
        <w:tc>
          <w:tcPr>
            <w:tcW w:w="2206"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NH</w:t>
            </w:r>
            <w:r>
              <w:rPr>
                <w:rFonts w:hint="eastAsia" w:ascii="Times New Roman" w:hAnsi="Times New Roman" w:cs="Times New Roman"/>
                <w:color w:val="auto"/>
                <w:sz w:val="21"/>
                <w:szCs w:val="21"/>
                <w:highlight w:val="none"/>
                <w:vertAlign w:val="subscript"/>
                <w:lang w:val="en-US" w:eastAsia="zh-CN"/>
              </w:rPr>
              <w:t>3</w:t>
            </w:r>
          </w:p>
        </w:tc>
        <w:tc>
          <w:tcPr>
            <w:tcW w:w="220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H</w:t>
            </w:r>
            <w:r>
              <w:rPr>
                <w:rFonts w:hint="eastAsia" w:ascii="Times New Roman" w:hAnsi="Times New Roman" w:cs="Times New Roman"/>
                <w:color w:val="auto"/>
                <w:sz w:val="21"/>
                <w:szCs w:val="21"/>
                <w:highlight w:val="none"/>
                <w:vertAlign w:val="subscript"/>
                <w:lang w:val="en-US" w:eastAsia="zh-CN"/>
              </w:rPr>
              <w:t>2</w:t>
            </w:r>
            <w:r>
              <w:rPr>
                <w:rFonts w:hint="eastAsia" w:ascii="Times New Roman" w:hAnsi="Times New Roman" w:cs="Times New Roman"/>
                <w:color w:val="auto"/>
                <w:sz w:val="21"/>
                <w:szCs w:val="21"/>
                <w:highlight w:val="none"/>
                <w:vertAlign w:val="baseline"/>
                <w:lang w:val="en-US" w:eastAsia="zh-CN"/>
              </w:rPr>
              <w:t>S</w:t>
            </w:r>
          </w:p>
        </w:tc>
        <w:tc>
          <w:tcPr>
            <w:tcW w:w="2207"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非甲烷总烃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8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预测浓度（mg/m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w:t>
            </w:r>
          </w:p>
        </w:tc>
        <w:tc>
          <w:tcPr>
            <w:tcW w:w="10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占标率（%）</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预测浓度（mg/m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w:t>
            </w:r>
          </w:p>
        </w:tc>
        <w:tc>
          <w:tcPr>
            <w:tcW w:w="101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占标率（%）</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预测浓度（mg/m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w:t>
            </w:r>
          </w:p>
        </w:tc>
        <w:tc>
          <w:tcPr>
            <w:tcW w:w="101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预处理车间</w:t>
            </w:r>
          </w:p>
        </w:tc>
        <w:tc>
          <w:tcPr>
            <w:tcW w:w="11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2.45E-03</w:t>
            </w:r>
          </w:p>
        </w:tc>
        <w:tc>
          <w:tcPr>
            <w:tcW w:w="10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1.22</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5.44E-05</w:t>
            </w:r>
          </w:p>
        </w:tc>
        <w:tc>
          <w:tcPr>
            <w:tcW w:w="101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0.54</w:t>
            </w:r>
          </w:p>
        </w:tc>
        <w:tc>
          <w:tcPr>
            <w:tcW w:w="1195" w:type="dxa"/>
            <w:tcBorders>
              <w:tl2br w:val="nil"/>
              <w:tr2bl w:val="nil"/>
            </w:tcBorders>
            <w:vAlign w:val="top"/>
          </w:tcPr>
          <w:p>
            <w:pPr>
              <w:keepNext w:val="0"/>
              <w:keepLines w:val="0"/>
              <w:widowControl/>
              <w:suppressLineNumbers w:val="0"/>
              <w:jc w:val="center"/>
              <w:textAlignment w:val="top"/>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2.18E-05</w:t>
            </w:r>
          </w:p>
        </w:tc>
        <w:tc>
          <w:tcPr>
            <w:tcW w:w="1012"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1.08E-03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20</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3.23E-03</w:t>
            </w:r>
          </w:p>
        </w:tc>
        <w:tc>
          <w:tcPr>
            <w:tcW w:w="10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1.62</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7.19E-05</w:t>
            </w:r>
          </w:p>
        </w:tc>
        <w:tc>
          <w:tcPr>
            <w:tcW w:w="101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0.72</w:t>
            </w:r>
          </w:p>
        </w:tc>
        <w:tc>
          <w:tcPr>
            <w:tcW w:w="1195" w:type="dxa"/>
            <w:tcBorders>
              <w:tl2br w:val="nil"/>
              <w:tr2bl w:val="nil"/>
            </w:tcBorders>
            <w:vAlign w:val="top"/>
          </w:tcPr>
          <w:p>
            <w:pPr>
              <w:keepNext w:val="0"/>
              <w:keepLines w:val="0"/>
              <w:widowControl/>
              <w:suppressLineNumbers w:val="0"/>
              <w:jc w:val="center"/>
              <w:textAlignment w:val="top"/>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2.88E-05</w:t>
            </w:r>
          </w:p>
        </w:tc>
        <w:tc>
          <w:tcPr>
            <w:tcW w:w="1012"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1.41E-03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50</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3.69E-03</w:t>
            </w:r>
          </w:p>
        </w:tc>
        <w:tc>
          <w:tcPr>
            <w:tcW w:w="10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1.85</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8.21E-05</w:t>
            </w:r>
          </w:p>
        </w:tc>
        <w:tc>
          <w:tcPr>
            <w:tcW w:w="101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0.82</w:t>
            </w:r>
          </w:p>
        </w:tc>
        <w:tc>
          <w:tcPr>
            <w:tcW w:w="1195" w:type="dxa"/>
            <w:tcBorders>
              <w:tl2br w:val="nil"/>
              <w:tr2bl w:val="nil"/>
            </w:tcBorders>
            <w:vAlign w:val="top"/>
          </w:tcPr>
          <w:p>
            <w:pPr>
              <w:keepNext w:val="0"/>
              <w:keepLines w:val="0"/>
              <w:widowControl/>
              <w:suppressLineNumbers w:val="0"/>
              <w:jc w:val="center"/>
              <w:textAlignment w:val="top"/>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3.30E-05</w:t>
            </w:r>
          </w:p>
        </w:tc>
        <w:tc>
          <w:tcPr>
            <w:tcW w:w="1012"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1.65E-03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53</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3.71E-03</w:t>
            </w:r>
          </w:p>
        </w:tc>
        <w:tc>
          <w:tcPr>
            <w:tcW w:w="10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1.86</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8.25E-05</w:t>
            </w:r>
          </w:p>
        </w:tc>
        <w:tc>
          <w:tcPr>
            <w:tcW w:w="101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0.83</w:t>
            </w:r>
          </w:p>
        </w:tc>
        <w:tc>
          <w:tcPr>
            <w:tcW w:w="1195" w:type="dxa"/>
            <w:tcBorders>
              <w:tl2br w:val="nil"/>
              <w:tr2bl w:val="nil"/>
            </w:tcBorders>
            <w:vAlign w:val="top"/>
          </w:tcPr>
          <w:p>
            <w:pPr>
              <w:keepNext w:val="0"/>
              <w:keepLines w:val="0"/>
              <w:widowControl/>
              <w:suppressLineNumbers w:val="0"/>
              <w:jc w:val="center"/>
              <w:textAlignment w:val="top"/>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3.30E-05</w:t>
            </w:r>
          </w:p>
        </w:tc>
        <w:tc>
          <w:tcPr>
            <w:tcW w:w="1012"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1.65E-03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75</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3.23E-03</w:t>
            </w:r>
          </w:p>
        </w:tc>
        <w:tc>
          <w:tcPr>
            <w:tcW w:w="10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1.61</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7.17E-05</w:t>
            </w:r>
          </w:p>
        </w:tc>
        <w:tc>
          <w:tcPr>
            <w:tcW w:w="101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0.72</w:t>
            </w:r>
          </w:p>
        </w:tc>
        <w:tc>
          <w:tcPr>
            <w:tcW w:w="1195" w:type="dxa"/>
            <w:tcBorders>
              <w:tl2br w:val="nil"/>
              <w:tr2bl w:val="nil"/>
            </w:tcBorders>
            <w:vAlign w:val="top"/>
          </w:tcPr>
          <w:p>
            <w:pPr>
              <w:keepNext w:val="0"/>
              <w:keepLines w:val="0"/>
              <w:widowControl/>
              <w:suppressLineNumbers w:val="0"/>
              <w:jc w:val="center"/>
              <w:textAlignment w:val="top"/>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2.87E-05</w:t>
            </w:r>
          </w:p>
        </w:tc>
        <w:tc>
          <w:tcPr>
            <w:tcW w:w="1012"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1.44E-03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100</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2.74E-03</w:t>
            </w:r>
          </w:p>
        </w:tc>
        <w:tc>
          <w:tcPr>
            <w:tcW w:w="10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1.37</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6.08E-05</w:t>
            </w:r>
          </w:p>
        </w:tc>
        <w:tc>
          <w:tcPr>
            <w:tcW w:w="101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0.61</w:t>
            </w:r>
          </w:p>
        </w:tc>
        <w:tc>
          <w:tcPr>
            <w:tcW w:w="1195" w:type="dxa"/>
            <w:tcBorders>
              <w:tl2br w:val="nil"/>
              <w:tr2bl w:val="nil"/>
            </w:tcBorders>
            <w:vAlign w:val="top"/>
          </w:tcPr>
          <w:p>
            <w:pPr>
              <w:keepNext w:val="0"/>
              <w:keepLines w:val="0"/>
              <w:widowControl/>
              <w:suppressLineNumbers w:val="0"/>
              <w:jc w:val="center"/>
              <w:textAlignment w:val="top"/>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2.43E-05</w:t>
            </w:r>
          </w:p>
        </w:tc>
        <w:tc>
          <w:tcPr>
            <w:tcW w:w="1012"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1.23E-03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125</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2.53E-03</w:t>
            </w:r>
          </w:p>
        </w:tc>
        <w:tc>
          <w:tcPr>
            <w:tcW w:w="10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1.26</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5.62E-05</w:t>
            </w:r>
          </w:p>
        </w:tc>
        <w:tc>
          <w:tcPr>
            <w:tcW w:w="101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0.56</w:t>
            </w:r>
          </w:p>
        </w:tc>
        <w:tc>
          <w:tcPr>
            <w:tcW w:w="1195" w:type="dxa"/>
            <w:tcBorders>
              <w:tl2br w:val="nil"/>
              <w:tr2bl w:val="nil"/>
            </w:tcBorders>
            <w:vAlign w:val="top"/>
          </w:tcPr>
          <w:p>
            <w:pPr>
              <w:keepNext w:val="0"/>
              <w:keepLines w:val="0"/>
              <w:widowControl/>
              <w:suppressLineNumbers w:val="0"/>
              <w:jc w:val="center"/>
              <w:textAlignment w:val="top"/>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2.25E-05</w:t>
            </w:r>
          </w:p>
        </w:tc>
        <w:tc>
          <w:tcPr>
            <w:tcW w:w="1012"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1.14E-03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150</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2.34E-03</w:t>
            </w:r>
          </w:p>
        </w:tc>
        <w:tc>
          <w:tcPr>
            <w:tcW w:w="10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1.17</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5.19E-05</w:t>
            </w:r>
          </w:p>
        </w:tc>
        <w:tc>
          <w:tcPr>
            <w:tcW w:w="101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0.52</w:t>
            </w:r>
          </w:p>
        </w:tc>
        <w:tc>
          <w:tcPr>
            <w:tcW w:w="1195" w:type="dxa"/>
            <w:tcBorders>
              <w:tl2br w:val="nil"/>
              <w:tr2bl w:val="nil"/>
            </w:tcBorders>
            <w:vAlign w:val="top"/>
          </w:tcPr>
          <w:p>
            <w:pPr>
              <w:keepNext w:val="0"/>
              <w:keepLines w:val="0"/>
              <w:widowControl/>
              <w:suppressLineNumbers w:val="0"/>
              <w:jc w:val="center"/>
              <w:textAlignment w:val="top"/>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2.08E-05</w:t>
            </w:r>
          </w:p>
        </w:tc>
        <w:tc>
          <w:tcPr>
            <w:tcW w:w="1012"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1.05E-03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175</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2.14E-03</w:t>
            </w:r>
          </w:p>
        </w:tc>
        <w:tc>
          <w:tcPr>
            <w:tcW w:w="10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1.07</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4.76E-05</w:t>
            </w:r>
          </w:p>
        </w:tc>
        <w:tc>
          <w:tcPr>
            <w:tcW w:w="101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0.48</w:t>
            </w:r>
          </w:p>
        </w:tc>
        <w:tc>
          <w:tcPr>
            <w:tcW w:w="1195" w:type="dxa"/>
            <w:tcBorders>
              <w:tl2br w:val="nil"/>
              <w:tr2bl w:val="nil"/>
            </w:tcBorders>
            <w:vAlign w:val="top"/>
          </w:tcPr>
          <w:p>
            <w:pPr>
              <w:keepNext w:val="0"/>
              <w:keepLines w:val="0"/>
              <w:widowControl/>
              <w:suppressLineNumbers w:val="0"/>
              <w:jc w:val="center"/>
              <w:textAlignment w:val="top"/>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1.91E-05</w:t>
            </w:r>
          </w:p>
        </w:tc>
        <w:tc>
          <w:tcPr>
            <w:tcW w:w="1012"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9.60E-04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200</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1.96E-03</w:t>
            </w:r>
          </w:p>
        </w:tc>
        <w:tc>
          <w:tcPr>
            <w:tcW w:w="10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0.98</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4.35E-05</w:t>
            </w:r>
          </w:p>
        </w:tc>
        <w:tc>
          <w:tcPr>
            <w:tcW w:w="101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highlight w:val="none"/>
              </w:rPr>
              <w:t>0.43</w:t>
            </w:r>
          </w:p>
        </w:tc>
        <w:tc>
          <w:tcPr>
            <w:tcW w:w="1195" w:type="dxa"/>
            <w:tcBorders>
              <w:tl2br w:val="nil"/>
              <w:tr2bl w:val="nil"/>
            </w:tcBorders>
            <w:vAlign w:val="top"/>
          </w:tcPr>
          <w:p>
            <w:pPr>
              <w:keepNext w:val="0"/>
              <w:keepLines w:val="0"/>
              <w:widowControl/>
              <w:suppressLineNumbers w:val="0"/>
              <w:jc w:val="center"/>
              <w:textAlignment w:val="top"/>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1.74E-05</w:t>
            </w:r>
          </w:p>
        </w:tc>
        <w:tc>
          <w:tcPr>
            <w:tcW w:w="1012"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8.70E-04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250</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1.63E-03</w:t>
            </w:r>
          </w:p>
        </w:tc>
        <w:tc>
          <w:tcPr>
            <w:tcW w:w="10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0.81</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3.62E-05</w:t>
            </w:r>
          </w:p>
        </w:tc>
        <w:tc>
          <w:tcPr>
            <w:tcW w:w="101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0.36</w:t>
            </w:r>
          </w:p>
        </w:tc>
        <w:tc>
          <w:tcPr>
            <w:tcW w:w="1195" w:type="dxa"/>
            <w:tcBorders>
              <w:tl2br w:val="nil"/>
              <w:tr2bl w:val="nil"/>
            </w:tcBorders>
            <w:vAlign w:val="top"/>
          </w:tcPr>
          <w:p>
            <w:pPr>
              <w:keepNext w:val="0"/>
              <w:keepLines w:val="0"/>
              <w:widowControl/>
              <w:suppressLineNumbers w:val="0"/>
              <w:jc w:val="center"/>
              <w:textAlignment w:val="top"/>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1.45E-05</w:t>
            </w:r>
          </w:p>
        </w:tc>
        <w:tc>
          <w:tcPr>
            <w:tcW w:w="1012"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7.20E-04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300</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1.37E-03</w:t>
            </w:r>
          </w:p>
        </w:tc>
        <w:tc>
          <w:tcPr>
            <w:tcW w:w="10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0.69</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3.05E-05</w:t>
            </w:r>
          </w:p>
        </w:tc>
        <w:tc>
          <w:tcPr>
            <w:tcW w:w="101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0.30</w:t>
            </w:r>
          </w:p>
        </w:tc>
        <w:tc>
          <w:tcPr>
            <w:tcW w:w="1195" w:type="dxa"/>
            <w:tcBorders>
              <w:tl2br w:val="nil"/>
              <w:tr2bl w:val="nil"/>
            </w:tcBorders>
            <w:vAlign w:val="top"/>
          </w:tcPr>
          <w:p>
            <w:pPr>
              <w:keepNext w:val="0"/>
              <w:keepLines w:val="0"/>
              <w:widowControl/>
              <w:suppressLineNumbers w:val="0"/>
              <w:jc w:val="center"/>
              <w:textAlignment w:val="top"/>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1.22E-05</w:t>
            </w:r>
          </w:p>
        </w:tc>
        <w:tc>
          <w:tcPr>
            <w:tcW w:w="1012"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6.00E-04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350</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1.17E-03</w:t>
            </w:r>
          </w:p>
        </w:tc>
        <w:tc>
          <w:tcPr>
            <w:tcW w:w="10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0.58</w:t>
            </w:r>
          </w:p>
        </w:tc>
        <w:tc>
          <w:tcPr>
            <w:tcW w:w="119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2.60E-05</w:t>
            </w:r>
          </w:p>
        </w:tc>
        <w:tc>
          <w:tcPr>
            <w:tcW w:w="101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0.26</w:t>
            </w:r>
          </w:p>
        </w:tc>
        <w:tc>
          <w:tcPr>
            <w:tcW w:w="1195" w:type="dxa"/>
            <w:tcBorders>
              <w:tl2br w:val="nil"/>
              <w:tr2bl w:val="nil"/>
            </w:tcBorders>
            <w:vAlign w:val="top"/>
          </w:tcPr>
          <w:p>
            <w:pPr>
              <w:keepNext w:val="0"/>
              <w:keepLines w:val="0"/>
              <w:widowControl/>
              <w:suppressLineNumbers w:val="0"/>
              <w:jc w:val="center"/>
              <w:textAlignment w:val="top"/>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1.04E-05</w:t>
            </w:r>
          </w:p>
        </w:tc>
        <w:tc>
          <w:tcPr>
            <w:tcW w:w="1012"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5.10E-04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400</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1.01E-03</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0.51</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2.25E-05</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0.22</w:t>
            </w:r>
          </w:p>
        </w:tc>
        <w:tc>
          <w:tcPr>
            <w:tcW w:w="1195" w:type="dxa"/>
            <w:vAlign w:val="top"/>
          </w:tcPr>
          <w:p>
            <w:pPr>
              <w:keepNext w:val="0"/>
              <w:keepLines w:val="0"/>
              <w:widowControl/>
              <w:suppressLineNumbers w:val="0"/>
              <w:jc w:val="center"/>
              <w:textAlignment w:val="top"/>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8.97E-06</w:t>
            </w:r>
          </w:p>
        </w:tc>
        <w:tc>
          <w:tcPr>
            <w:tcW w:w="1012" w:type="dxa"/>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4.20E-04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450</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8.99E-04</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0.45</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2.00E-05</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0.20</w:t>
            </w:r>
          </w:p>
        </w:tc>
        <w:tc>
          <w:tcPr>
            <w:tcW w:w="1195" w:type="dxa"/>
            <w:vAlign w:val="top"/>
          </w:tcPr>
          <w:p>
            <w:pPr>
              <w:keepNext w:val="0"/>
              <w:keepLines w:val="0"/>
              <w:widowControl/>
              <w:suppressLineNumbers w:val="0"/>
              <w:jc w:val="center"/>
              <w:textAlignment w:val="top"/>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7.98E-06</w:t>
            </w:r>
          </w:p>
        </w:tc>
        <w:tc>
          <w:tcPr>
            <w:tcW w:w="1012" w:type="dxa"/>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3.90E-04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13" w:type="dxa"/>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500</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7.92E-04</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0.40</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1.76E-05</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0.18</w:t>
            </w:r>
          </w:p>
        </w:tc>
        <w:tc>
          <w:tcPr>
            <w:tcW w:w="1195" w:type="dxa"/>
            <w:vAlign w:val="top"/>
          </w:tcPr>
          <w:p>
            <w:pPr>
              <w:keepNext w:val="0"/>
              <w:keepLines w:val="0"/>
              <w:widowControl/>
              <w:suppressLineNumbers w:val="0"/>
              <w:jc w:val="center"/>
              <w:textAlignment w:val="top"/>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7.05E-06</w:t>
            </w:r>
          </w:p>
        </w:tc>
        <w:tc>
          <w:tcPr>
            <w:tcW w:w="1012" w:type="dxa"/>
            <w:vAlign w:val="center"/>
          </w:tcPr>
          <w:p>
            <w:pPr>
              <w:keepNext w:val="0"/>
              <w:keepLines w:val="0"/>
              <w:widowControl/>
              <w:suppressLineNumbers w:val="0"/>
              <w:jc w:val="center"/>
              <w:textAlignment w:val="center"/>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3.60E-04</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表5.2-5污油储罐区无组织面源排放</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29"/>
        <w:gridCol w:w="2129"/>
        <w:gridCol w:w="2305"/>
        <w:gridCol w:w="195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名称</w:t>
            </w:r>
          </w:p>
        </w:tc>
        <w:tc>
          <w:tcPr>
            <w:tcW w:w="212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原点下风向距离（m）</w:t>
            </w:r>
          </w:p>
        </w:tc>
        <w:tc>
          <w:tcPr>
            <w:tcW w:w="425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非甲烷总烃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预测浓度（mg/m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污油储罐区</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3.22E-03</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0.16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25</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3.62E-03</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0.18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45</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3.68E-03</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0.18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3.66E-03</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0.18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75</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3.29E-03</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0.16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2.47E-03</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0.12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125</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1.96E-03</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0.10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150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1.82E-03</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0.09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175</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1.66E-03</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200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1.56E-03</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250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1.28E-03</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300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1.13E-03</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350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1.01E-03</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400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9.12E-04</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450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8.28E-04</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500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7.56E-04</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0.04</w:t>
            </w:r>
          </w:p>
        </w:tc>
      </w:tr>
    </w:tbl>
    <w:p>
      <w:pPr>
        <w:rPr>
          <w:rFonts w:hint="eastAsia" w:ascii="Times New Roman" w:hAnsi="Times New Roman" w:cs="Times New Roman"/>
          <w:b/>
          <w:bCs/>
          <w:caps w:val="0"/>
          <w:smallCaps w:val="0"/>
          <w:snapToGrid/>
          <w:color w:val="auto"/>
          <w:spacing w:val="0"/>
          <w:w w:val="100"/>
          <w:kern w:val="0"/>
          <w:sz w:val="21"/>
          <w:szCs w:val="21"/>
          <w:highlight w:val="none"/>
          <w:lang w:val="en-US" w:eastAsia="zh-CN" w:bidi="ar-SA"/>
        </w:rPr>
      </w:pPr>
    </w:p>
    <w:p>
      <w:pPr>
        <w:pStyle w:val="11"/>
        <w:rPr>
          <w:rFonts w:hint="eastAsia" w:ascii="Times New Roman" w:hAnsi="Times New Roman" w:cs="Times New Roman"/>
          <w:b/>
          <w:bCs/>
          <w:caps w:val="0"/>
          <w:smallCaps w:val="0"/>
          <w:snapToGrid/>
          <w:color w:val="auto"/>
          <w:spacing w:val="0"/>
          <w:w w:val="100"/>
          <w:kern w:val="0"/>
          <w:sz w:val="21"/>
          <w:szCs w:val="21"/>
          <w:highlight w:val="none"/>
          <w:lang w:val="en-US" w:eastAsia="zh-CN" w:bidi="ar-SA"/>
        </w:rPr>
      </w:pP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表5.2-</w:t>
      </w:r>
      <w:r>
        <w:rPr>
          <w:rFonts w:hint="eastAsia" w:ascii="Times New Roman" w:hAnsi="Times New Roman" w:cs="Times New Roman"/>
          <w:b/>
          <w:bCs/>
          <w:caps w:val="0"/>
          <w:smallCaps w:val="0"/>
          <w:snapToGrid/>
          <w:color w:val="auto"/>
          <w:spacing w:val="0"/>
          <w:w w:val="100"/>
          <w:kern w:val="0"/>
          <w:sz w:val="21"/>
          <w:szCs w:val="21"/>
          <w:highlight w:val="none"/>
          <w:lang w:val="en-US" w:eastAsia="zh-CN" w:bidi="ar-SA"/>
        </w:rPr>
        <w:t>6</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储液池区域无组织面源排放</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29"/>
        <w:gridCol w:w="2129"/>
        <w:gridCol w:w="2305"/>
        <w:gridCol w:w="195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名称</w:t>
            </w:r>
          </w:p>
        </w:tc>
        <w:tc>
          <w:tcPr>
            <w:tcW w:w="212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原点下风向距离（m）</w:t>
            </w:r>
          </w:p>
        </w:tc>
        <w:tc>
          <w:tcPr>
            <w:tcW w:w="425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非甲烷总烃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预测浓度（mg/m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储液池区域</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6.22E-06</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3.10E-04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25</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6.63E-06</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3.32E-04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7.27E-06</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3.64E-04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75</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7.87E-06</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3.94E-04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8.44E-06</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4.22E-04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125</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8.99E-06</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4.50E-04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150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9.51E-06</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4.76E-04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175</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1.00E-05</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r>
              <w:rPr>
                <w:rFonts w:hint="eastAsia" w:cs="Times New Roman"/>
                <w:color w:val="auto"/>
                <w:sz w:val="21"/>
                <w:szCs w:val="21"/>
                <w:highlight w:val="none"/>
                <w:vertAlign w:val="baseline"/>
                <w:lang w:val="en-US" w:eastAsia="zh-CN"/>
              </w:rPr>
              <w:t>.00</w:t>
            </w:r>
            <w:r>
              <w:rPr>
                <w:rFonts w:hint="eastAsia" w:ascii="Times New Roman" w:hAnsi="Times New Roman" w:cs="Times New Roman"/>
                <w:color w:val="auto"/>
                <w:sz w:val="21"/>
                <w:szCs w:val="21"/>
                <w:highlight w:val="none"/>
                <w:vertAlign w:val="baseline"/>
                <w:lang w:val="en-US" w:eastAsia="zh-CN"/>
              </w:rPr>
              <w:t>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188</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1.01E-05</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5.51E-04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200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rPr>
              <w:t>1.01E-05</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5.51E-04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250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8.97E-06</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4.49E-04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300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7.79E-06</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3.9</w:t>
            </w:r>
            <w:r>
              <w:rPr>
                <w:rFonts w:hint="eastAsia" w:cs="Times New Roman"/>
                <w:color w:val="auto"/>
                <w:sz w:val="21"/>
                <w:szCs w:val="21"/>
                <w:highlight w:val="none"/>
                <w:vertAlign w:val="baseline"/>
                <w:lang w:val="en-US" w:eastAsia="zh-CN"/>
              </w:rPr>
              <w:t>0</w:t>
            </w:r>
            <w:r>
              <w:rPr>
                <w:rFonts w:hint="eastAsia" w:ascii="Times New Roman" w:hAnsi="Times New Roman" w:cs="Times New Roman"/>
                <w:color w:val="auto"/>
                <w:sz w:val="21"/>
                <w:szCs w:val="21"/>
                <w:highlight w:val="none"/>
                <w:vertAlign w:val="baseline"/>
                <w:lang w:val="en-US" w:eastAsia="zh-CN"/>
              </w:rPr>
              <w:t>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350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6.95E-06</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3.48E-04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400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6.27E-06</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3.14E-04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450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5.73E-06</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2.87E-04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500</w:t>
            </w:r>
          </w:p>
        </w:tc>
        <w:tc>
          <w:tcPr>
            <w:tcW w:w="23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5.27E-06</w:t>
            </w:r>
          </w:p>
        </w:tc>
        <w:tc>
          <w:tcPr>
            <w:tcW w:w="19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2.64E-04</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表5.2-7恶臭气体15m排气筒有组织排放</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19"/>
        <w:gridCol w:w="1419"/>
        <w:gridCol w:w="1419"/>
        <w:gridCol w:w="1419"/>
        <w:gridCol w:w="1420"/>
        <w:gridCol w:w="14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名称</w:t>
            </w:r>
          </w:p>
        </w:tc>
        <w:tc>
          <w:tcPr>
            <w:tcW w:w="141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原点下风向距离（m）</w:t>
            </w:r>
          </w:p>
        </w:tc>
        <w:tc>
          <w:tcPr>
            <w:tcW w:w="283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NH</w:t>
            </w:r>
            <w:r>
              <w:rPr>
                <w:rFonts w:hint="eastAsia" w:ascii="Times New Roman" w:hAnsi="Times New Roman" w:cs="Times New Roman"/>
                <w:color w:val="auto"/>
                <w:sz w:val="21"/>
                <w:szCs w:val="21"/>
                <w:highlight w:val="none"/>
                <w:vertAlign w:val="subscript"/>
                <w:lang w:val="en-US" w:eastAsia="zh-CN"/>
              </w:rPr>
              <w:t>3</w:t>
            </w:r>
          </w:p>
        </w:tc>
        <w:tc>
          <w:tcPr>
            <w:tcW w:w="2840"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H</w:t>
            </w:r>
            <w:r>
              <w:rPr>
                <w:rFonts w:hint="eastAsia" w:ascii="Times New Roman" w:hAnsi="Times New Roman" w:cs="Times New Roman"/>
                <w:color w:val="auto"/>
                <w:sz w:val="21"/>
                <w:szCs w:val="21"/>
                <w:highlight w:val="none"/>
                <w:vertAlign w:val="subscript"/>
                <w:lang w:val="en-US" w:eastAsia="zh-CN"/>
              </w:rPr>
              <w:t>2</w:t>
            </w:r>
            <w:r>
              <w:rPr>
                <w:rFonts w:hint="eastAsia" w:ascii="Times New Roman" w:hAnsi="Times New Roman" w:cs="Times New Roman"/>
                <w:color w:val="auto"/>
                <w:sz w:val="21"/>
                <w:szCs w:val="21"/>
                <w:highlight w:val="none"/>
                <w:vertAlign w:val="baseline"/>
                <w:lang w:val="en-US" w:eastAsia="zh-CN"/>
              </w:rPr>
              <w:t>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1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预测浓度（mg/m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占标率（%）</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预测浓度（mg/m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恶臭气体15m排气筒</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3.72E-22</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0.00</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3.99E-24</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olor w:val="auto"/>
                <w:highlight w:val="none"/>
                <w:lang w:val="en-US" w:eastAsia="zh-CN"/>
              </w:rPr>
              <w:t>3.99E-22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25</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2.00E-08</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0.00</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2.14E-10</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olor w:val="auto"/>
                <w:highlight w:val="none"/>
                <w:lang w:val="en-US" w:eastAsia="zh-CN"/>
              </w:rPr>
              <w:t>2.14E-08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50</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3.67E-05</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0.02</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3.93E-07</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olor w:val="auto"/>
                <w:highlight w:val="none"/>
                <w:lang w:val="en-US" w:eastAsia="zh-CN"/>
              </w:rPr>
              <w:t>3.93E-05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75</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1.64E-04</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0.08</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1.76E-06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olor w:val="auto"/>
                <w:highlight w:val="none"/>
                <w:lang w:val="en-US" w:eastAsia="zh-CN"/>
              </w:rPr>
              <w:t>1.76E-04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100</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2.35E-04</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0.12</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2.52E-06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olor w:val="auto"/>
                <w:highlight w:val="none"/>
                <w:lang w:val="en-US" w:eastAsia="zh-CN"/>
              </w:rPr>
              <w:t>2.52E-04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125</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3.17E-04</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0.16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3.40E-06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olor w:val="auto"/>
                <w:highlight w:val="none"/>
                <w:lang w:val="en-US" w:eastAsia="zh-CN"/>
              </w:rPr>
              <w:t>3.40E-04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140</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3.25E-04</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olor w:val="auto"/>
                <w:highlight w:val="none"/>
              </w:rPr>
            </w:pPr>
            <w:r>
              <w:rPr>
                <w:rFonts w:hint="eastAsia"/>
                <w:color w:val="auto"/>
                <w:highlight w:val="none"/>
              </w:rPr>
              <w:t>0.16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3.49E-06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olor w:val="auto"/>
                <w:highlight w:val="none"/>
                <w:lang w:val="en-US" w:eastAsia="zh-CN"/>
              </w:rPr>
              <w:t>3.49E-04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150</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3.23E-04</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0.16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3.46E-06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olor w:val="auto"/>
                <w:highlight w:val="none"/>
                <w:lang w:val="en-US" w:eastAsia="zh-CN"/>
              </w:rPr>
              <w:t>3.46E-04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175</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3.22E-04</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0.16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3.45E-06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olor w:val="auto"/>
                <w:highlight w:val="none"/>
                <w:lang w:val="en-US" w:eastAsia="zh-CN"/>
              </w:rPr>
              <w:t>3.45E-04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200</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3.07E-04</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0.15</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rPr>
              <w:t>3.29E-06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olor w:val="auto"/>
                <w:highlight w:val="none"/>
                <w:lang w:val="en-US" w:eastAsia="zh-CN"/>
              </w:rPr>
              <w:t>3.29E-04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250</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3.09E-04</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0.15</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3.31E-06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olor w:val="auto"/>
                <w:highlight w:val="none"/>
                <w:lang w:val="en-US" w:eastAsia="zh-CN"/>
              </w:rPr>
              <w:t>3.31E-04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300</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2.87E-04</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0.14</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3.07E-06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olor w:val="auto"/>
                <w:highlight w:val="none"/>
                <w:lang w:val="en-US" w:eastAsia="zh-CN"/>
              </w:rPr>
              <w:t>3.07E-04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350</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2.83E-04</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0.14</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3.03E-06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olor w:val="auto"/>
                <w:highlight w:val="none"/>
                <w:lang w:val="en-US" w:eastAsia="zh-CN"/>
              </w:rPr>
              <w:t>3.03E-04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400</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2.80E-04</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0.14</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3.00E-06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olor w:val="auto"/>
                <w:highlight w:val="none"/>
                <w:lang w:val="en-US" w:eastAsia="zh-CN"/>
              </w:rPr>
              <w:t>3.00E-04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450</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2.67E-04</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0.13</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2.86E-06</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olor w:val="auto"/>
                <w:highlight w:val="none"/>
                <w:lang w:val="en-US" w:eastAsia="zh-CN"/>
              </w:rPr>
              <w:t>2.86E-04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419" w:type="dxa"/>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500</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2.50E-04</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0.13</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2.68E-06</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olor w:val="auto"/>
                <w:highlight w:val="none"/>
                <w:lang w:val="en-US" w:eastAsia="zh-CN"/>
              </w:rPr>
            </w:pPr>
            <w:r>
              <w:rPr>
                <w:rFonts w:hint="eastAsia"/>
                <w:color w:val="auto"/>
                <w:highlight w:val="none"/>
                <w:lang w:val="en-US" w:eastAsia="zh-CN"/>
              </w:rPr>
              <w:t>2.68E-04</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cs="Times New Roman"/>
          <w:caps w:val="0"/>
          <w:smallCaps w:val="0"/>
          <w:snapToGrid/>
          <w:color w:val="auto"/>
          <w:spacing w:val="0"/>
          <w:w w:val="100"/>
          <w:kern w:val="0"/>
          <w:sz w:val="24"/>
          <w:szCs w:val="24"/>
          <w:highlight w:val="none"/>
          <w:lang w:val="en-US" w:eastAsia="zh-CN" w:bidi="ar-SA"/>
        </w:rPr>
        <w:t>从</w:t>
      </w:r>
      <w:r>
        <w:rPr>
          <w:rFonts w:hint="eastAsia" w:cs="Times New Roman"/>
          <w:caps w:val="0"/>
          <w:smallCaps w:val="0"/>
          <w:snapToGrid/>
          <w:color w:val="auto"/>
          <w:spacing w:val="0"/>
          <w:w w:val="100"/>
          <w:kern w:val="0"/>
          <w:sz w:val="24"/>
          <w:szCs w:val="24"/>
          <w:highlight w:val="none"/>
          <w:lang w:val="en-US" w:eastAsia="zh-CN" w:bidi="ar-SA"/>
        </w:rPr>
        <w:t>上表</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可以看出，本项目</w:t>
      </w:r>
      <w:r>
        <w:rPr>
          <w:rFonts w:hint="eastAsia" w:cs="Times New Roman"/>
          <w:caps w:val="0"/>
          <w:smallCaps w:val="0"/>
          <w:snapToGrid/>
          <w:color w:val="auto"/>
          <w:spacing w:val="0"/>
          <w:w w:val="100"/>
          <w:kern w:val="0"/>
          <w:sz w:val="24"/>
          <w:szCs w:val="24"/>
          <w:highlight w:val="none"/>
          <w:lang w:val="en-US" w:eastAsia="zh-CN" w:bidi="ar-SA"/>
        </w:rPr>
        <w:t>废水预处理车间面源无组织NH</w:t>
      </w:r>
      <w:r>
        <w:rPr>
          <w:rFonts w:hint="eastAsia" w:cs="Times New Roman"/>
          <w:caps w:val="0"/>
          <w:smallCaps w:val="0"/>
          <w:snapToGrid/>
          <w:color w:val="auto"/>
          <w:spacing w:val="0"/>
          <w:w w:val="100"/>
          <w:kern w:val="0"/>
          <w:sz w:val="24"/>
          <w:szCs w:val="24"/>
          <w:highlight w:val="none"/>
          <w:vertAlign w:val="sub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、H</w:t>
      </w:r>
      <w:r>
        <w:rPr>
          <w:rFonts w:hint="eastAsia" w:cs="Times New Roman"/>
          <w:caps w:val="0"/>
          <w:smallCaps w:val="0"/>
          <w:snapToGrid/>
          <w:color w:val="auto"/>
          <w:spacing w:val="0"/>
          <w:w w:val="100"/>
          <w:kern w:val="0"/>
          <w:sz w:val="24"/>
          <w:szCs w:val="24"/>
          <w:highlight w:val="none"/>
          <w:vertAlign w:val="subscript"/>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S及非甲烷总烃</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最大落地浓度距离</w:t>
      </w:r>
      <w:r>
        <w:rPr>
          <w:rFonts w:hint="eastAsia" w:cs="Times New Roman"/>
          <w:caps w:val="0"/>
          <w:smallCaps w:val="0"/>
          <w:snapToGrid/>
          <w:color w:val="auto"/>
          <w:spacing w:val="0"/>
          <w:w w:val="100"/>
          <w:kern w:val="0"/>
          <w:sz w:val="24"/>
          <w:szCs w:val="24"/>
          <w:highlight w:val="none"/>
          <w:lang w:val="en-US" w:eastAsia="zh-CN" w:bidi="ar-SA"/>
        </w:rPr>
        <w:t>为53m，</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最大地面浓度分别为3.71E-03mg/m</w:t>
      </w:r>
      <w:r>
        <w:rPr>
          <w:rFonts w:hint="default" w:ascii="Times New Roman" w:hAnsi="Times New Roman"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、8.25E-05</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mg/m</w:t>
      </w:r>
      <w:r>
        <w:rPr>
          <w:rFonts w:hint="default" w:ascii="Times New Roman" w:hAnsi="Times New Roman"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及</w:t>
      </w:r>
      <w:r>
        <w:rPr>
          <w:rFonts w:hint="eastAsia" w:cs="Times New Roman"/>
          <w:caps w:val="0"/>
          <w:smallCaps w:val="0"/>
          <w:snapToGrid/>
          <w:color w:val="auto"/>
          <w:spacing w:val="0"/>
          <w:w w:val="100"/>
          <w:kern w:val="0"/>
          <w:sz w:val="24"/>
          <w:szCs w:val="24"/>
          <w:highlight w:val="none"/>
          <w:lang w:val="en-US" w:eastAsia="zh-CN" w:bidi="ar-SA"/>
        </w:rPr>
        <w:t>3.30</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E-0</w:t>
      </w:r>
      <w:r>
        <w:rPr>
          <w:rFonts w:hint="eastAsia" w:cs="Times New Roman"/>
          <w:caps w:val="0"/>
          <w:smallCaps w:val="0"/>
          <w:snapToGrid/>
          <w:color w:val="auto"/>
          <w:spacing w:val="0"/>
          <w:w w:val="100"/>
          <w:kern w:val="0"/>
          <w:sz w:val="24"/>
          <w:szCs w:val="24"/>
          <w:highlight w:val="none"/>
          <w:lang w:val="en-US" w:eastAsia="zh-CN" w:bidi="ar-SA"/>
        </w:rPr>
        <w:t>5</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mg/m</w:t>
      </w:r>
      <w:r>
        <w:rPr>
          <w:rFonts w:hint="default" w:ascii="Times New Roman" w:hAnsi="Times New Roman"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，占标率为1.86%、0.83%及0.17%。</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恶臭气体15m排气筒有组织排放NH</w:t>
      </w:r>
      <w:r>
        <w:rPr>
          <w:rFonts w:hint="eastAsia" w:cs="Times New Roman"/>
          <w:caps w:val="0"/>
          <w:smallCaps w:val="0"/>
          <w:snapToGrid/>
          <w:color w:val="auto"/>
          <w:spacing w:val="0"/>
          <w:w w:val="100"/>
          <w:kern w:val="0"/>
          <w:sz w:val="24"/>
          <w:szCs w:val="24"/>
          <w:highlight w:val="none"/>
          <w:vertAlign w:val="sub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和H</w:t>
      </w:r>
      <w:r>
        <w:rPr>
          <w:rFonts w:hint="eastAsia" w:cs="Times New Roman"/>
          <w:caps w:val="0"/>
          <w:smallCaps w:val="0"/>
          <w:snapToGrid/>
          <w:color w:val="auto"/>
          <w:spacing w:val="0"/>
          <w:w w:val="100"/>
          <w:kern w:val="0"/>
          <w:sz w:val="24"/>
          <w:szCs w:val="24"/>
          <w:highlight w:val="none"/>
          <w:vertAlign w:val="subscript"/>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S</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最大落地浓度距离</w:t>
      </w:r>
      <w:r>
        <w:rPr>
          <w:rFonts w:hint="eastAsia" w:cs="Times New Roman"/>
          <w:caps w:val="0"/>
          <w:smallCaps w:val="0"/>
          <w:snapToGrid/>
          <w:color w:val="auto"/>
          <w:spacing w:val="0"/>
          <w:w w:val="100"/>
          <w:kern w:val="0"/>
          <w:sz w:val="24"/>
          <w:szCs w:val="24"/>
          <w:highlight w:val="none"/>
          <w:lang w:val="en-US" w:eastAsia="zh-CN" w:bidi="ar-SA"/>
        </w:rPr>
        <w:t>为140m，</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最大地面浓度分别为3.25E-04mg/m</w:t>
      </w:r>
      <w:r>
        <w:rPr>
          <w:rFonts w:hint="default" w:ascii="Times New Roman" w:hAnsi="Times New Roman"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及3.49E-06</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mg/m</w:t>
      </w:r>
      <w:r>
        <w:rPr>
          <w:rFonts w:hint="default" w:ascii="Times New Roman" w:hAnsi="Times New Roman"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，占标率为0.16%及3.49E-04%。</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cs="Times New Roman"/>
          <w:caps w:val="0"/>
          <w:smallCaps w:val="0"/>
          <w:snapToGrid/>
          <w:color w:val="auto"/>
          <w:spacing w:val="0"/>
          <w:w w:val="100"/>
          <w:kern w:val="0"/>
          <w:sz w:val="24"/>
          <w:szCs w:val="24"/>
          <w:highlight w:val="none"/>
          <w:lang w:val="en-US" w:eastAsia="zh-CN" w:bidi="ar-SA"/>
        </w:rPr>
        <w:t>其中最大Pmax为</w:t>
      </w:r>
      <w:r>
        <w:rPr>
          <w:rFonts w:hint="eastAsia" w:cs="Times New Roman"/>
          <w:caps w:val="0"/>
          <w:smallCaps w:val="0"/>
          <w:snapToGrid/>
          <w:color w:val="auto"/>
          <w:spacing w:val="0"/>
          <w:w w:val="100"/>
          <w:kern w:val="0"/>
          <w:sz w:val="24"/>
          <w:szCs w:val="24"/>
          <w:highlight w:val="none"/>
          <w:lang w:val="en-US" w:eastAsia="zh-CN" w:bidi="ar-SA"/>
        </w:rPr>
        <w:t>1.86</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%，根据《环境影响评价技术导则大气环境》（HJ2.2-2018），当1%≤Pmax&lt;10%时，环境空气评价等级为二级，因此确定本项目大气评价等级为二级。</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cs="Times New Roman"/>
          <w:caps w:val="0"/>
          <w:smallCaps w:val="0"/>
          <w:snapToGrid/>
          <w:color w:val="auto"/>
          <w:spacing w:val="0"/>
          <w:w w:val="100"/>
          <w:kern w:val="0"/>
          <w:sz w:val="24"/>
          <w:szCs w:val="24"/>
          <w:highlight w:val="none"/>
          <w:lang w:val="en-US" w:eastAsia="zh-CN" w:bidi="ar-SA"/>
        </w:rPr>
        <w:t>③污染物排放量核算</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cs="Times New Roman"/>
          <w:caps w:val="0"/>
          <w:smallCaps w:val="0"/>
          <w:snapToGrid/>
          <w:color w:val="auto"/>
          <w:spacing w:val="0"/>
          <w:w w:val="100"/>
          <w:kern w:val="0"/>
          <w:sz w:val="24"/>
          <w:szCs w:val="24"/>
          <w:highlight w:val="none"/>
          <w:lang w:val="en-US" w:eastAsia="zh-CN" w:bidi="ar-SA"/>
        </w:rPr>
        <w:t>二级评价项目不进行进一步预测与评价，只对污染物排放量进行核算。本项目大气污染物有组织排放量核算表见</w:t>
      </w:r>
      <w:r>
        <w:rPr>
          <w:rFonts w:hint="eastAsia" w:cs="Times New Roman"/>
          <w:caps w:val="0"/>
          <w:smallCaps w:val="0"/>
          <w:snapToGrid/>
          <w:color w:val="auto"/>
          <w:spacing w:val="0"/>
          <w:w w:val="100"/>
          <w:kern w:val="0"/>
          <w:sz w:val="24"/>
          <w:szCs w:val="24"/>
          <w:highlight w:val="none"/>
          <w:lang w:val="en-US" w:eastAsia="zh-CN" w:bidi="ar-SA"/>
        </w:rPr>
        <w:t>5.2-8</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、无组织排放量核算表见5.</w:t>
      </w:r>
      <w:r>
        <w:rPr>
          <w:rFonts w:hint="eastAsia" w:cs="Times New Roman"/>
          <w:caps w:val="0"/>
          <w:smallCaps w:val="0"/>
          <w:snapToGrid/>
          <w:color w:val="auto"/>
          <w:spacing w:val="0"/>
          <w:w w:val="100"/>
          <w:kern w:val="0"/>
          <w:sz w:val="24"/>
          <w:szCs w:val="24"/>
          <w:highlight w:val="none"/>
          <w:lang w:val="en-US" w:eastAsia="zh-CN" w:bidi="ar-SA"/>
        </w:rPr>
        <w:t>2-9</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表5.</w:t>
      </w:r>
      <w:r>
        <w:rPr>
          <w:rFonts w:hint="eastAsia" w:cs="Times New Roman"/>
          <w:b/>
          <w:bCs/>
          <w:caps w:val="0"/>
          <w:smallCaps w:val="0"/>
          <w:snapToGrid/>
          <w:color w:val="auto"/>
          <w:spacing w:val="0"/>
          <w:w w:val="100"/>
          <w:kern w:val="0"/>
          <w:sz w:val="21"/>
          <w:szCs w:val="21"/>
          <w:highlight w:val="none"/>
          <w:lang w:val="en-US" w:eastAsia="zh-CN" w:bidi="ar-SA"/>
        </w:rPr>
        <w:t>2</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-8本项目</w:t>
      </w:r>
      <w:r>
        <w:rPr>
          <w:rFonts w:hint="eastAsia" w:cs="Times New Roman"/>
          <w:b/>
          <w:bCs/>
          <w:caps w:val="0"/>
          <w:smallCaps w:val="0"/>
          <w:snapToGrid/>
          <w:color w:val="auto"/>
          <w:spacing w:val="0"/>
          <w:w w:val="100"/>
          <w:kern w:val="0"/>
          <w:sz w:val="21"/>
          <w:szCs w:val="21"/>
          <w:highlight w:val="none"/>
          <w:lang w:val="en-US" w:eastAsia="zh-CN" w:bidi="ar-SA"/>
        </w:rPr>
        <w:t>运行期</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大气污染物有组织排放量核算表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03"/>
        <w:gridCol w:w="2035"/>
        <w:gridCol w:w="1419"/>
        <w:gridCol w:w="1419"/>
        <w:gridCol w:w="1420"/>
        <w:gridCol w:w="14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序号</w:t>
            </w:r>
          </w:p>
        </w:tc>
        <w:tc>
          <w:tcPr>
            <w:tcW w:w="203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污染源</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污染物</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核算排放浓度/（mg/m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核算排放速率（kg/h）</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核算排放量（t/a）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0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c>
          <w:tcPr>
            <w:tcW w:w="203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eastAsia="Arial" w:cs="Times New Roman"/>
                <w:snapToGrid w:val="0"/>
                <w:color w:val="auto"/>
                <w:kern w:val="0"/>
                <w:sz w:val="21"/>
                <w:szCs w:val="21"/>
                <w:highlight w:val="none"/>
                <w:vertAlign w:val="baseline"/>
                <w:lang w:val="en-US" w:eastAsia="zh-CN"/>
              </w:rPr>
              <w:t>恶臭气体15m排气筒</w:t>
            </w:r>
          </w:p>
        </w:tc>
        <w:tc>
          <w:tcPr>
            <w:tcW w:w="1419" w:type="dxa"/>
            <w:tcBorders>
              <w:tl2br w:val="nil"/>
              <w:tr2bl w:val="nil"/>
            </w:tcBorders>
            <w:vAlign w:val="center"/>
          </w:tcPr>
          <w:p>
            <w:pPr>
              <w:keepNext w:val="0"/>
              <w:keepLines w:val="0"/>
              <w:pageBreakBefore w:val="0"/>
              <w:widowControl/>
              <w:suppressLineNumbers w:val="0"/>
              <w:wordWrap/>
              <w:overflowPunct/>
              <w:topLinePunct w:val="0"/>
              <w:bidi w:val="0"/>
              <w:spacing w:line="360" w:lineRule="exact"/>
              <w:jc w:val="center"/>
              <w:textAlignment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NH</w:t>
            </w:r>
            <w:r>
              <w:rPr>
                <w:rFonts w:hint="eastAsia" w:ascii="Times New Roman" w:hAnsi="Times New Roman" w:cs="Times New Roman"/>
                <w:color w:val="auto"/>
                <w:sz w:val="21"/>
                <w:szCs w:val="21"/>
                <w:highlight w:val="none"/>
                <w:vertAlign w:val="subscript"/>
                <w:lang w:val="en-US" w:eastAsia="zh-CN"/>
              </w:rPr>
              <w:t>3</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1.53</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0.0076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29" w:hRule="atLeast"/>
        </w:trPr>
        <w:tc>
          <w:tcPr>
            <w:tcW w:w="80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03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419" w:type="dxa"/>
            <w:tcBorders>
              <w:tl2br w:val="nil"/>
              <w:tr2bl w:val="nil"/>
            </w:tcBorders>
            <w:vAlign w:val="center"/>
          </w:tcPr>
          <w:p>
            <w:pPr>
              <w:keepNext w:val="0"/>
              <w:keepLines w:val="0"/>
              <w:pageBreakBefore w:val="0"/>
              <w:widowControl/>
              <w:suppressLineNumbers w:val="0"/>
              <w:wordWrap/>
              <w:overflowPunct/>
              <w:topLinePunct w:val="0"/>
              <w:bidi w:val="0"/>
              <w:spacing w:line="360" w:lineRule="exact"/>
              <w:jc w:val="center"/>
              <w:textAlignment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H</w:t>
            </w:r>
            <w:r>
              <w:rPr>
                <w:rFonts w:hint="eastAsia" w:ascii="Times New Roman" w:hAnsi="Times New Roman" w:cs="Times New Roman"/>
                <w:color w:val="auto"/>
                <w:sz w:val="21"/>
                <w:szCs w:val="21"/>
                <w:highlight w:val="none"/>
                <w:vertAlign w:val="subscript"/>
                <w:lang w:val="en-US" w:eastAsia="zh-CN"/>
              </w:rPr>
              <w:t>2</w:t>
            </w:r>
            <w:r>
              <w:rPr>
                <w:rFonts w:hint="eastAsia" w:ascii="Times New Roman" w:hAnsi="Times New Roman" w:cs="Times New Roman"/>
                <w:color w:val="auto"/>
                <w:sz w:val="21"/>
                <w:szCs w:val="21"/>
                <w:highlight w:val="none"/>
                <w:vertAlign w:val="baseline"/>
                <w:lang w:val="en-US" w:eastAsia="zh-CN"/>
              </w:rPr>
              <w:t>S</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0.016</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8.22E-05</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aps w:val="0"/>
                <w:smallCaps w:val="0"/>
                <w:snapToGrid/>
                <w:color w:val="auto"/>
                <w:spacing w:val="0"/>
                <w:w w:val="100"/>
                <w:kern w:val="0"/>
                <w:sz w:val="21"/>
                <w:szCs w:val="21"/>
                <w:highlight w:val="none"/>
                <w:lang w:val="en-US" w:eastAsia="zh-CN" w:bidi="ar-SA"/>
              </w:rPr>
              <w:t>0.00072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38" w:type="dxa"/>
            <w:gridSpan w:val="2"/>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总计</w:t>
            </w:r>
          </w:p>
        </w:tc>
        <w:tc>
          <w:tcPr>
            <w:tcW w:w="1419" w:type="dxa"/>
            <w:tcBorders>
              <w:tl2br w:val="nil"/>
              <w:tr2bl w:val="nil"/>
            </w:tcBorders>
            <w:vAlign w:val="center"/>
          </w:tcPr>
          <w:p>
            <w:pPr>
              <w:keepNext w:val="0"/>
              <w:keepLines w:val="0"/>
              <w:pageBreakBefore w:val="0"/>
              <w:widowControl/>
              <w:suppressLineNumbers w:val="0"/>
              <w:wordWrap/>
              <w:overflowPunct/>
              <w:topLinePunct w:val="0"/>
              <w:bidi w:val="0"/>
              <w:spacing w:line="360" w:lineRule="exact"/>
              <w:jc w:val="center"/>
              <w:textAlignment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NH</w:t>
            </w:r>
            <w:r>
              <w:rPr>
                <w:rFonts w:hint="eastAsia" w:ascii="Times New Roman" w:hAnsi="Times New Roman" w:cs="Times New Roman"/>
                <w:color w:val="auto"/>
                <w:sz w:val="21"/>
                <w:szCs w:val="21"/>
                <w:highlight w:val="none"/>
                <w:vertAlign w:val="subscript"/>
                <w:lang w:val="en-US" w:eastAsia="zh-CN"/>
              </w:rPr>
              <w:t>3</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0.067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38"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419" w:type="dxa"/>
            <w:tcBorders>
              <w:tl2br w:val="nil"/>
              <w:tr2bl w:val="nil"/>
            </w:tcBorders>
            <w:vAlign w:val="center"/>
          </w:tcPr>
          <w:p>
            <w:pPr>
              <w:keepNext w:val="0"/>
              <w:keepLines w:val="0"/>
              <w:pageBreakBefore w:val="0"/>
              <w:widowControl/>
              <w:suppressLineNumbers w:val="0"/>
              <w:wordWrap/>
              <w:overflowPunct/>
              <w:topLinePunct w:val="0"/>
              <w:bidi w:val="0"/>
              <w:spacing w:line="360" w:lineRule="exact"/>
              <w:jc w:val="center"/>
              <w:textAlignment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H</w:t>
            </w:r>
            <w:r>
              <w:rPr>
                <w:rFonts w:hint="eastAsia" w:ascii="Times New Roman" w:hAnsi="Times New Roman" w:cs="Times New Roman"/>
                <w:color w:val="auto"/>
                <w:sz w:val="21"/>
                <w:szCs w:val="21"/>
                <w:highlight w:val="none"/>
                <w:vertAlign w:val="subscript"/>
                <w:lang w:val="en-US" w:eastAsia="zh-CN"/>
              </w:rPr>
              <w:t>2</w:t>
            </w:r>
            <w:r>
              <w:rPr>
                <w:rFonts w:hint="eastAsia" w:ascii="Times New Roman" w:hAnsi="Times New Roman" w:cs="Times New Roman"/>
                <w:color w:val="auto"/>
                <w:sz w:val="21"/>
                <w:szCs w:val="21"/>
                <w:highlight w:val="none"/>
                <w:vertAlign w:val="baseline"/>
                <w:lang w:val="en-US" w:eastAsia="zh-CN"/>
              </w:rPr>
              <w:t>S</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4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aps w:val="0"/>
                <w:smallCaps w:val="0"/>
                <w:snapToGrid/>
                <w:color w:val="auto"/>
                <w:spacing w:val="0"/>
                <w:w w:val="100"/>
                <w:kern w:val="0"/>
                <w:sz w:val="21"/>
                <w:szCs w:val="21"/>
                <w:highlight w:val="none"/>
                <w:lang w:val="en-US" w:eastAsia="zh-CN" w:bidi="ar-SA"/>
              </w:rPr>
              <w:t>0.00072</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表5.</w:t>
      </w:r>
      <w:r>
        <w:rPr>
          <w:rFonts w:hint="eastAsia" w:cs="Times New Roman"/>
          <w:b/>
          <w:bCs/>
          <w:caps w:val="0"/>
          <w:smallCaps w:val="0"/>
          <w:snapToGrid/>
          <w:color w:val="auto"/>
          <w:spacing w:val="0"/>
          <w:w w:val="100"/>
          <w:kern w:val="0"/>
          <w:sz w:val="21"/>
          <w:szCs w:val="21"/>
          <w:highlight w:val="none"/>
          <w:lang w:val="en-US" w:eastAsia="zh-CN" w:bidi="ar-SA"/>
        </w:rPr>
        <w:t>2</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-9本项目试采期间大气污染物无组织排放量核算表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07"/>
        <w:gridCol w:w="800"/>
        <w:gridCol w:w="791"/>
        <w:gridCol w:w="794"/>
        <w:gridCol w:w="1333"/>
        <w:gridCol w:w="791"/>
        <w:gridCol w:w="1787"/>
        <w:gridCol w:w="820"/>
        <w:gridCol w:w="89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序号</w:t>
            </w:r>
          </w:p>
        </w:tc>
        <w:tc>
          <w:tcPr>
            <w:tcW w:w="80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污染源</w:t>
            </w:r>
          </w:p>
        </w:tc>
        <w:tc>
          <w:tcPr>
            <w:tcW w:w="7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产污环节</w:t>
            </w:r>
          </w:p>
        </w:tc>
        <w:tc>
          <w:tcPr>
            <w:tcW w:w="79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污染物</w:t>
            </w:r>
          </w:p>
        </w:tc>
        <w:tc>
          <w:tcPr>
            <w:tcW w:w="133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主要污染防治措施</w:t>
            </w:r>
          </w:p>
        </w:tc>
        <w:tc>
          <w:tcPr>
            <w:tcW w:w="3398"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排放标准</w:t>
            </w:r>
          </w:p>
        </w:tc>
        <w:tc>
          <w:tcPr>
            <w:tcW w:w="89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排放量（t/a）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c>
          <w:tcPr>
            <w:tcW w:w="80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预处理车间</w:t>
            </w:r>
          </w:p>
        </w:tc>
        <w:tc>
          <w:tcPr>
            <w:tcW w:w="791"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废水处理</w:t>
            </w:r>
          </w:p>
        </w:tc>
        <w:tc>
          <w:tcPr>
            <w:tcW w:w="794" w:type="dxa"/>
            <w:tcBorders>
              <w:tl2br w:val="nil"/>
              <w:tr2bl w:val="nil"/>
            </w:tcBorders>
            <w:vAlign w:val="center"/>
          </w:tcPr>
          <w:p>
            <w:pPr>
              <w:keepNext w:val="0"/>
              <w:keepLines w:val="0"/>
              <w:pageBreakBefore w:val="0"/>
              <w:widowControl/>
              <w:suppressLineNumbers w:val="0"/>
              <w:wordWrap/>
              <w:overflowPunct/>
              <w:topLinePunct w:val="0"/>
              <w:bidi w:val="0"/>
              <w:spacing w:line="360" w:lineRule="exact"/>
              <w:jc w:val="center"/>
              <w:textAlignment w:val="center"/>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NH</w:t>
            </w:r>
            <w:r>
              <w:rPr>
                <w:rFonts w:hint="eastAsia" w:ascii="Times New Roman" w:hAnsi="Times New Roman" w:cs="Times New Roman"/>
                <w:color w:val="auto"/>
                <w:sz w:val="21"/>
                <w:szCs w:val="21"/>
                <w:highlight w:val="none"/>
                <w:vertAlign w:val="subscript"/>
                <w:lang w:val="en-US" w:eastAsia="zh-CN"/>
              </w:rPr>
              <w:t>3</w:t>
            </w:r>
          </w:p>
        </w:tc>
        <w:tc>
          <w:tcPr>
            <w:tcW w:w="133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预处理车间恶臭气体负压收集，未能收集部分无组织逸散</w:t>
            </w:r>
          </w:p>
        </w:tc>
        <w:tc>
          <w:tcPr>
            <w:tcW w:w="791"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厂界</w:t>
            </w:r>
          </w:p>
        </w:tc>
        <w:tc>
          <w:tcPr>
            <w:tcW w:w="178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《恶臭污染物排放标准》（GB14554-93）</w:t>
            </w:r>
          </w:p>
        </w:tc>
        <w:tc>
          <w:tcPr>
            <w:tcW w:w="8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w:t>
            </w:r>
          </w:p>
        </w:tc>
        <w:tc>
          <w:tcPr>
            <w:tcW w:w="89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0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80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p>
        </w:tc>
        <w:tc>
          <w:tcPr>
            <w:tcW w:w="79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794" w:type="dxa"/>
            <w:tcBorders>
              <w:tl2br w:val="nil"/>
              <w:tr2bl w:val="nil"/>
            </w:tcBorders>
            <w:vAlign w:val="center"/>
          </w:tcPr>
          <w:p>
            <w:pPr>
              <w:keepNext w:val="0"/>
              <w:keepLines w:val="0"/>
              <w:pageBreakBefore w:val="0"/>
              <w:widowControl/>
              <w:suppressLineNumbers w:val="0"/>
              <w:wordWrap/>
              <w:overflowPunct/>
              <w:topLinePunct w:val="0"/>
              <w:bidi w:val="0"/>
              <w:spacing w:line="360" w:lineRule="exact"/>
              <w:jc w:val="center"/>
              <w:textAlignment w:val="center"/>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H</w:t>
            </w:r>
            <w:r>
              <w:rPr>
                <w:rFonts w:hint="eastAsia" w:ascii="Times New Roman" w:hAnsi="Times New Roman" w:cs="Times New Roman"/>
                <w:color w:val="auto"/>
                <w:sz w:val="21"/>
                <w:szCs w:val="21"/>
                <w:highlight w:val="none"/>
                <w:vertAlign w:val="subscript"/>
                <w:lang w:val="en-US" w:eastAsia="zh-CN"/>
              </w:rPr>
              <w:t>2</w:t>
            </w:r>
            <w:r>
              <w:rPr>
                <w:rFonts w:hint="eastAsia" w:ascii="Times New Roman" w:hAnsi="Times New Roman" w:cs="Times New Roman"/>
                <w:color w:val="auto"/>
                <w:sz w:val="21"/>
                <w:szCs w:val="21"/>
                <w:highlight w:val="none"/>
                <w:vertAlign w:val="baseline"/>
                <w:lang w:val="en-US" w:eastAsia="zh-CN"/>
              </w:rPr>
              <w:t>S</w:t>
            </w:r>
          </w:p>
        </w:tc>
        <w:tc>
          <w:tcPr>
            <w:tcW w:w="133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9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78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0.06</w:t>
            </w:r>
          </w:p>
        </w:tc>
        <w:tc>
          <w:tcPr>
            <w:tcW w:w="89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0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w:t>
            </w:r>
          </w:p>
        </w:tc>
        <w:tc>
          <w:tcPr>
            <w:tcW w:w="80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预处理车间</w:t>
            </w:r>
          </w:p>
        </w:tc>
        <w:tc>
          <w:tcPr>
            <w:tcW w:w="7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废水处理</w:t>
            </w:r>
          </w:p>
        </w:tc>
        <w:tc>
          <w:tcPr>
            <w:tcW w:w="794" w:type="dxa"/>
            <w:vMerge w:val="restart"/>
            <w:tcBorders>
              <w:tl2br w:val="nil"/>
              <w:tr2bl w:val="nil"/>
            </w:tcBorders>
            <w:vAlign w:val="center"/>
          </w:tcPr>
          <w:p>
            <w:pPr>
              <w:keepNext w:val="0"/>
              <w:keepLines w:val="0"/>
              <w:pageBreakBefore w:val="0"/>
              <w:widowControl/>
              <w:suppressLineNumbers w:val="0"/>
              <w:wordWrap/>
              <w:overflowPunct/>
              <w:topLinePunct w:val="0"/>
              <w:bidi w:val="0"/>
              <w:spacing w:line="360" w:lineRule="exact"/>
              <w:jc w:val="center"/>
              <w:textAlignment w:val="center"/>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非甲烷总烃</w:t>
            </w:r>
          </w:p>
        </w:tc>
        <w:tc>
          <w:tcPr>
            <w:tcW w:w="133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791"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服务站站址内</w:t>
            </w:r>
            <w:r>
              <w:rPr>
                <w:rFonts w:hint="eastAsia" w:cs="Times New Roman"/>
                <w:color w:val="auto"/>
                <w:kern w:val="2"/>
                <w:sz w:val="21"/>
                <w:szCs w:val="21"/>
                <w:highlight w:val="none"/>
                <w:vertAlign w:val="baseline"/>
                <w:lang w:val="en-US" w:eastAsia="zh-CN" w:bidi="ar-SA"/>
              </w:rPr>
              <w:t>1</w:t>
            </w:r>
            <w:r>
              <w:rPr>
                <w:rFonts w:hint="default" w:ascii="Times New Roman" w:hAnsi="Times New Roman" w:eastAsia="宋体" w:cs="Times New Roman"/>
                <w:color w:val="auto"/>
                <w:kern w:val="2"/>
                <w:sz w:val="21"/>
                <w:szCs w:val="21"/>
                <w:highlight w:val="none"/>
                <w:vertAlign w:val="baseline"/>
                <w:lang w:val="en-US" w:eastAsia="zh-CN" w:bidi="ar-SA"/>
              </w:rPr>
              <w:t>h平均浓度值</w:t>
            </w:r>
          </w:p>
        </w:tc>
        <w:tc>
          <w:tcPr>
            <w:tcW w:w="178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《挥发性有机物无组织排放控制标准》（GB37822-2019）附录A</w:t>
            </w:r>
          </w:p>
        </w:tc>
        <w:tc>
          <w:tcPr>
            <w:tcW w:w="82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c>
          <w:tcPr>
            <w:tcW w:w="89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0.1222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w:t>
            </w:r>
          </w:p>
        </w:tc>
        <w:tc>
          <w:tcPr>
            <w:tcW w:w="80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污油储罐区</w:t>
            </w:r>
          </w:p>
        </w:tc>
        <w:tc>
          <w:tcPr>
            <w:tcW w:w="7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污油存储</w:t>
            </w:r>
          </w:p>
        </w:tc>
        <w:tc>
          <w:tcPr>
            <w:tcW w:w="79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33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79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kern w:val="2"/>
                <w:sz w:val="21"/>
                <w:szCs w:val="21"/>
                <w:highlight w:val="none"/>
                <w:vertAlign w:val="baseline"/>
                <w:lang w:val="en-US" w:eastAsia="zh-CN" w:bidi="ar-SA"/>
              </w:rPr>
            </w:pPr>
          </w:p>
        </w:tc>
        <w:tc>
          <w:tcPr>
            <w:tcW w:w="178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p>
        </w:tc>
        <w:tc>
          <w:tcPr>
            <w:tcW w:w="82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9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w:t>
            </w:r>
          </w:p>
        </w:tc>
        <w:tc>
          <w:tcPr>
            <w:tcW w:w="80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储液池</w:t>
            </w:r>
            <w:r>
              <w:rPr>
                <w:rFonts w:hint="eastAsia" w:cs="Times New Roman"/>
                <w:color w:val="auto"/>
                <w:sz w:val="21"/>
                <w:szCs w:val="21"/>
                <w:highlight w:val="none"/>
                <w:vertAlign w:val="baseline"/>
                <w:lang w:val="en-US" w:eastAsia="zh-CN"/>
              </w:rPr>
              <w:t>区域</w:t>
            </w:r>
          </w:p>
        </w:tc>
        <w:tc>
          <w:tcPr>
            <w:tcW w:w="791"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达标处理废水储池</w:t>
            </w:r>
          </w:p>
        </w:tc>
        <w:tc>
          <w:tcPr>
            <w:tcW w:w="79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33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减少站内尾水存放时间，处理达标后的尾水应立即回用，不可过长时间贮存</w:t>
            </w:r>
          </w:p>
        </w:tc>
        <w:tc>
          <w:tcPr>
            <w:tcW w:w="791" w:type="dxa"/>
            <w:tcBorders>
              <w:tl2br w:val="nil"/>
              <w:tr2bl w:val="nil"/>
            </w:tcBorders>
            <w:vAlign w:val="center"/>
          </w:tcPr>
          <w:p>
            <w:pPr>
              <w:keepNext w:val="0"/>
              <w:keepLines w:val="0"/>
              <w:widowControl/>
              <w:suppressLineNumbers w:val="0"/>
              <w:jc w:val="both"/>
              <w:textAlignment w:val="center"/>
              <w:rPr>
                <w:rFonts w:hint="eastAsia" w:ascii="宋体" w:hAnsi="宋体" w:eastAsia="宋体" w:cs="宋体"/>
                <w:i w:val="0"/>
                <w:iCs w:val="0"/>
                <w:color w:val="auto"/>
                <w:kern w:val="2"/>
                <w:sz w:val="21"/>
                <w:szCs w:val="21"/>
                <w:highlight w:val="none"/>
                <w:u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服务站站址内任意一次浓度值</w:t>
            </w:r>
          </w:p>
        </w:tc>
        <w:tc>
          <w:tcPr>
            <w:tcW w:w="178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p>
        </w:tc>
        <w:tc>
          <w:tcPr>
            <w:tcW w:w="8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30</w:t>
            </w:r>
          </w:p>
        </w:tc>
        <w:tc>
          <w:tcPr>
            <w:tcW w:w="89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80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79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p>
        </w:tc>
        <w:tc>
          <w:tcPr>
            <w:tcW w:w="79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33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791" w:type="dxa"/>
            <w:tcBorders>
              <w:tl2br w:val="nil"/>
              <w:tr2bl w:val="nil"/>
            </w:tcBorders>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Times New Roman" w:hAnsi="Times New Roman" w:cs="Times New Roman"/>
                <w:color w:val="auto"/>
                <w:sz w:val="21"/>
                <w:szCs w:val="21"/>
                <w:highlight w:val="none"/>
                <w:vertAlign w:val="baseline"/>
                <w:lang w:val="en-US" w:eastAsia="zh-CN"/>
              </w:rPr>
              <w:t>周界外浓度最高点</w:t>
            </w:r>
          </w:p>
        </w:tc>
        <w:tc>
          <w:tcPr>
            <w:tcW w:w="17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《大气污染物综合排放标准》（GB16297-1996）表2新无组织排放监控浓度限值</w:t>
            </w:r>
          </w:p>
        </w:tc>
        <w:tc>
          <w:tcPr>
            <w:tcW w:w="8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4.0</w:t>
            </w:r>
          </w:p>
        </w:tc>
        <w:tc>
          <w:tcPr>
            <w:tcW w:w="89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（3）</w:t>
      </w:r>
      <w:r>
        <w:rPr>
          <w:rFonts w:hint="default" w:ascii="Times New Roman" w:hAnsi="Times New Roman" w:cs="Times New Roman"/>
          <w:caps w:val="0"/>
          <w:smallCaps w:val="0"/>
          <w:snapToGrid/>
          <w:color w:val="auto"/>
          <w:spacing w:val="0"/>
          <w:w w:val="100"/>
          <w:kern w:val="0"/>
          <w:sz w:val="24"/>
          <w:szCs w:val="24"/>
          <w:highlight w:val="none"/>
          <w:lang w:val="en-US" w:eastAsia="zh-CN" w:bidi="ar-SA"/>
        </w:rPr>
        <w:t>环境防护距离</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cs="Times New Roman"/>
          <w:caps w:val="0"/>
          <w:smallCaps w:val="0"/>
          <w:snapToGrid/>
          <w:color w:val="auto"/>
          <w:spacing w:val="0"/>
          <w:w w:val="100"/>
          <w:kern w:val="0"/>
          <w:sz w:val="24"/>
          <w:szCs w:val="24"/>
          <w:highlight w:val="none"/>
          <w:lang w:val="en-US" w:eastAsia="zh-CN" w:bidi="ar-SA"/>
        </w:rPr>
        <w:t>本次项目大气评价等级为二级，按照《环境影响评价技术导则大气环境》（HJ2.2-2018）8.7.5规定要求“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根</w:t>
      </w:r>
      <w:r>
        <w:rPr>
          <w:rFonts w:hint="default" w:cs="Times New Roman"/>
          <w:caps w:val="0"/>
          <w:smallCaps w:val="0"/>
          <w:snapToGrid/>
          <w:color w:val="auto"/>
          <w:spacing w:val="0"/>
          <w:w w:val="100"/>
          <w:kern w:val="0"/>
          <w:sz w:val="24"/>
          <w:szCs w:val="24"/>
          <w:highlight w:val="none"/>
          <w:lang w:val="en-US" w:eastAsia="zh-CN" w:bidi="ar-SA"/>
        </w:rPr>
        <w:t>据报告的预测分析结果，本项目排放污染物的厂界外大气污染物短期贡献浓度均小于环境质量浓度限值，</w:t>
      </w:r>
      <w:r>
        <w:rPr>
          <w:rFonts w:hint="eastAsia" w:cs="Times New Roman"/>
          <w:caps w:val="0"/>
          <w:smallCaps w:val="0"/>
          <w:snapToGrid/>
          <w:color w:val="auto"/>
          <w:spacing w:val="0"/>
          <w:w w:val="100"/>
          <w:kern w:val="0"/>
          <w:sz w:val="24"/>
          <w:szCs w:val="24"/>
          <w:highlight w:val="none"/>
          <w:lang w:val="en-US" w:eastAsia="zh-CN" w:bidi="ar-SA"/>
        </w:rPr>
        <w:t>可</w:t>
      </w:r>
      <w:r>
        <w:rPr>
          <w:rFonts w:hint="default" w:cs="Times New Roman"/>
          <w:caps w:val="0"/>
          <w:smallCaps w:val="0"/>
          <w:snapToGrid/>
          <w:color w:val="auto"/>
          <w:spacing w:val="0"/>
          <w:w w:val="100"/>
          <w:kern w:val="0"/>
          <w:sz w:val="24"/>
          <w:szCs w:val="24"/>
          <w:highlight w:val="none"/>
          <w:lang w:val="en-US" w:eastAsia="zh-CN" w:bidi="ar-SA"/>
        </w:rPr>
        <w:t>不设置大气环境防护距离。</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cs="Times New Roman"/>
          <w:caps w:val="0"/>
          <w:smallCaps w:val="0"/>
          <w:snapToGrid/>
          <w:color w:val="auto"/>
          <w:spacing w:val="0"/>
          <w:w w:val="100"/>
          <w:kern w:val="0"/>
          <w:sz w:val="24"/>
          <w:szCs w:val="24"/>
          <w:highlight w:val="none"/>
          <w:lang w:val="en-US" w:eastAsia="zh-CN" w:bidi="ar-SA"/>
        </w:rPr>
        <w:t>（4）大气环境影响评价结论</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本项目运行期间，预处理车间为封闭构建物，车间内产生的恶臭气体采用负压封闭收集，经离子除臭设施处理后，通过15m高排气筒排放。设计收集效率为90%，除臭效率≧90%，风机排气流量5000m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/h。卸车平台的均质池为地下构建物，顶部加盖密封,从源头减少废气产生。</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项目站址距离村屯距离近，为了减少运行期间，站址产生的恶臭气体对周围村屯的影响，本评价要求，冬季存储期间，储液池区域处理达标的废水不能超过1周，夏季存储时间不超过3天。若储液池区域水体存储期间较长，在储液池区域周围及顶部建设钢板及顶棚，设置为密封式区域。</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采取以上防治措施，站址内非甲烷总烃浓度满足《挥发性有机物无组织排放控制标准》（GB37822-2019）附录A限值要求。站址厂界NH</w:t>
      </w:r>
      <w:r>
        <w:rPr>
          <w:rFonts w:hint="eastAsia" w:cs="Times New Roman"/>
          <w:caps w:val="0"/>
          <w:smallCaps w:val="0"/>
          <w:snapToGrid/>
          <w:color w:val="auto"/>
          <w:spacing w:val="0"/>
          <w:w w:val="100"/>
          <w:kern w:val="0"/>
          <w:sz w:val="24"/>
          <w:szCs w:val="24"/>
          <w:highlight w:val="none"/>
          <w:vertAlign w:val="sub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和H</w:t>
      </w:r>
      <w:r>
        <w:rPr>
          <w:rFonts w:hint="eastAsia" w:cs="Times New Roman"/>
          <w:caps w:val="0"/>
          <w:smallCaps w:val="0"/>
          <w:snapToGrid/>
          <w:color w:val="auto"/>
          <w:spacing w:val="0"/>
          <w:w w:val="100"/>
          <w:kern w:val="0"/>
          <w:sz w:val="24"/>
          <w:szCs w:val="24"/>
          <w:highlight w:val="none"/>
          <w:vertAlign w:val="subscript"/>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S满足《恶臭污染物排放标准》（GB14554-93）表1厂界二级限值要求。恶臭气体15m排气筒NH</w:t>
      </w:r>
      <w:r>
        <w:rPr>
          <w:rFonts w:hint="eastAsia" w:cs="Times New Roman"/>
          <w:caps w:val="0"/>
          <w:smallCaps w:val="0"/>
          <w:snapToGrid/>
          <w:color w:val="auto"/>
          <w:spacing w:val="0"/>
          <w:w w:val="100"/>
          <w:kern w:val="0"/>
          <w:sz w:val="24"/>
          <w:szCs w:val="24"/>
          <w:highlight w:val="none"/>
          <w:vertAlign w:val="sub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和H</w:t>
      </w:r>
      <w:r>
        <w:rPr>
          <w:rFonts w:hint="eastAsia" w:cs="Times New Roman"/>
          <w:caps w:val="0"/>
          <w:smallCaps w:val="0"/>
          <w:snapToGrid/>
          <w:color w:val="auto"/>
          <w:spacing w:val="0"/>
          <w:w w:val="100"/>
          <w:kern w:val="0"/>
          <w:sz w:val="24"/>
          <w:szCs w:val="24"/>
          <w:highlight w:val="none"/>
          <w:vertAlign w:val="subscript"/>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S排放量满足《恶臭污染物排放标准》（GB14554-93）表2限值要求。</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5.2.2地表水环境影响预测</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（1）污水处理措施有效性评价</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①油田开采产生的待处理废水</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3#服务站废水设计处理能力4500t/d，接收页岩油试验区油田开采过程产生的压裂返排液，采取“均质+隔油沉沙+混凝絮凝沉淀+气浮”的处理工艺，出水满足大庆油田地面工程建设设计规定》（Q/SYDQ0639-2015）中“含油量≤20mg/L，</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悬浮固体含量</w:t>
      </w:r>
      <w:r>
        <w:rPr>
          <w:rFonts w:hint="eastAsia" w:cs="Times New Roman"/>
          <w:caps w:val="0"/>
          <w:smallCaps w:val="0"/>
          <w:snapToGrid/>
          <w:color w:val="auto"/>
          <w:spacing w:val="0"/>
          <w:w w:val="100"/>
          <w:kern w:val="0"/>
          <w:sz w:val="24"/>
          <w:szCs w:val="24"/>
          <w:highlight w:val="none"/>
          <w:lang w:val="en-US" w:eastAsia="zh-CN" w:bidi="ar-SA"/>
        </w:rPr>
        <w:t>≤20mg/L”限值，回用于页岩油试验区压裂复配。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对照《排污许可证申请与核发技术规范 水处理通用工序》（HJ1120-2020）附录A，2个站址废水处理工艺属于物理处理技术，为</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可行性技术</w:t>
      </w:r>
      <w:r>
        <w:rPr>
          <w:rFonts w:hint="eastAsia" w:cs="Times New Roman"/>
          <w:caps w:val="0"/>
          <w:smallCaps w:val="0"/>
          <w:snapToGrid/>
          <w:color w:val="auto"/>
          <w:spacing w:val="0"/>
          <w:w w:val="100"/>
          <w:kern w:val="0"/>
          <w:sz w:val="24"/>
          <w:szCs w:val="24"/>
          <w:highlight w:val="none"/>
          <w:lang w:val="en-US" w:eastAsia="zh-CN" w:bidi="ar-SA"/>
        </w:rPr>
        <w:t>；同时项目处理页岩油试验区待处理废水满足《关于进一步加强石油天然气行业环境影响评价管理的通知》（环办环评函〔2019〕910号）要求。</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②初期雨水、污泥浓缩废水</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运行期产生的初期雨水及污泥浓缩废水均进入3#服务站站内废水处理系统进行处置，初期雨水及污污泥缩废水主要污染物为石油类，初期雨水与污泥浓缩废水主要污染物与页岩油试验区产生的待处理废水相同。初期雨水产生量为201.2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/次，污泥浓缩废水211.5t/a，0.6t/d，占设计处理能力的13.5%，处理达标的初期雨水、污泥浓缩废水回用于页岩油试验区压裂复配。</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③</w:t>
      </w:r>
      <w:r>
        <w:rPr>
          <w:rFonts w:hint="eastAsia" w:cs="Times New Roman"/>
          <w:caps w:val="0"/>
          <w:smallCaps w:val="0"/>
          <w:snapToGrid/>
          <w:color w:val="auto"/>
          <w:spacing w:val="0"/>
          <w:w w:val="100"/>
          <w:kern w:val="0"/>
          <w:sz w:val="24"/>
          <w:szCs w:val="24"/>
          <w:highlight w:val="none"/>
          <w:lang w:val="en-US" w:eastAsia="zh-CN" w:bidi="ar-SA"/>
        </w:rPr>
        <w:t>生活污水</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服务站站内运行期生活污水排入站内化粪池内，定期清掏，拉运至新站镇生活污水处理厂处理。本项目新建3#服务站各工段设计处理效率见表5.2-10。</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5.2-10废水处理进出水产排情况</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75"/>
        <w:gridCol w:w="1091"/>
        <w:gridCol w:w="875"/>
        <w:gridCol w:w="876"/>
        <w:gridCol w:w="876"/>
        <w:gridCol w:w="873"/>
        <w:gridCol w:w="867"/>
        <w:gridCol w:w="1091"/>
        <w:gridCol w:w="109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名称</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进水</w:t>
            </w:r>
            <w:r>
              <w:rPr>
                <w:rFonts w:hint="eastAsia" w:ascii="Times New Roman" w:hAnsi="Times New Roman" w:cs="Times New Roman"/>
                <w:color w:val="auto"/>
                <w:sz w:val="21"/>
                <w:szCs w:val="21"/>
                <w:highlight w:val="none"/>
                <w:vertAlign w:val="baseline"/>
                <w:lang w:val="en-US" w:eastAsia="zh-CN"/>
              </w:rPr>
              <w:t>浓度（mg/L）</w:t>
            </w:r>
          </w:p>
        </w:tc>
        <w:tc>
          <w:tcPr>
            <w:tcW w:w="8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均质池/%</w:t>
            </w:r>
          </w:p>
        </w:tc>
        <w:tc>
          <w:tcPr>
            <w:tcW w:w="8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隔油除砂处理效率</w:t>
            </w:r>
            <w:r>
              <w:rPr>
                <w:rFonts w:hint="eastAsia" w:cs="Times New Roman"/>
                <w:color w:val="auto"/>
                <w:sz w:val="21"/>
                <w:szCs w:val="21"/>
                <w:highlight w:val="none"/>
                <w:vertAlign w:val="baseline"/>
                <w:lang w:val="en-US" w:eastAsia="zh-CN"/>
              </w:rPr>
              <w:t>/%</w:t>
            </w:r>
          </w:p>
        </w:tc>
        <w:tc>
          <w:tcPr>
            <w:tcW w:w="8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絮凝沉淀处理效率</w:t>
            </w:r>
            <w:r>
              <w:rPr>
                <w:rFonts w:hint="eastAsia" w:cs="Times New Roman"/>
                <w:color w:val="auto"/>
                <w:sz w:val="21"/>
                <w:szCs w:val="21"/>
                <w:highlight w:val="none"/>
                <w:vertAlign w:val="baseline"/>
                <w:lang w:val="en-US" w:eastAsia="zh-CN"/>
              </w:rPr>
              <w:t>/%</w:t>
            </w:r>
          </w:p>
        </w:tc>
        <w:tc>
          <w:tcPr>
            <w:tcW w:w="1740"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二级</w:t>
            </w:r>
            <w:r>
              <w:rPr>
                <w:rFonts w:hint="eastAsia" w:ascii="Times New Roman" w:hAnsi="Times New Roman" w:cs="Times New Roman"/>
                <w:color w:val="auto"/>
                <w:sz w:val="21"/>
                <w:szCs w:val="21"/>
                <w:highlight w:val="none"/>
                <w:vertAlign w:val="baseline"/>
                <w:lang w:val="en-US" w:eastAsia="zh-CN"/>
              </w:rPr>
              <w:t>气浮除油处理效率</w:t>
            </w:r>
            <w:r>
              <w:rPr>
                <w:rFonts w:hint="eastAsia" w:cs="Times New Roman"/>
                <w:color w:val="auto"/>
                <w:sz w:val="21"/>
                <w:szCs w:val="21"/>
                <w:highlight w:val="none"/>
                <w:vertAlign w:val="baseline"/>
                <w:lang w:val="en-US" w:eastAsia="zh-CN"/>
              </w:rPr>
              <w:t>/%</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出水水质</w:t>
            </w:r>
            <w:r>
              <w:rPr>
                <w:rFonts w:hint="eastAsia" w:ascii="Times New Roman" w:hAnsi="Times New Roman" w:cs="Times New Roman"/>
                <w:color w:val="auto"/>
                <w:sz w:val="21"/>
                <w:szCs w:val="21"/>
                <w:highlight w:val="none"/>
                <w:vertAlign w:val="baseline"/>
                <w:lang w:val="en-US" w:eastAsia="zh-CN"/>
              </w:rPr>
              <w:t>（mg/L）</w:t>
            </w:r>
          </w:p>
        </w:tc>
        <w:tc>
          <w:tcPr>
            <w:tcW w:w="109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设计指标</w:t>
            </w:r>
            <w:r>
              <w:rPr>
                <w:rFonts w:hint="eastAsia" w:ascii="Times New Roman" w:hAnsi="Times New Roman" w:cs="Times New Roman"/>
                <w:color w:val="auto"/>
                <w:sz w:val="21"/>
                <w:szCs w:val="21"/>
                <w:highlight w:val="none"/>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SS</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340</w:t>
            </w:r>
          </w:p>
        </w:tc>
        <w:tc>
          <w:tcPr>
            <w:tcW w:w="8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w:t>
            </w:r>
          </w:p>
        </w:tc>
        <w:tc>
          <w:tcPr>
            <w:tcW w:w="8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70</w:t>
            </w:r>
          </w:p>
        </w:tc>
        <w:tc>
          <w:tcPr>
            <w:tcW w:w="8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50</w:t>
            </w:r>
          </w:p>
        </w:tc>
        <w:tc>
          <w:tcPr>
            <w:tcW w:w="8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60</w:t>
            </w:r>
          </w:p>
        </w:tc>
        <w:tc>
          <w:tcPr>
            <w:tcW w:w="86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60</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8.16</w:t>
            </w:r>
          </w:p>
        </w:tc>
        <w:tc>
          <w:tcPr>
            <w:tcW w:w="109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石油类</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347</w:t>
            </w:r>
          </w:p>
        </w:tc>
        <w:tc>
          <w:tcPr>
            <w:tcW w:w="8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w:t>
            </w:r>
          </w:p>
        </w:tc>
        <w:tc>
          <w:tcPr>
            <w:tcW w:w="8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70</w:t>
            </w:r>
          </w:p>
        </w:tc>
        <w:tc>
          <w:tcPr>
            <w:tcW w:w="8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w:t>
            </w:r>
          </w:p>
        </w:tc>
        <w:tc>
          <w:tcPr>
            <w:tcW w:w="8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80</w:t>
            </w:r>
          </w:p>
        </w:tc>
        <w:tc>
          <w:tcPr>
            <w:tcW w:w="86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80</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3.75</w:t>
            </w:r>
          </w:p>
        </w:tc>
        <w:tc>
          <w:tcPr>
            <w:tcW w:w="109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注：进水浓度选自建设单位定期对来水水质的监测报告最大值</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管道正常运行期间，无废水产生。</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（2）事故池可行性分析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在服务站站址内建设事故池1座，用于存储事故情况下产生的消防废水及泄漏的物料，禁止消防废水及泄漏的物料排入外界环境。依据《事故状态下水体污染的预防和控制规范》（Q/SY08190-2019），事故缓冲设施总有效容积按以下公式确定：</w:t>
      </w:r>
    </w:p>
    <w:p>
      <w:pPr>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drawing>
          <wp:inline distT="0" distB="0" distL="114300" distR="114300">
            <wp:extent cx="2200275" cy="323850"/>
            <wp:effectExtent l="0" t="0" r="9525" b="0"/>
            <wp:docPr id="9" name="图片 9" descr="事故池公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事故池公式"/>
                    <pic:cNvPicPr>
                      <a:picLocks noChangeAspect="1"/>
                    </pic:cNvPicPr>
                  </pic:nvPicPr>
                  <pic:blipFill>
                    <a:blip r:embed="rId29"/>
                    <a:stretch>
                      <a:fillRect/>
                    </a:stretch>
                  </pic:blipFill>
                  <pic:spPr>
                    <a:xfrm>
                      <a:off x="0" y="0"/>
                      <a:ext cx="2200275" cy="32385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式中：V</w:t>
      </w:r>
      <w:r>
        <w:rPr>
          <w:rFonts w:hint="eastAsia" w:cs="Times New Roman"/>
          <w:caps w:val="0"/>
          <w:smallCaps w:val="0"/>
          <w:snapToGrid/>
          <w:color w:val="auto"/>
          <w:spacing w:val="0"/>
          <w:w w:val="100"/>
          <w:kern w:val="0"/>
          <w:sz w:val="24"/>
          <w:szCs w:val="24"/>
          <w:highlight w:val="none"/>
          <w:vertAlign w:val="subscript"/>
          <w:lang w:val="en-US" w:eastAsia="zh-CN" w:bidi="ar-SA"/>
        </w:rPr>
        <w:t>总</w:t>
      </w:r>
      <w:r>
        <w:rPr>
          <w:rFonts w:hint="eastAsia" w:cs="Times New Roman"/>
          <w:caps w:val="0"/>
          <w:smallCaps w:val="0"/>
          <w:snapToGrid/>
          <w:color w:val="auto"/>
          <w:spacing w:val="0"/>
          <w:w w:val="100"/>
          <w:kern w:val="0"/>
          <w:sz w:val="24"/>
          <w:szCs w:val="24"/>
          <w:highlight w:val="none"/>
          <w:lang w:val="en-US" w:eastAsia="zh-CN" w:bidi="ar-SA"/>
        </w:rPr>
        <w:t>—事故缓冲设施总有效容积，m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720" w:firstLineChars="3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V</w:t>
      </w:r>
      <w:r>
        <w:rPr>
          <w:rFonts w:hint="eastAsia" w:cs="Times New Roman"/>
          <w:caps w:val="0"/>
          <w:smallCaps w:val="0"/>
          <w:snapToGrid/>
          <w:color w:val="auto"/>
          <w:spacing w:val="0"/>
          <w:w w:val="100"/>
          <w:kern w:val="0"/>
          <w:sz w:val="24"/>
          <w:szCs w:val="24"/>
          <w:highlight w:val="none"/>
          <w:vertAlign w:val="subscript"/>
          <w:lang w:val="en-US" w:eastAsia="zh-CN" w:bidi="ar-SA"/>
        </w:rPr>
        <w:t>1</w:t>
      </w:r>
      <w:r>
        <w:rPr>
          <w:rFonts w:hint="eastAsia" w:cs="Times New Roman"/>
          <w:caps w:val="0"/>
          <w:smallCaps w:val="0"/>
          <w:snapToGrid/>
          <w:color w:val="auto"/>
          <w:spacing w:val="0"/>
          <w:w w:val="100"/>
          <w:kern w:val="0"/>
          <w:sz w:val="24"/>
          <w:szCs w:val="24"/>
          <w:highlight w:val="none"/>
          <w:lang w:val="en-US" w:eastAsia="zh-CN" w:bidi="ar-SA"/>
        </w:rPr>
        <w:t>—收集范围内发生事故的物料量，m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；3#服务站内设置溶药机1座，10m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；污油储罐1座，物料充装量为220m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720" w:firstLineChars="3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V</w:t>
      </w:r>
      <w:r>
        <w:rPr>
          <w:rFonts w:hint="eastAsia" w:cs="Times New Roman"/>
          <w:caps w:val="0"/>
          <w:smallCaps w:val="0"/>
          <w:snapToGrid/>
          <w:color w:val="auto"/>
          <w:spacing w:val="0"/>
          <w:w w:val="100"/>
          <w:kern w:val="0"/>
          <w:sz w:val="24"/>
          <w:szCs w:val="24"/>
          <w:highlight w:val="none"/>
          <w:vertAlign w:val="subscript"/>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—发生事故的储罐、装置或铁路、汽车装卸区的消防水量，m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；消防用水量根据《石油化工企业设计防火标准》（GB50160-2008）（2018修订）的要求，本项目消防用水量Q取60L/S，t消为3h；</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720" w:firstLineChars="3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V</w:t>
      </w:r>
      <w:r>
        <w:rPr>
          <w:rFonts w:hint="eastAsia" w:cs="Times New Roman"/>
          <w:caps w:val="0"/>
          <w:smallCaps w:val="0"/>
          <w:snapToGrid/>
          <w:color w:val="auto"/>
          <w:spacing w:val="0"/>
          <w:w w:val="100"/>
          <w:kern w:val="0"/>
          <w:sz w:val="24"/>
          <w:szCs w:val="24"/>
          <w:highlight w:val="none"/>
          <w:vertAlign w:val="sub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—发生事故时可以转输到其他储存或处理设施的物料量，m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；本项目取值0；</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720" w:firstLineChars="3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V</w:t>
      </w:r>
      <w:r>
        <w:rPr>
          <w:rFonts w:hint="eastAsia" w:cs="Times New Roman"/>
          <w:caps w:val="0"/>
          <w:smallCaps w:val="0"/>
          <w:snapToGrid/>
          <w:color w:val="auto"/>
          <w:spacing w:val="0"/>
          <w:w w:val="100"/>
          <w:kern w:val="0"/>
          <w:sz w:val="24"/>
          <w:szCs w:val="24"/>
          <w:highlight w:val="none"/>
          <w:vertAlign w:val="subscript"/>
          <w:lang w:val="en-US" w:eastAsia="zh-CN" w:bidi="ar-SA"/>
        </w:rPr>
        <w:t>4</w:t>
      </w:r>
      <w:r>
        <w:rPr>
          <w:rFonts w:hint="eastAsia" w:cs="Times New Roman"/>
          <w:caps w:val="0"/>
          <w:smallCaps w:val="0"/>
          <w:snapToGrid/>
          <w:color w:val="auto"/>
          <w:spacing w:val="0"/>
          <w:w w:val="100"/>
          <w:kern w:val="0"/>
          <w:sz w:val="24"/>
          <w:szCs w:val="24"/>
          <w:highlight w:val="none"/>
          <w:lang w:val="en-US" w:eastAsia="zh-CN" w:bidi="ar-SA"/>
        </w:rPr>
        <w:t>—发生事故时仍必须进入该收集系统的生产废水量，m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；事故情况下不再接收任何生产废水，本项目取值0；</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720" w:firstLineChars="3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V</w:t>
      </w:r>
      <w:r>
        <w:rPr>
          <w:rFonts w:hint="eastAsia" w:cs="Times New Roman"/>
          <w:caps w:val="0"/>
          <w:smallCaps w:val="0"/>
          <w:snapToGrid/>
          <w:color w:val="auto"/>
          <w:spacing w:val="0"/>
          <w:w w:val="100"/>
          <w:kern w:val="0"/>
          <w:sz w:val="24"/>
          <w:szCs w:val="24"/>
          <w:highlight w:val="none"/>
          <w:vertAlign w:val="subscript"/>
          <w:lang w:val="en-US" w:eastAsia="zh-CN" w:bidi="ar-SA"/>
        </w:rPr>
        <w:t>5</w:t>
      </w:r>
      <w:r>
        <w:rPr>
          <w:rFonts w:hint="eastAsia" w:cs="Times New Roman"/>
          <w:caps w:val="0"/>
          <w:smallCaps w:val="0"/>
          <w:snapToGrid/>
          <w:color w:val="auto"/>
          <w:spacing w:val="0"/>
          <w:w w:val="100"/>
          <w:kern w:val="0"/>
          <w:sz w:val="24"/>
          <w:szCs w:val="24"/>
          <w:highlight w:val="none"/>
          <w:lang w:val="en-US" w:eastAsia="zh-CN" w:bidi="ar-SA"/>
        </w:rPr>
        <w:t>—发生事故时可能进入该收集系统的降雨量，m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；本项目取一次降雨前15分钟收集量，201.2m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720" w:firstLineChars="3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综上，V</w:t>
      </w:r>
      <w:r>
        <w:rPr>
          <w:rFonts w:hint="eastAsia" w:cs="Times New Roman"/>
          <w:caps w:val="0"/>
          <w:smallCaps w:val="0"/>
          <w:snapToGrid/>
          <w:color w:val="auto"/>
          <w:spacing w:val="0"/>
          <w:w w:val="100"/>
          <w:kern w:val="0"/>
          <w:sz w:val="24"/>
          <w:szCs w:val="24"/>
          <w:highlight w:val="none"/>
          <w:vertAlign w:val="subscript"/>
          <w:lang w:val="en-US" w:eastAsia="zh-CN" w:bidi="ar-SA"/>
        </w:rPr>
        <w:t>总</w:t>
      </w:r>
      <w:r>
        <w:rPr>
          <w:rFonts w:hint="eastAsia" w:cs="Times New Roman"/>
          <w:caps w:val="0"/>
          <w:smallCaps w:val="0"/>
          <w:snapToGrid/>
          <w:color w:val="auto"/>
          <w:spacing w:val="0"/>
          <w:w w:val="100"/>
          <w:kern w:val="0"/>
          <w:sz w:val="24"/>
          <w:szCs w:val="24"/>
          <w:highlight w:val="none"/>
          <w:lang w:val="en-US" w:eastAsia="zh-CN" w:bidi="ar-SA"/>
        </w:rPr>
        <w:t>=1080m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，本项目在站内建设事故储存1座，有效容积不小于1300</w:t>
      </w:r>
      <w:r>
        <w:rPr>
          <w:rFonts w:hint="eastAsia" w:cs="Times New Roman"/>
          <w:caps w:val="0"/>
          <w:smallCaps w:val="0"/>
          <w:snapToGrid/>
          <w:color w:val="auto"/>
          <w:spacing w:val="0"/>
          <w:w w:val="100"/>
          <w:kern w:val="0"/>
          <w:sz w:val="24"/>
          <w:szCs w:val="24"/>
          <w:highlight w:val="none"/>
          <w:lang w:val="en-US" w:eastAsia="zh-CN" w:bidi="ar-SA"/>
        </w:rPr>
        <w:t>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，事故废水交由有资质单位处置，不外排。</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（3）地表水环境影响评价结论</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本项目运行期间，采取以上废水防治措施；运行期间产生的生产废水、生活污水及事故废水均不外排，均得到有效的处置，不外排，对周围地表水环境的影响可被接受。</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5.2.3地下水环境影响预测</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5.2.3.1地下水环境影响识别</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（1）地下水污染源识别</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本项目建设内容包括废水处理服务站址及站外输液管道的建设。废水处理服务站处理</w:t>
      </w:r>
      <w:r>
        <w:rPr>
          <w:rFonts w:hint="eastAsia" w:cs="Times New Roman"/>
          <w:caps w:val="0"/>
          <w:smallCaps w:val="0"/>
          <w:snapToGrid/>
          <w:color w:val="auto"/>
          <w:spacing w:val="0"/>
          <w:w w:val="100"/>
          <w:kern w:val="0"/>
          <w:sz w:val="24"/>
          <w:szCs w:val="24"/>
          <w:highlight w:val="none"/>
          <w:lang w:val="en-US" w:eastAsia="zh-CN" w:bidi="ar-SA"/>
        </w:rPr>
        <w:t>油田开采产生的待处理废水，压裂返排液。</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待处理的废水由罐车拉运至本次新建3#服务站。先进入卸车平台，经卸料槽，去除较大胶质物质，再通过管道，进入均质池进行均质调节。均质池为地下储池，顶部加盖密封。</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经均质调节之后的废水进入预处理车间进行处理。产生的污油进入车间内储油池，经管输、泵送进入站内污油储罐进行存储，由油田单位回收利用。站内处理达标的水通过站内管道输送至储液池区域暂存，尽快回用。</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本项目地下水污染源主要指项目可能造成地下水污染的装置、设施和区域，根据上述废水产、集、贮和处理情况，地下水污染源识别结果见下表。</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5.2-11项目地下水污染源识别结果表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88"/>
        <w:gridCol w:w="1632"/>
        <w:gridCol w:w="1631"/>
        <w:gridCol w:w="2124"/>
        <w:gridCol w:w="184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923"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污染源名称</w:t>
            </w:r>
          </w:p>
        </w:tc>
        <w:tc>
          <w:tcPr>
            <w:tcW w:w="163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可能渗漏区域</w:t>
            </w:r>
          </w:p>
        </w:tc>
        <w:tc>
          <w:tcPr>
            <w:tcW w:w="21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规模</w:t>
            </w:r>
          </w:p>
        </w:tc>
        <w:tc>
          <w:tcPr>
            <w:tcW w:w="184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材质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8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废水预处理工段</w:t>
            </w:r>
          </w:p>
        </w:tc>
        <w:tc>
          <w:tcPr>
            <w:tcW w:w="16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均质池</w:t>
            </w:r>
          </w:p>
        </w:tc>
        <w:tc>
          <w:tcPr>
            <w:tcW w:w="163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池体</w:t>
            </w:r>
          </w:p>
        </w:tc>
        <w:tc>
          <w:tcPr>
            <w:tcW w:w="21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lang w:val="en-US" w:eastAsia="zh-CN"/>
              </w:rPr>
              <w:t>12</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×7.5</w:t>
            </w:r>
            <w:r>
              <w:rPr>
                <w:rFonts w:hint="eastAsia" w:ascii="Times New Roman" w:hAnsi="Times New Roman" w:eastAsia="宋体" w:cs="Times New Roman"/>
                <w:color w:val="auto"/>
                <w:highlight w:val="none"/>
                <w:vertAlign w:val="baseline"/>
                <w:lang w:val="en-US" w:eastAsia="zh-CN"/>
              </w:rPr>
              <w:t>m</w:t>
            </w:r>
            <w:r>
              <w:rPr>
                <w:rFonts w:hint="eastAsia" w:ascii="Times New Roman" w:hAnsi="Times New Roman" w:eastAsia="宋体" w:cs="Times New Roman"/>
                <w:color w:val="auto"/>
                <w:highlight w:val="none"/>
                <w:lang w:val="en-US" w:eastAsia="zh-CN"/>
              </w:rPr>
              <w:t>×1.5</w:t>
            </w:r>
            <w:r>
              <w:rPr>
                <w:rFonts w:hint="eastAsia" w:ascii="Times New Roman" w:hAnsi="Times New Roman" w:eastAsia="宋体" w:cs="Times New Roman"/>
                <w:color w:val="auto"/>
                <w:highlight w:val="none"/>
                <w:vertAlign w:val="baseline"/>
                <w:lang w:val="en-US" w:eastAsia="zh-CN"/>
              </w:rPr>
              <w:t>m</w:t>
            </w:r>
          </w:p>
        </w:tc>
        <w:tc>
          <w:tcPr>
            <w:tcW w:w="184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8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6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预处理车间反应池池体</w:t>
            </w:r>
          </w:p>
        </w:tc>
        <w:tc>
          <w:tcPr>
            <w:tcW w:w="163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池体</w:t>
            </w:r>
          </w:p>
        </w:tc>
        <w:tc>
          <w:tcPr>
            <w:tcW w:w="21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池体总表面积497.14m</w:t>
            </w:r>
            <w:r>
              <w:rPr>
                <w:rFonts w:hint="eastAsia" w:cs="Times New Roman"/>
                <w:color w:val="auto"/>
                <w:sz w:val="21"/>
                <w:szCs w:val="21"/>
                <w:highlight w:val="none"/>
                <w:vertAlign w:val="superscript"/>
                <w:lang w:val="en-US" w:eastAsia="zh-CN"/>
              </w:rPr>
              <w:t>2</w:t>
            </w:r>
          </w:p>
        </w:tc>
        <w:tc>
          <w:tcPr>
            <w:tcW w:w="184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8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6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储油池（预处理车间内）</w:t>
            </w:r>
          </w:p>
        </w:tc>
        <w:tc>
          <w:tcPr>
            <w:tcW w:w="163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池体</w:t>
            </w:r>
          </w:p>
        </w:tc>
        <w:tc>
          <w:tcPr>
            <w:tcW w:w="21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highlight w:val="none"/>
                <w:lang w:val="en-US" w:eastAsia="zh-CN"/>
              </w:rPr>
              <w:t>13.9m×4m×1.9m</w:t>
            </w:r>
          </w:p>
        </w:tc>
        <w:tc>
          <w:tcPr>
            <w:tcW w:w="184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8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6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储泥池（预处理车间内）</w:t>
            </w:r>
          </w:p>
        </w:tc>
        <w:tc>
          <w:tcPr>
            <w:tcW w:w="163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池体</w:t>
            </w:r>
          </w:p>
        </w:tc>
        <w:tc>
          <w:tcPr>
            <w:tcW w:w="21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highlight w:val="none"/>
                <w:lang w:val="en-US" w:eastAsia="zh-CN"/>
              </w:rPr>
              <w:t>4.16m×3.77m×1.9m</w:t>
            </w:r>
          </w:p>
        </w:tc>
        <w:tc>
          <w:tcPr>
            <w:tcW w:w="184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处理达标水体存储区域</w:t>
            </w:r>
          </w:p>
        </w:tc>
        <w:tc>
          <w:tcPr>
            <w:tcW w:w="16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储液池</w:t>
            </w:r>
          </w:p>
        </w:tc>
        <w:tc>
          <w:tcPr>
            <w:tcW w:w="163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池体</w:t>
            </w:r>
          </w:p>
        </w:tc>
        <w:tc>
          <w:tcPr>
            <w:tcW w:w="21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储液池1#：底面积：21240.27m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，顶面积：29302.65m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，容积90168m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储液池2#：底面积：12475.44m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，顶面积：17390.02m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，容积50418m</w:t>
            </w:r>
            <w:r>
              <w:rPr>
                <w:rFonts w:hint="eastAsia" w:cs="Times New Roman"/>
                <w:color w:val="auto"/>
                <w:sz w:val="21"/>
                <w:szCs w:val="21"/>
                <w:highlight w:val="none"/>
                <w:vertAlign w:val="superscript"/>
                <w:lang w:val="en-US" w:eastAsia="zh-CN"/>
              </w:rPr>
              <w:t>3</w:t>
            </w:r>
          </w:p>
        </w:tc>
        <w:tc>
          <w:tcPr>
            <w:tcW w:w="184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钢筋混凝土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污油储存</w:t>
            </w:r>
          </w:p>
        </w:tc>
        <w:tc>
          <w:tcPr>
            <w:tcW w:w="163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污油储罐</w:t>
            </w:r>
          </w:p>
        </w:tc>
        <w:tc>
          <w:tcPr>
            <w:tcW w:w="163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罐体</w:t>
            </w:r>
          </w:p>
        </w:tc>
        <w:tc>
          <w:tcPr>
            <w:tcW w:w="21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∅8.8m×8m</w:t>
            </w:r>
          </w:p>
        </w:tc>
        <w:tc>
          <w:tcPr>
            <w:tcW w:w="184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防渗罐体</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（2）地下水污染途径识别</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本项目处理对象为</w:t>
      </w:r>
      <w:r>
        <w:rPr>
          <w:rFonts w:hint="eastAsia" w:cs="Times New Roman"/>
          <w:caps w:val="0"/>
          <w:smallCaps w:val="0"/>
          <w:snapToGrid/>
          <w:color w:val="auto"/>
          <w:spacing w:val="0"/>
          <w:w w:val="100"/>
          <w:kern w:val="0"/>
          <w:sz w:val="24"/>
          <w:szCs w:val="24"/>
          <w:highlight w:val="none"/>
          <w:lang w:val="en-US" w:eastAsia="zh-CN" w:bidi="ar-SA"/>
        </w:rPr>
        <w:t>油田开采产生的待处理废水，压裂返排液</w:t>
      </w:r>
      <w:r>
        <w:rPr>
          <w:rFonts w:hint="eastAsia" w:cs="Times New Roman"/>
          <w:caps w:val="0"/>
          <w:smallCaps w:val="0"/>
          <w:snapToGrid/>
          <w:color w:val="auto"/>
          <w:spacing w:val="0"/>
          <w:w w:val="100"/>
          <w:kern w:val="0"/>
          <w:sz w:val="24"/>
          <w:szCs w:val="24"/>
          <w:highlight w:val="none"/>
          <w:vertAlign w:val="baseline"/>
          <w:lang w:val="en-US" w:eastAsia="zh-CN" w:bidi="ar-SA"/>
        </w:rPr>
        <w:t>，站内初期雨水及</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cs="Times New Roman"/>
          <w:caps w:val="0"/>
          <w:smallCaps w:val="0"/>
          <w:snapToGrid/>
          <w:color w:val="auto"/>
          <w:spacing w:val="0"/>
          <w:w w:val="100"/>
          <w:kern w:val="0"/>
          <w:sz w:val="24"/>
          <w:szCs w:val="24"/>
          <w:highlight w:val="none"/>
          <w:vertAlign w:val="baseline"/>
          <w:lang w:val="en-US" w:eastAsia="zh-CN" w:bidi="ar-SA"/>
        </w:rPr>
        <w:t>离心浓缩废水，地下水污染途径主要为污染物下渗污染。本项目地下水污染途径主要包括：①均质池、预处理车间内反应池池体防渗措施失效，废水发生渗漏；②处理达标水体存储区域池体防渗措施失效，水体下渗；③站内污油储罐破损，污油发生渗漏。④输液管道破损，导致待深度处理的废水泄漏、下渗，污染区域地下水环境。</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5.2.3.2正常状况下地下水环境影响分析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项目站内采取分区防渗措施：；卸车平台、危废暂存间、预处理车间、污油储罐区、储液池区域、事故池、初期雨水收集池，采取重点防渗措施；危废暂存间防渗性能满足《危险废物贮存污染控制标准》（GB18597-2023）防渗要求，其余区域满足《环境影响评价技术导则 地下水环境》（HJ610-2018）重点防渗性能要求。</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库房、配电间、值班室、消防水罐区、办公用房采取一般防渗措施，满足《环境影响评价技术导则 地下水环境》（HJ610-2018）一般防渗性能要求。</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其他区域进行简单防渗，满足《环境影响评价技术导则 地下水环境》（HJ610-2018）简单防渗性能要求。</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本项目新建污油储罐采取以下防渗措施：</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①罐底内部防腐：采用涂料防护与电化学保护相结合的防护措施，一方面涂料可大大减少阴极保护电流的消耗，减少阳极安装数量；另一方面阴极保护电流集中于涂层的缺陷处，使缺陷涂层处的钢板得到保护，两者相辅相成，能取得最佳保护效果；</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②储罐边缘板防腐：一般采用材料性能优异、防水效果好、维修容易的CTPU防水材料和贴覆玻璃布加强涂层强度的防护措施；</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③罐壁及罐顶防腐：</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1）适当增加腐蚀严重部位如罐底和罐顶的板材厚度，但不应超过钢板总厚度的20%；</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2）采用耐腐蚀的涂料作为表面涂层保护；</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3）采用喷砂除锈和涂敷工艺等施工工艺方法。</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同时污油储罐区周围设置围堰、防火堤及雨水切换阀等装置，围堰高度1.5m，区域进行重点防渗，污油储罐区域防渗性能满足《石油化工工程防渗技术规范》（GB/T50394-2013）及《环境影响评价技术导则 地下水环境》（HJ610-2018）重点防渗性能要求。</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项目运行期间，通过站内长输泵站将待深度处理的废水压入输液管道，泵房内设有压力表，一旦发生泄漏压力即发生变化，并报警。管道材质为钢丝网骨架塑料（聚乙烯）复合管，耐磨耐腐蚀。</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通知巡检人员和应急车辆前往现场进行处置，使用放置在附近村屯住宅内的近应急物资，在管道泄漏口处采用沙包、装土编织袋等拦截措施阻拦外溢废水，切断废水与坑塘、沟渠、农田等之间的泄漏途径，并于阀门下方挖一处土坑用于放置水桶，挖出的表土置于旁边，应急措施完成后，待废水拉运罐车到达现场后，打开阀门将管道内的废水排入桶中，同时使用水泵将桶中的液体抽入罐车中运往废水处理站。在管道检修后替换新的管道，确保无问题后再重新开始废水的输送。</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根据《环境影响评价技术导则 地下水环境》（HJ610-2016）9.4.2条，“已依据GB16889、GB18597、GB18598、GB18599、GB/T50934等规范设计地下水污染防渗措施的建设项目，可不进行正常状况情景下的预测”。</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5.2.3.3非正常状况地下水环境影响分析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非正常状况下，本项目主要考虑预处理车间内反应池池体、储液池及输液管道的泄漏，废水进入含水层，对地下水造成影响进行预测。</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（1）情景设置</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①隔油沉砂池预测情景</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根据工程分析，本项目预处理车间内设置多个池体，反应池池体总表面积为497.14m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，反应池集中区域占地规格为（3.87×13.3）m。除涡凹气浮刮渣池池体较深，因设置浮刮渣设备需要，其余池体深度在2.2-2.7m，本次预测按照多个池体防渗全部失效，池体中水体积有效深度以2.5m计。</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按照《给水排水构筑物工程施工和验收规范》（GB50141），水池的渗漏量应按池壁和池底的浸湿面积计算。正常状况下，混凝土结构水池的渗水量不得超过2L/（m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·d），隔油沉砂池浸湿面积最大为137.32m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。根据《地下工程防水技术规划》（GB50108-2008），隔油沉砂池防水等级为三级。</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任意100m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防水面积上的漏水或者湿渍点数不超过7处，单个漏水点的最大漏水量不超过2.5L/（m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•d），单位湿渍的最大面积不大于0.3m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。则本项目正常漏水点的面积为3m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，则下废水的最大渗漏量为7.5L/d，非正常状况下的渗漏量取正常渗漏量的10倍，渗漏量为0.075m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/d。</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假定隔油沉砂池定期检修周期为30d，通过检修发现池体泄漏后立即采取措施，防止污染物继续泄漏，已泄漏污染物需持向下游运移。</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②储液池区域预测情景</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本项目站址内储液池区域占地面积4.67hm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，假设破损区占储液池区域占地总面积的5‰，即破损区域面积为234m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储液池区域防渗情况设置情况为外壁采用SBS防水卷材。内壁及池底均铺设土工防渗膜；内壁铺设2mm厚HDPE土工防渗膜，再刷氯丁胶乳防水砂浆10mm厚。池底铺设2mm厚HDPE土工防渗膜，再进行基础浇筑，采用C30抗渗混凝土浇筑，其抗渗等级为P6（渗透系数≤4.19×10</w:t>
      </w:r>
      <w:r>
        <w:rPr>
          <w:rFonts w:hint="eastAsia" w:cs="Times New Roman"/>
          <w:caps w:val="0"/>
          <w:smallCaps w:val="0"/>
          <w:snapToGrid/>
          <w:color w:val="auto"/>
          <w:spacing w:val="0"/>
          <w:w w:val="100"/>
          <w:kern w:val="0"/>
          <w:sz w:val="24"/>
          <w:szCs w:val="24"/>
          <w:highlight w:val="none"/>
          <w:vertAlign w:val="superscript"/>
          <w:lang w:val="en-US" w:eastAsia="zh-CN" w:bidi="ar-SA"/>
        </w:rPr>
        <w:t>-9</w:t>
      </w:r>
      <w:r>
        <w:rPr>
          <w:rFonts w:hint="eastAsia" w:cs="Times New Roman"/>
          <w:caps w:val="0"/>
          <w:smallCaps w:val="0"/>
          <w:snapToGrid/>
          <w:color w:val="auto"/>
          <w:spacing w:val="0"/>
          <w:w w:val="100"/>
          <w:kern w:val="0"/>
          <w:sz w:val="24"/>
          <w:szCs w:val="24"/>
          <w:highlight w:val="none"/>
          <w:vertAlign w:val="baseline"/>
          <w:lang w:val="en-US" w:eastAsia="zh-CN" w:bidi="ar-SA"/>
        </w:rPr>
        <w:t>cm/s），铺设厚度为15cm，再铺设C15素混凝土结构垫层，厚度为10cm。储池防渗层破损后，废水通过防渗层渗漏。废水泄漏计算为：</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Q=K×A×I；</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式中：Q—非正常状况泄漏量，m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/d；</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K—饱和渗透系数，根据区域水文地质情况，本项目潜水含水层5.0m/d</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A—泄漏面积，234m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I—为水力坡度，无量纲，取0.00007；</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由此计算可知非正常状况下废水的渗漏量为0.0819m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/d，假定对储液池区域防渗层完整性检查周期为30d，通过检查发现防渗层泄漏后立即采取措施，防止污染物继续泄漏，已泄漏污染物需持向下游运移。</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③输液管道泄漏预测情景</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因本次建设的3#站外输液管道较长，本次以3#站外输液管道泄漏预测。</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次从最不利因素来假设情景：假设输液管道由于外部因素发生连接脱落，管道内的废水以输送速率泄漏。泄漏面积为横截面的10%。由于项目有应急相应机制，从发生泄漏到发现泄漏点不超过10分钟，从最不利情况考虑发现泄漏点的时间延长至30分钟，管道的输送能力为300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/h，管径为315mm，20分钟的泄漏量为10m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vertAlign w:val="baseline"/>
          <w:lang w:val="en-US" w:eastAsia="zh-CN" w:bidi="ar-SA"/>
        </w:rPr>
        <w:t>。找到泄漏点后立即关闭管理此段泄漏管道的阀门，并将管内的废水转移至废水拉运罐车内，运至距离最近的废水处理站进行处置。</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（2）预测因子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根据工程分析，本次预测对待处理废水及处理达标水体中的COD及石油类进行预测。</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（3）预测源强及时段</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预测时段按导则要求分别取100d、1000d、污染物最远超标距离对应时间的三个时间段。本项目地下水污染预测源强计算结果见下表。</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5.2-12非正常状况下地下水污染预测源强计算结果表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76"/>
        <w:gridCol w:w="1001"/>
        <w:gridCol w:w="1069"/>
        <w:gridCol w:w="1211"/>
        <w:gridCol w:w="1057"/>
        <w:gridCol w:w="1020"/>
        <w:gridCol w:w="1091"/>
        <w:gridCol w:w="10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泄漏</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位置</w:t>
            </w:r>
          </w:p>
        </w:tc>
        <w:tc>
          <w:tcPr>
            <w:tcW w:w="100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预测因子</w:t>
            </w:r>
          </w:p>
        </w:tc>
        <w:tc>
          <w:tcPr>
            <w:tcW w:w="10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泄漏速率</w:t>
            </w:r>
          </w:p>
        </w:tc>
        <w:tc>
          <w:tcPr>
            <w:tcW w:w="12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污染物浓度（mg/L）</w:t>
            </w:r>
          </w:p>
        </w:tc>
        <w:tc>
          <w:tcPr>
            <w:tcW w:w="105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污染物泄漏量（kg/d）</w:t>
            </w:r>
          </w:p>
        </w:tc>
        <w:tc>
          <w:tcPr>
            <w:tcW w:w="102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渗漏时长</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评价标准（mg/L）</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检出限（mg/L）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7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预处理车间池体</w:t>
            </w:r>
          </w:p>
        </w:tc>
        <w:tc>
          <w:tcPr>
            <w:tcW w:w="100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COD</w:t>
            </w:r>
          </w:p>
        </w:tc>
        <w:tc>
          <w:tcPr>
            <w:tcW w:w="106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0.075</w:t>
            </w:r>
            <w:r>
              <w:rPr>
                <w:rFonts w:hint="eastAsia" w:cs="Times New Roman"/>
                <w:caps w:val="0"/>
                <w:smallCaps w:val="0"/>
                <w:snapToGrid/>
                <w:color w:val="auto"/>
                <w:spacing w:val="0"/>
                <w:w w:val="100"/>
                <w:kern w:val="0"/>
                <w:sz w:val="21"/>
                <w:szCs w:val="21"/>
                <w:highlight w:val="none"/>
                <w:vertAlign w:val="baseline"/>
                <w:lang w:val="en-US" w:eastAsia="zh-CN" w:bidi="ar-SA"/>
              </w:rPr>
              <w:t>m</w:t>
            </w:r>
            <w:r>
              <w:rPr>
                <w:rFonts w:hint="eastAsia" w:cs="Times New Roman"/>
                <w:caps w:val="0"/>
                <w:smallCaps w:val="0"/>
                <w:snapToGrid/>
                <w:color w:val="auto"/>
                <w:spacing w:val="0"/>
                <w:w w:val="100"/>
                <w:kern w:val="0"/>
                <w:sz w:val="21"/>
                <w:szCs w:val="21"/>
                <w:highlight w:val="none"/>
                <w:vertAlign w:val="superscript"/>
                <w:lang w:val="en-US" w:eastAsia="zh-CN" w:bidi="ar-SA"/>
              </w:rPr>
              <w:t>3</w:t>
            </w:r>
            <w:r>
              <w:rPr>
                <w:rFonts w:hint="eastAsia" w:cs="Times New Roman"/>
                <w:caps w:val="0"/>
                <w:smallCaps w:val="0"/>
                <w:snapToGrid/>
                <w:color w:val="auto"/>
                <w:spacing w:val="0"/>
                <w:w w:val="100"/>
                <w:kern w:val="0"/>
                <w:sz w:val="21"/>
                <w:szCs w:val="21"/>
                <w:highlight w:val="none"/>
                <w:vertAlign w:val="baseline"/>
                <w:lang w:val="en-US" w:eastAsia="zh-CN" w:bidi="ar-SA"/>
              </w:rPr>
              <w:t>/d</w:t>
            </w:r>
          </w:p>
        </w:tc>
        <w:tc>
          <w:tcPr>
            <w:tcW w:w="12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2000</w:t>
            </w:r>
          </w:p>
        </w:tc>
        <w:tc>
          <w:tcPr>
            <w:tcW w:w="105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1.5E-03</w:t>
            </w:r>
          </w:p>
        </w:tc>
        <w:tc>
          <w:tcPr>
            <w:tcW w:w="102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30d</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4.5E-03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7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00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石油类</w:t>
            </w:r>
          </w:p>
        </w:tc>
        <w:tc>
          <w:tcPr>
            <w:tcW w:w="106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2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347</w:t>
            </w:r>
          </w:p>
        </w:tc>
        <w:tc>
          <w:tcPr>
            <w:tcW w:w="105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2.6E-05</w:t>
            </w:r>
          </w:p>
        </w:tc>
        <w:tc>
          <w:tcPr>
            <w:tcW w:w="102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0.05</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7.8E-04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3" w:hRule="atLeast"/>
        </w:trPr>
        <w:tc>
          <w:tcPr>
            <w:tcW w:w="97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储液池区域</w:t>
            </w:r>
          </w:p>
        </w:tc>
        <w:tc>
          <w:tcPr>
            <w:tcW w:w="100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COD</w:t>
            </w:r>
          </w:p>
        </w:tc>
        <w:tc>
          <w:tcPr>
            <w:tcW w:w="106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0.0819</w:t>
            </w:r>
            <w:r>
              <w:rPr>
                <w:rFonts w:hint="eastAsia" w:cs="Times New Roman"/>
                <w:caps w:val="0"/>
                <w:smallCaps w:val="0"/>
                <w:snapToGrid/>
                <w:color w:val="auto"/>
                <w:spacing w:val="0"/>
                <w:w w:val="100"/>
                <w:kern w:val="0"/>
                <w:sz w:val="21"/>
                <w:szCs w:val="21"/>
                <w:highlight w:val="none"/>
                <w:vertAlign w:val="baseline"/>
                <w:lang w:val="en-US" w:eastAsia="zh-CN" w:bidi="ar-SA"/>
              </w:rPr>
              <w:t>m</w:t>
            </w:r>
            <w:r>
              <w:rPr>
                <w:rFonts w:hint="eastAsia" w:cs="Times New Roman"/>
                <w:caps w:val="0"/>
                <w:smallCaps w:val="0"/>
                <w:snapToGrid/>
                <w:color w:val="auto"/>
                <w:spacing w:val="0"/>
                <w:w w:val="100"/>
                <w:kern w:val="0"/>
                <w:sz w:val="21"/>
                <w:szCs w:val="21"/>
                <w:highlight w:val="none"/>
                <w:vertAlign w:val="superscript"/>
                <w:lang w:val="en-US" w:eastAsia="zh-CN" w:bidi="ar-SA"/>
              </w:rPr>
              <w:t>3</w:t>
            </w:r>
            <w:r>
              <w:rPr>
                <w:rFonts w:hint="eastAsia" w:cs="Times New Roman"/>
                <w:caps w:val="0"/>
                <w:smallCaps w:val="0"/>
                <w:snapToGrid/>
                <w:color w:val="auto"/>
                <w:spacing w:val="0"/>
                <w:w w:val="100"/>
                <w:kern w:val="0"/>
                <w:sz w:val="21"/>
                <w:szCs w:val="21"/>
                <w:highlight w:val="none"/>
                <w:vertAlign w:val="baseline"/>
                <w:lang w:val="en-US" w:eastAsia="zh-CN" w:bidi="ar-SA"/>
              </w:rPr>
              <w:t>/d</w:t>
            </w:r>
          </w:p>
        </w:tc>
        <w:tc>
          <w:tcPr>
            <w:tcW w:w="12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250</w:t>
            </w:r>
          </w:p>
        </w:tc>
        <w:tc>
          <w:tcPr>
            <w:tcW w:w="105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2.05E-05</w:t>
            </w:r>
          </w:p>
        </w:tc>
        <w:tc>
          <w:tcPr>
            <w:tcW w:w="102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30d</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7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00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石油类</w:t>
            </w:r>
          </w:p>
        </w:tc>
        <w:tc>
          <w:tcPr>
            <w:tcW w:w="106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2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w:t>
            </w:r>
          </w:p>
        </w:tc>
        <w:tc>
          <w:tcPr>
            <w:tcW w:w="105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1.64E-06</w:t>
            </w:r>
          </w:p>
        </w:tc>
        <w:tc>
          <w:tcPr>
            <w:tcW w:w="102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0.05</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7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输液管道</w:t>
            </w:r>
          </w:p>
        </w:tc>
        <w:tc>
          <w:tcPr>
            <w:tcW w:w="100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COD</w:t>
            </w:r>
          </w:p>
        </w:tc>
        <w:tc>
          <w:tcPr>
            <w:tcW w:w="106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aps w:val="0"/>
                <w:smallCaps w:val="0"/>
                <w:snapToGrid/>
                <w:color w:val="auto"/>
                <w:spacing w:val="0"/>
                <w:w w:val="100"/>
                <w:kern w:val="0"/>
                <w:sz w:val="21"/>
                <w:szCs w:val="21"/>
                <w:highlight w:val="none"/>
                <w:vertAlign w:val="baseline"/>
                <w:lang w:val="en-US" w:eastAsia="zh-CN" w:bidi="ar-SA"/>
              </w:rPr>
              <w:t>10m</w:t>
            </w:r>
            <w:r>
              <w:rPr>
                <w:rFonts w:hint="eastAsia" w:cs="Times New Roman"/>
                <w:caps w:val="0"/>
                <w:smallCaps w:val="0"/>
                <w:snapToGrid/>
                <w:color w:val="auto"/>
                <w:spacing w:val="0"/>
                <w:w w:val="100"/>
                <w:kern w:val="0"/>
                <w:sz w:val="21"/>
                <w:szCs w:val="21"/>
                <w:highlight w:val="none"/>
                <w:vertAlign w:val="superscript"/>
                <w:lang w:val="en-US" w:eastAsia="zh-CN" w:bidi="ar-SA"/>
              </w:rPr>
              <w:t>3/</w:t>
            </w:r>
            <w:r>
              <w:rPr>
                <w:rFonts w:hint="eastAsia" w:cs="Times New Roman"/>
                <w:caps w:val="0"/>
                <w:smallCaps w:val="0"/>
                <w:snapToGrid/>
                <w:color w:val="auto"/>
                <w:spacing w:val="0"/>
                <w:w w:val="100"/>
                <w:kern w:val="0"/>
                <w:sz w:val="21"/>
                <w:szCs w:val="21"/>
                <w:highlight w:val="none"/>
                <w:vertAlign w:val="baseline"/>
                <w:lang w:val="en-US" w:eastAsia="zh-CN" w:bidi="ar-SA"/>
              </w:rPr>
              <w:t>次</w:t>
            </w:r>
          </w:p>
        </w:tc>
        <w:tc>
          <w:tcPr>
            <w:tcW w:w="12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2000</w:t>
            </w:r>
          </w:p>
        </w:tc>
        <w:tc>
          <w:tcPr>
            <w:tcW w:w="105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0.02</w:t>
            </w:r>
          </w:p>
        </w:tc>
        <w:tc>
          <w:tcPr>
            <w:tcW w:w="102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20min</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7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00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石油类</w:t>
            </w:r>
          </w:p>
        </w:tc>
        <w:tc>
          <w:tcPr>
            <w:tcW w:w="106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2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347</w:t>
            </w:r>
          </w:p>
        </w:tc>
        <w:tc>
          <w:tcPr>
            <w:tcW w:w="105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0.00347</w:t>
            </w:r>
          </w:p>
        </w:tc>
        <w:tc>
          <w:tcPr>
            <w:tcW w:w="102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0.05</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0.01</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（4）预测方法</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根据地下水评价工作等级划分依据，本项目按照《环境影响评价技术导则-地下水环境》（HJ610-2016），采用解析法进行模拟预测。</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（5）预测模型确定</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在非正常状况下，由于防渗层破损，污染物缓慢渗漏导致地下水污染。由于渗漏量较小，渗漏缓慢，渗漏过程不易被发现，渗漏发生后持续进行。假定泄漏的污染物连续注入含水层中，形成点状污染源，其污染方式为直接污染，污染途径为径流型。污染物通过地下水径流进入含水层，直接污染该区含水层，进而污染地下水。由于在此渗漏状况下，渗漏现象无法第一时间判断和处理，因而采用连续注入示踪剂-平面连续点源。污染物在地下水环境迁移预测的解析式如下：</w:t>
      </w:r>
    </w:p>
    <w:p>
      <w:pPr>
        <w:rPr>
          <w:rFonts w:hint="eastAsia"/>
          <w:color w:val="auto"/>
          <w:highlight w:val="none"/>
          <w:lang w:val="en-US" w:eastAsia="zh-CN"/>
        </w:rPr>
      </w:pPr>
      <w:r>
        <w:rPr>
          <w:rFonts w:hint="eastAsia"/>
          <w:color w:val="auto"/>
          <w:highlight w:val="none"/>
          <w:lang w:val="en-US" w:eastAsia="zh-CN"/>
        </w:rPr>
        <w:drawing>
          <wp:inline distT="0" distB="0" distL="114300" distR="114300">
            <wp:extent cx="4000500" cy="1438275"/>
            <wp:effectExtent l="0" t="0" r="0" b="9525"/>
            <wp:docPr id="22" name="图片 22" descr="预测公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预测公式"/>
                    <pic:cNvPicPr>
                      <a:picLocks noChangeAspect="1"/>
                    </pic:cNvPicPr>
                  </pic:nvPicPr>
                  <pic:blipFill>
                    <a:blip r:embed="rId39"/>
                    <a:stretch>
                      <a:fillRect/>
                    </a:stretch>
                  </pic:blipFill>
                  <pic:spPr>
                    <a:xfrm>
                      <a:off x="0" y="0"/>
                      <a:ext cx="4000500" cy="143827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式中：x，y—计算点处的位置坐标；</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t—时间，d；</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C（x，y，t）—t时刻点x，y处的示踪剂浓度，mg/L；</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M—含水层的厚度，m；</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m</w:t>
      </w:r>
      <w:r>
        <w:rPr>
          <w:rFonts w:hint="eastAsia" w:cs="Times New Roman"/>
          <w:caps w:val="0"/>
          <w:smallCaps w:val="0"/>
          <w:snapToGrid/>
          <w:color w:val="auto"/>
          <w:spacing w:val="0"/>
          <w:w w:val="100"/>
          <w:kern w:val="0"/>
          <w:sz w:val="24"/>
          <w:szCs w:val="24"/>
          <w:highlight w:val="none"/>
          <w:vertAlign w:val="subscript"/>
          <w:lang w:val="en-US" w:eastAsia="zh-CN" w:bidi="ar-SA"/>
        </w:rPr>
        <w:t>t</w:t>
      </w:r>
      <w:r>
        <w:rPr>
          <w:rFonts w:hint="eastAsia" w:cs="Times New Roman"/>
          <w:caps w:val="0"/>
          <w:smallCaps w:val="0"/>
          <w:snapToGrid/>
          <w:color w:val="auto"/>
          <w:spacing w:val="0"/>
          <w:w w:val="100"/>
          <w:kern w:val="0"/>
          <w:sz w:val="24"/>
          <w:szCs w:val="24"/>
          <w:highlight w:val="none"/>
          <w:vertAlign w:val="baseline"/>
          <w:lang w:val="en-US" w:eastAsia="zh-CN" w:bidi="ar-SA"/>
        </w:rPr>
        <w:t>—单位时间注入示踪剂的质量，kg/d；</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u—水流速度，m/d；</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n—有效孔隙度，无量纲；</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D</w:t>
      </w:r>
      <w:r>
        <w:rPr>
          <w:rFonts w:hint="eastAsia" w:cs="Times New Roman"/>
          <w:caps w:val="0"/>
          <w:smallCaps w:val="0"/>
          <w:snapToGrid/>
          <w:color w:val="auto"/>
          <w:spacing w:val="0"/>
          <w:w w:val="100"/>
          <w:kern w:val="0"/>
          <w:sz w:val="24"/>
          <w:szCs w:val="24"/>
          <w:highlight w:val="none"/>
          <w:vertAlign w:val="subscript"/>
          <w:lang w:val="en-US" w:eastAsia="zh-CN" w:bidi="ar-SA"/>
        </w:rPr>
        <w:t>L</w:t>
      </w:r>
      <w:r>
        <w:rPr>
          <w:rFonts w:hint="eastAsia" w:cs="Times New Roman"/>
          <w:caps w:val="0"/>
          <w:smallCaps w:val="0"/>
          <w:snapToGrid/>
          <w:color w:val="auto"/>
          <w:spacing w:val="0"/>
          <w:w w:val="100"/>
          <w:kern w:val="0"/>
          <w:sz w:val="24"/>
          <w:szCs w:val="24"/>
          <w:highlight w:val="none"/>
          <w:vertAlign w:val="baseline"/>
          <w:lang w:val="en-US" w:eastAsia="zh-CN" w:bidi="ar-SA"/>
        </w:rPr>
        <w:t>—纵向弥散系数，m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/d；</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D</w:t>
      </w:r>
      <w:r>
        <w:rPr>
          <w:rFonts w:hint="eastAsia" w:cs="Times New Roman"/>
          <w:caps w:val="0"/>
          <w:smallCaps w:val="0"/>
          <w:snapToGrid/>
          <w:color w:val="auto"/>
          <w:spacing w:val="0"/>
          <w:w w:val="100"/>
          <w:kern w:val="0"/>
          <w:sz w:val="24"/>
          <w:szCs w:val="24"/>
          <w:highlight w:val="none"/>
          <w:vertAlign w:val="subscript"/>
          <w:lang w:val="en-US" w:eastAsia="zh-CN" w:bidi="ar-SA"/>
        </w:rPr>
        <w:t>T</w:t>
      </w:r>
      <w:r>
        <w:rPr>
          <w:rFonts w:hint="eastAsia" w:cs="Times New Roman"/>
          <w:caps w:val="0"/>
          <w:smallCaps w:val="0"/>
          <w:snapToGrid/>
          <w:color w:val="auto"/>
          <w:spacing w:val="0"/>
          <w:w w:val="100"/>
          <w:kern w:val="0"/>
          <w:sz w:val="24"/>
          <w:szCs w:val="24"/>
          <w:highlight w:val="none"/>
          <w:vertAlign w:val="baseline"/>
          <w:lang w:val="en-US" w:eastAsia="zh-CN" w:bidi="ar-SA"/>
        </w:rPr>
        <w:t>—横向y方向的弥散系数，m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/d；</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π—圆周率；</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K</w:t>
      </w:r>
      <w:r>
        <w:rPr>
          <w:rFonts w:hint="eastAsia" w:cs="Times New Roman"/>
          <w:caps w:val="0"/>
          <w:smallCaps w:val="0"/>
          <w:snapToGrid/>
          <w:color w:val="auto"/>
          <w:spacing w:val="0"/>
          <w:w w:val="100"/>
          <w:kern w:val="0"/>
          <w:sz w:val="24"/>
          <w:szCs w:val="24"/>
          <w:highlight w:val="none"/>
          <w:vertAlign w:val="subscript"/>
          <w:lang w:val="en-US" w:eastAsia="zh-CN" w:bidi="ar-SA"/>
        </w:rPr>
        <w:t>0</w:t>
      </w:r>
      <w:r>
        <w:rPr>
          <w:rFonts w:hint="eastAsia" w:cs="Times New Roman"/>
          <w:caps w:val="0"/>
          <w:smallCaps w:val="0"/>
          <w:snapToGrid/>
          <w:color w:val="auto"/>
          <w:spacing w:val="0"/>
          <w:w w:val="100"/>
          <w:kern w:val="0"/>
          <w:sz w:val="24"/>
          <w:szCs w:val="24"/>
          <w:highlight w:val="none"/>
          <w:vertAlign w:val="baseline"/>
          <w:lang w:val="en-US" w:eastAsia="zh-CN" w:bidi="ar-SA"/>
        </w:rPr>
        <w:t>（β）—第二类零阶修正贝塞尔函数；</w:t>
      </w:r>
    </w:p>
    <w:p>
      <w:pPr>
        <w:keepNext w:val="0"/>
        <w:keepLines w:val="0"/>
        <w:pageBreakBefore w:val="0"/>
        <w:widowControl/>
        <w:tabs>
          <w:tab w:val="left" w:pos="2707"/>
        </w:tabs>
        <w:kinsoku w:val="0"/>
        <w:wordWrap/>
        <w:overflowPunct/>
        <w:topLinePunct w:val="0"/>
        <w:autoSpaceDE w:val="0"/>
        <w:autoSpaceDN w:val="0"/>
        <w:bidi w:val="0"/>
        <w:adjustRightInd w:val="0"/>
        <w:snapToGrid w:val="0"/>
        <w:spacing w:line="240" w:lineRule="auto"/>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942975" cy="647700"/>
            <wp:effectExtent l="0" t="0" r="9525" b="0"/>
            <wp:docPr id="25" name="图片 25" descr="公式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公式0"/>
                    <pic:cNvPicPr>
                      <a:picLocks noChangeAspect="1"/>
                    </pic:cNvPicPr>
                  </pic:nvPicPr>
                  <pic:blipFill>
                    <a:blip r:embed="rId40"/>
                    <a:stretch>
                      <a:fillRect/>
                    </a:stretch>
                  </pic:blipFill>
                  <pic:spPr>
                    <a:xfrm>
                      <a:off x="0" y="0"/>
                      <a:ext cx="942975" cy="647700"/>
                    </a:xfrm>
                    <a:prstGeom prst="rect">
                      <a:avLst/>
                    </a:prstGeom>
                  </pic:spPr>
                </pic:pic>
              </a:graphicData>
            </a:graphic>
          </wp:inline>
        </w:drawing>
      </w:r>
      <w:r>
        <w:rPr>
          <w:rFonts w:hint="eastAsia" w:cs="Times New Roman"/>
          <w:caps w:val="0"/>
          <w:smallCaps w:val="0"/>
          <w:snapToGrid/>
          <w:color w:val="auto"/>
          <w:spacing w:val="0"/>
          <w:w w:val="100"/>
          <w:kern w:val="0"/>
          <w:sz w:val="24"/>
          <w:szCs w:val="24"/>
          <w:highlight w:val="none"/>
          <w:vertAlign w:val="baseline"/>
          <w:lang w:val="en-US" w:eastAsia="zh-CN" w:bidi="ar-SA"/>
        </w:rPr>
        <w:t>—第一类越流系统函数。</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（6）预测参数确定</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根据项目所在区域水文地质情况，确定本项目参数如下：</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5.2-13预测参数一览表</w:t>
      </w:r>
    </w:p>
    <w:tbl>
      <w:tblPr>
        <w:tblStyle w:val="16"/>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06"/>
        <w:gridCol w:w="1625"/>
        <w:gridCol w:w="1216"/>
        <w:gridCol w:w="1216"/>
        <w:gridCol w:w="1216"/>
        <w:gridCol w:w="1217"/>
        <w:gridCol w:w="12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7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序号</w:t>
            </w:r>
          </w:p>
        </w:tc>
        <w:tc>
          <w:tcPr>
            <w:tcW w:w="95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含水层</w:t>
            </w:r>
          </w:p>
        </w:tc>
        <w:tc>
          <w:tcPr>
            <w:tcW w:w="71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M/m</w:t>
            </w:r>
          </w:p>
        </w:tc>
        <w:tc>
          <w:tcPr>
            <w:tcW w:w="71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snapToGrid/>
                <w:color w:val="auto"/>
                <w:spacing w:val="0"/>
                <w:w w:val="100"/>
                <w:kern w:val="0"/>
                <w:sz w:val="21"/>
                <w:szCs w:val="21"/>
                <w:highlight w:val="none"/>
                <w:vertAlign w:val="baseline"/>
                <w:lang w:val="en-US" w:eastAsia="zh-CN" w:bidi="ar-SA"/>
              </w:rPr>
              <w:t>u</w:t>
            </w:r>
            <w:r>
              <w:rPr>
                <w:rFonts w:hint="eastAsia" w:cs="Times New Roman"/>
                <w:caps w:val="0"/>
                <w:smallCaps w:val="0"/>
                <w:snapToGrid/>
                <w:color w:val="auto"/>
                <w:spacing w:val="0"/>
                <w:w w:val="100"/>
                <w:kern w:val="0"/>
                <w:sz w:val="21"/>
                <w:szCs w:val="21"/>
                <w:highlight w:val="none"/>
                <w:vertAlign w:val="baseline"/>
                <w:lang w:val="en-US" w:eastAsia="zh-CN" w:bidi="ar-SA"/>
              </w:rPr>
              <w:t>/m/d</w:t>
            </w:r>
          </w:p>
        </w:tc>
        <w:tc>
          <w:tcPr>
            <w:tcW w:w="71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snapToGrid/>
                <w:color w:val="auto"/>
                <w:spacing w:val="0"/>
                <w:w w:val="100"/>
                <w:kern w:val="0"/>
                <w:sz w:val="21"/>
                <w:szCs w:val="21"/>
                <w:highlight w:val="none"/>
                <w:vertAlign w:val="baseline"/>
                <w:lang w:val="en-US" w:eastAsia="zh-CN" w:bidi="ar-SA"/>
              </w:rPr>
              <w:t>n</w:t>
            </w:r>
            <w:r>
              <w:rPr>
                <w:rFonts w:hint="eastAsia" w:cs="Times New Roman"/>
                <w:caps w:val="0"/>
                <w:smallCaps w:val="0"/>
                <w:snapToGrid/>
                <w:color w:val="auto"/>
                <w:spacing w:val="0"/>
                <w:w w:val="100"/>
                <w:kern w:val="0"/>
                <w:sz w:val="21"/>
                <w:szCs w:val="21"/>
                <w:highlight w:val="none"/>
                <w:vertAlign w:val="baseline"/>
                <w:lang w:val="en-US" w:eastAsia="zh-CN" w:bidi="ar-SA"/>
              </w:rPr>
              <w:t>/无量纲</w:t>
            </w:r>
          </w:p>
        </w:tc>
        <w:tc>
          <w:tcPr>
            <w:tcW w:w="71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aps w:val="0"/>
                <w:smallCaps w:val="0"/>
                <w:snapToGrid/>
                <w:color w:val="auto"/>
                <w:spacing w:val="0"/>
                <w:w w:val="100"/>
                <w:kern w:val="0"/>
                <w:sz w:val="21"/>
                <w:szCs w:val="21"/>
                <w:highlight w:val="none"/>
                <w:vertAlign w:val="baseline"/>
                <w:lang w:val="en-US" w:eastAsia="zh-CN" w:bidi="ar-SA"/>
              </w:rPr>
              <w:t>D</w:t>
            </w:r>
            <w:r>
              <w:rPr>
                <w:rFonts w:hint="eastAsia" w:cs="Times New Roman"/>
                <w:caps w:val="0"/>
                <w:smallCaps w:val="0"/>
                <w:snapToGrid/>
                <w:color w:val="auto"/>
                <w:spacing w:val="0"/>
                <w:w w:val="100"/>
                <w:kern w:val="0"/>
                <w:sz w:val="21"/>
                <w:szCs w:val="21"/>
                <w:highlight w:val="none"/>
                <w:vertAlign w:val="subscript"/>
                <w:lang w:val="en-US" w:eastAsia="zh-CN" w:bidi="ar-SA"/>
              </w:rPr>
              <w:t>L</w:t>
            </w:r>
            <w:r>
              <w:rPr>
                <w:rFonts w:hint="eastAsia" w:cs="Times New Roman"/>
                <w:caps w:val="0"/>
                <w:smallCaps w:val="0"/>
                <w:snapToGrid/>
                <w:color w:val="auto"/>
                <w:spacing w:val="0"/>
                <w:w w:val="100"/>
                <w:kern w:val="0"/>
                <w:sz w:val="21"/>
                <w:szCs w:val="21"/>
                <w:highlight w:val="none"/>
                <w:vertAlign w:val="baseline"/>
                <w:lang w:val="en-US" w:eastAsia="zh-CN" w:bidi="ar-SA"/>
              </w:rPr>
              <w:t>/m</w:t>
            </w:r>
            <w:r>
              <w:rPr>
                <w:rFonts w:hint="eastAsia" w:cs="Times New Roman"/>
                <w:caps w:val="0"/>
                <w:smallCaps w:val="0"/>
                <w:snapToGrid/>
                <w:color w:val="auto"/>
                <w:spacing w:val="0"/>
                <w:w w:val="100"/>
                <w:kern w:val="0"/>
                <w:sz w:val="21"/>
                <w:szCs w:val="21"/>
                <w:highlight w:val="none"/>
                <w:vertAlign w:val="superscript"/>
                <w:lang w:val="en-US" w:eastAsia="zh-CN" w:bidi="ar-SA"/>
              </w:rPr>
              <w:t>2</w:t>
            </w:r>
            <w:r>
              <w:rPr>
                <w:rFonts w:hint="eastAsia" w:cs="Times New Roman"/>
                <w:caps w:val="0"/>
                <w:smallCaps w:val="0"/>
                <w:snapToGrid/>
                <w:color w:val="auto"/>
                <w:spacing w:val="0"/>
                <w:w w:val="100"/>
                <w:kern w:val="0"/>
                <w:sz w:val="21"/>
                <w:szCs w:val="21"/>
                <w:highlight w:val="none"/>
                <w:vertAlign w:val="baseline"/>
                <w:lang w:val="en-US" w:eastAsia="zh-CN" w:bidi="ar-SA"/>
              </w:rPr>
              <w:t>/d</w:t>
            </w:r>
          </w:p>
        </w:tc>
        <w:tc>
          <w:tcPr>
            <w:tcW w:w="71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aps w:val="0"/>
                <w:smallCaps w:val="0"/>
                <w:snapToGrid/>
                <w:color w:val="auto"/>
                <w:spacing w:val="0"/>
                <w:w w:val="100"/>
                <w:kern w:val="0"/>
                <w:sz w:val="21"/>
                <w:szCs w:val="21"/>
                <w:highlight w:val="none"/>
                <w:vertAlign w:val="baseline"/>
                <w:lang w:val="en-US" w:eastAsia="zh-CN" w:bidi="ar-SA"/>
              </w:rPr>
              <w:t>D</w:t>
            </w:r>
            <w:r>
              <w:rPr>
                <w:rFonts w:hint="eastAsia" w:cs="Times New Roman"/>
                <w:caps w:val="0"/>
                <w:smallCaps w:val="0"/>
                <w:snapToGrid/>
                <w:color w:val="auto"/>
                <w:spacing w:val="0"/>
                <w:w w:val="100"/>
                <w:kern w:val="0"/>
                <w:sz w:val="21"/>
                <w:szCs w:val="21"/>
                <w:highlight w:val="none"/>
                <w:vertAlign w:val="subscript"/>
                <w:lang w:val="en-US" w:eastAsia="zh-CN" w:bidi="ar-SA"/>
              </w:rPr>
              <w:t>T</w:t>
            </w:r>
            <w:r>
              <w:rPr>
                <w:rFonts w:hint="eastAsia" w:cs="Times New Roman"/>
                <w:caps w:val="0"/>
                <w:smallCaps w:val="0"/>
                <w:snapToGrid/>
                <w:color w:val="auto"/>
                <w:spacing w:val="0"/>
                <w:w w:val="100"/>
                <w:kern w:val="0"/>
                <w:sz w:val="21"/>
                <w:szCs w:val="21"/>
                <w:highlight w:val="none"/>
                <w:vertAlign w:val="baseline"/>
                <w:lang w:val="en-US" w:eastAsia="zh-CN" w:bidi="ar-SA"/>
              </w:rPr>
              <w:t>/m</w:t>
            </w:r>
            <w:r>
              <w:rPr>
                <w:rFonts w:hint="eastAsia" w:cs="Times New Roman"/>
                <w:caps w:val="0"/>
                <w:smallCaps w:val="0"/>
                <w:snapToGrid/>
                <w:color w:val="auto"/>
                <w:spacing w:val="0"/>
                <w:w w:val="100"/>
                <w:kern w:val="0"/>
                <w:sz w:val="21"/>
                <w:szCs w:val="21"/>
                <w:highlight w:val="none"/>
                <w:vertAlign w:val="superscript"/>
                <w:lang w:val="en-US" w:eastAsia="zh-CN" w:bidi="ar-SA"/>
              </w:rPr>
              <w:t>2</w:t>
            </w:r>
            <w:r>
              <w:rPr>
                <w:rFonts w:hint="eastAsia" w:cs="Times New Roman"/>
                <w:caps w:val="0"/>
                <w:smallCaps w:val="0"/>
                <w:snapToGrid/>
                <w:color w:val="auto"/>
                <w:spacing w:val="0"/>
                <w:w w:val="100"/>
                <w:kern w:val="0"/>
                <w:sz w:val="21"/>
                <w:szCs w:val="21"/>
                <w:highlight w:val="none"/>
                <w:vertAlign w:val="baseline"/>
                <w:lang w:val="en-US" w:eastAsia="zh-CN" w:bidi="ar-SA"/>
              </w:rPr>
              <w:t>/d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7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c>
          <w:tcPr>
            <w:tcW w:w="95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潜水含水层</w:t>
            </w:r>
          </w:p>
        </w:tc>
        <w:tc>
          <w:tcPr>
            <w:tcW w:w="71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75</w:t>
            </w:r>
          </w:p>
        </w:tc>
        <w:tc>
          <w:tcPr>
            <w:tcW w:w="71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0.00056</w:t>
            </w:r>
          </w:p>
        </w:tc>
        <w:tc>
          <w:tcPr>
            <w:tcW w:w="71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0.32</w:t>
            </w:r>
          </w:p>
        </w:tc>
        <w:tc>
          <w:tcPr>
            <w:tcW w:w="71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0.5</w:t>
            </w:r>
          </w:p>
        </w:tc>
        <w:tc>
          <w:tcPr>
            <w:tcW w:w="71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0.01</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（7）</w:t>
      </w:r>
      <w:r>
        <w:rPr>
          <w:rFonts w:hint="default" w:cs="Times New Roman"/>
          <w:caps w:val="0"/>
          <w:smallCaps w:val="0"/>
          <w:snapToGrid/>
          <w:color w:val="auto"/>
          <w:spacing w:val="0"/>
          <w:w w:val="100"/>
          <w:kern w:val="0"/>
          <w:sz w:val="24"/>
          <w:szCs w:val="24"/>
          <w:highlight w:val="none"/>
          <w:vertAlign w:val="baseline"/>
          <w:lang w:val="en-US" w:eastAsia="zh-CN" w:bidi="ar-SA"/>
        </w:rPr>
        <w:t>预测结果与分析</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①</w:t>
      </w:r>
      <w:r>
        <w:rPr>
          <w:rFonts w:hint="eastAsia" w:cs="Times New Roman"/>
          <w:caps w:val="0"/>
          <w:smallCaps w:val="0"/>
          <w:snapToGrid/>
          <w:color w:val="auto"/>
          <w:spacing w:val="0"/>
          <w:w w:val="100"/>
          <w:kern w:val="0"/>
          <w:sz w:val="24"/>
          <w:szCs w:val="24"/>
          <w:highlight w:val="none"/>
          <w:vertAlign w:val="baseline"/>
          <w:lang w:val="en-US" w:eastAsia="zh-CN" w:bidi="ar-SA"/>
        </w:rPr>
        <w:t>隔油沉砂池</w:t>
      </w:r>
      <w:r>
        <w:rPr>
          <w:rFonts w:hint="default" w:cs="Times New Roman"/>
          <w:caps w:val="0"/>
          <w:smallCaps w:val="0"/>
          <w:snapToGrid/>
          <w:color w:val="auto"/>
          <w:spacing w:val="0"/>
          <w:w w:val="100"/>
          <w:kern w:val="0"/>
          <w:sz w:val="24"/>
          <w:szCs w:val="24"/>
          <w:highlight w:val="none"/>
          <w:vertAlign w:val="baseline"/>
          <w:lang w:val="en-US" w:eastAsia="zh-CN" w:bidi="ar-SA"/>
        </w:rPr>
        <w:t>泄漏地下水环境影响分析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1）</w:t>
      </w:r>
      <w:r>
        <w:rPr>
          <w:rFonts w:hint="default" w:cs="Times New Roman"/>
          <w:caps w:val="0"/>
          <w:smallCaps w:val="0"/>
          <w:snapToGrid/>
          <w:color w:val="auto"/>
          <w:spacing w:val="0"/>
          <w:w w:val="100"/>
          <w:kern w:val="0"/>
          <w:sz w:val="24"/>
          <w:szCs w:val="24"/>
          <w:highlight w:val="none"/>
          <w:vertAlign w:val="baseline"/>
          <w:lang w:val="en-US" w:eastAsia="zh-CN" w:bidi="ar-SA"/>
        </w:rPr>
        <w:t>地下水中</w:t>
      </w:r>
      <w:r>
        <w:rPr>
          <w:rFonts w:hint="eastAsia" w:cs="Times New Roman"/>
          <w:caps w:val="0"/>
          <w:smallCaps w:val="0"/>
          <w:snapToGrid/>
          <w:color w:val="auto"/>
          <w:spacing w:val="0"/>
          <w:w w:val="100"/>
          <w:kern w:val="0"/>
          <w:sz w:val="24"/>
          <w:szCs w:val="24"/>
          <w:highlight w:val="none"/>
          <w:vertAlign w:val="baseline"/>
          <w:lang w:val="en-US" w:eastAsia="zh-CN" w:bidi="ar-SA"/>
        </w:rPr>
        <w:t>COD</w:t>
      </w:r>
      <w:r>
        <w:rPr>
          <w:rFonts w:hint="default" w:cs="Times New Roman"/>
          <w:caps w:val="0"/>
          <w:smallCaps w:val="0"/>
          <w:snapToGrid/>
          <w:color w:val="auto"/>
          <w:spacing w:val="0"/>
          <w:w w:val="100"/>
          <w:kern w:val="0"/>
          <w:sz w:val="24"/>
          <w:szCs w:val="24"/>
          <w:highlight w:val="none"/>
          <w:vertAlign w:val="baseline"/>
          <w:lang w:val="en-US" w:eastAsia="zh-CN" w:bidi="ar-SA"/>
        </w:rPr>
        <w:t>污染物预测结果</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5.2-14预处理车间池体泄漏地下水COD预测结果一览表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02"/>
        <w:gridCol w:w="1330"/>
        <w:gridCol w:w="1216"/>
        <w:gridCol w:w="1217"/>
        <w:gridCol w:w="1217"/>
        <w:gridCol w:w="1217"/>
        <w:gridCol w:w="12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含水层</w:t>
            </w: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运移时间/d</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下游最大浓度（mg/L）</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影响范围（m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超标范围（m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超标距离为下游（m）</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影响距离为下游（m）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潜水含水层</w:t>
            </w: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100</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7.03E-01</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365</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2.11E+02</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813</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419</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31</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1000</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2.11E+02</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2099</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1135</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51</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72</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根据预测结果：非正常状况下，预处理车间池体全部防渗破损，废水泄漏100d，潜水含水层地下水中COD最大浓度均为0.703mg/L，不超过《地下水质量标准》（GB/T14848-2017）中III类标准限值3.0mg/L限值要求。</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废水泄漏365d，潜水含水层地下水中COD最大浓度均为2.11E+02mg/L，下游超标距离为31m，影响距离为44m，超标范围419m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，影响范围813m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；废水泄漏1000d，潜水含水层地下水中COD最大浓度均为2.11E+02mg/L，下游超标距离为51m，影响距离为72m，超标范围1135m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，影响范围2099m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，超过《地下水质量标准》（GB/T14848-2017）中III类标准限值3.0mg/L限值要求。</w:t>
      </w:r>
    </w:p>
    <w:p>
      <w:pPr>
        <w:pStyle w:val="2"/>
        <w:ind w:left="0" w:leftChars="0" w:firstLine="0" w:firstLineChars="0"/>
        <w:rPr>
          <w:rFonts w:hint="eastAsia" w:cs="Times New Roman"/>
          <w:caps w:val="0"/>
          <w:smallCaps w:val="0"/>
          <w:snapToGrid/>
          <w:color w:val="auto"/>
          <w:spacing w:val="0"/>
          <w:w w:val="100"/>
          <w:kern w:val="0"/>
          <w:sz w:val="24"/>
          <w:szCs w:val="24"/>
          <w:highlight w:val="none"/>
          <w:vertAlign w:val="baseline"/>
          <w:lang w:val="en-US" w:eastAsia="zh-CN" w:bidi="ar-SA"/>
        </w:rPr>
      </w:pPr>
      <w:r>
        <w:rPr>
          <w:color w:val="auto"/>
          <w:sz w:val="24"/>
          <w:highlight w:val="none"/>
        </w:rPr>
        <mc:AlternateContent>
          <mc:Choice Requires="wps">
            <w:drawing>
              <wp:anchor distT="0" distB="0" distL="114300" distR="114300" simplePos="0" relativeHeight="251669504" behindDoc="0" locked="0" layoutInCell="1" allowOverlap="1">
                <wp:simplePos x="0" y="0"/>
                <wp:positionH relativeFrom="column">
                  <wp:posOffset>3528060</wp:posOffset>
                </wp:positionH>
                <wp:positionV relativeFrom="paragraph">
                  <wp:posOffset>718820</wp:posOffset>
                </wp:positionV>
                <wp:extent cx="1035685" cy="305435"/>
                <wp:effectExtent l="4445" t="4445" r="7620" b="13970"/>
                <wp:wrapNone/>
                <wp:docPr id="32" name="文本框 32"/>
                <wp:cNvGraphicFramePr/>
                <a:graphic xmlns:a="http://schemas.openxmlformats.org/drawingml/2006/main">
                  <a:graphicData uri="http://schemas.microsoft.com/office/word/2010/wordprocessingShape">
                    <wps:wsp>
                      <wps:cNvSpPr txBox="1"/>
                      <wps:spPr>
                        <a:xfrm>
                          <a:off x="4742815" y="1633220"/>
                          <a:ext cx="1035685" cy="3054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8pt;margin-top:56.6pt;height:24.05pt;width:81.55pt;z-index:251669504;mso-width-relative:page;mso-height-relative:page;" fillcolor="#FFFFFF [3201]" filled="t" stroked="t" coordsize="21600,21600" o:gfxdata="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JLB9H1wAAAAsBAAAPAAAAAAAAAAEAIAAAACIAAABkcnMvZG93bnJldi54bWxQSwECFAAU&#10;AAAACACHTuJAtoe8yGQCAADFBAAADgAAAAAAAAABACAAAAAmAQAAZHJzL2Uyb0RvYy54bWxQSwUG&#10;AAAAAAYABgBZAQAA/AUAAAAA&#10;">
                <v:fill on="t" focussize="0,0"/>
                <v:stroke weight="0.5pt" color="#000000 [3204]" joinstyle="round"/>
                <v:imagedata o:title=""/>
                <o:lock v:ext="edit" aspectratio="f"/>
                <v:textbo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v:textbox>
              </v:shape>
            </w:pict>
          </mc:Fallback>
        </mc:AlternateContent>
      </w:r>
      <w:r>
        <w:rPr>
          <w:color w:val="auto"/>
          <w:sz w:val="24"/>
          <w:highlight w:val="none"/>
        </w:rPr>
        <mc:AlternateContent>
          <mc:Choice Requires="wps">
            <w:drawing>
              <wp:anchor distT="0" distB="0" distL="114300" distR="114300" simplePos="0" relativeHeight="251668480" behindDoc="0" locked="0" layoutInCell="1" allowOverlap="1">
                <wp:simplePos x="0" y="0"/>
                <wp:positionH relativeFrom="column">
                  <wp:posOffset>3449955</wp:posOffset>
                </wp:positionH>
                <wp:positionV relativeFrom="paragraph">
                  <wp:posOffset>480060</wp:posOffset>
                </wp:positionV>
                <wp:extent cx="0" cy="587375"/>
                <wp:effectExtent l="38100" t="0" r="38100" b="3175"/>
                <wp:wrapNone/>
                <wp:docPr id="27" name="直接连接符 27"/>
                <wp:cNvGraphicFramePr/>
                <a:graphic xmlns:a="http://schemas.openxmlformats.org/drawingml/2006/main">
                  <a:graphicData uri="http://schemas.microsoft.com/office/word/2010/wordprocessingShape">
                    <wps:wsp>
                      <wps:cNvCnPr/>
                      <wps:spPr>
                        <a:xfrm>
                          <a:off x="4594860" y="1394460"/>
                          <a:ext cx="0" cy="587375"/>
                        </a:xfrm>
                        <a:prstGeom prst="line">
                          <a:avLst/>
                        </a:prstGeom>
                        <a:ln w="19050">
                          <a:solidFill>
                            <a:srgbClr val="FF0000"/>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71.65pt;margin-top:37.8pt;height:46.25pt;width:0pt;z-index:251668480;mso-width-relative:page;mso-height-relative:page;" filled="f" stroked="t" coordsize="21600,21600" o:gfxdata="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nbYdlNcAAAAKAQAADwAA&#10;AAAAAAABACAAAAAiAAAAZHJzL2Rvd25yZXYueG1sUEsBAhQAFAAAAAgAh07iQEshT80XAgAABQQA&#10;AA4AAAAAAAAAAQAgAAAAJgEAAGRycy9lMm9Eb2MueG1sUEsFBgAAAAAGAAYAWQEAAK8FAAAAAA==&#10;">
                <v:fill on="f" focussize="0,0"/>
                <v:stroke weight="1.5pt" color="#FF0000 [3204]" miterlimit="8" joinstyle="miter" endarrow="block"/>
                <v:imagedata o:title=""/>
                <o:lock v:ext="edit" aspectratio="f"/>
              </v:line>
            </w:pict>
          </mc:Fallback>
        </mc:AlternateContent>
      </w:r>
      <w:r>
        <w:rPr>
          <w:rFonts w:hint="eastAsia"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5264785" cy="4508500"/>
            <wp:effectExtent l="0" t="0" r="12065" b="6350"/>
            <wp:docPr id="24" name="图片 24" descr="情景一COD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情景一COD365"/>
                    <pic:cNvPicPr>
                      <a:picLocks noChangeAspect="1"/>
                    </pic:cNvPicPr>
                  </pic:nvPicPr>
                  <pic:blipFill>
                    <a:blip r:embed="rId41"/>
                    <a:stretch>
                      <a:fillRect/>
                    </a:stretch>
                  </pic:blipFill>
                  <pic:spPr>
                    <a:xfrm>
                      <a:off x="0" y="0"/>
                      <a:ext cx="5264785" cy="450850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w:t>
      </w:r>
      <w:r>
        <w:rPr>
          <w:rFonts w:hint="eastAsia" w:cs="Times New Roman"/>
          <w:b/>
          <w:bCs/>
          <w:caps w:val="0"/>
          <w:smallCaps w:val="0"/>
          <w:snapToGrid/>
          <w:color w:val="auto"/>
          <w:spacing w:val="0"/>
          <w:w w:val="100"/>
          <w:kern w:val="0"/>
          <w:sz w:val="21"/>
          <w:szCs w:val="21"/>
          <w:highlight w:val="none"/>
          <w:lang w:val="en-US" w:eastAsia="zh-CN" w:bidi="ar-SA"/>
        </w:rPr>
        <w:t>5.2-1预处理车间池体365dCOD预测图</w:t>
      </w:r>
    </w:p>
    <w:p>
      <w:pPr>
        <w:pStyle w:val="2"/>
        <w:ind w:left="0" w:leftChars="0" w:firstLine="0" w:firstLineChars="0"/>
        <w:rPr>
          <w:rFonts w:hint="eastAsia" w:cs="Times New Roman"/>
          <w:caps w:val="0"/>
          <w:smallCaps w:val="0"/>
          <w:snapToGrid/>
          <w:color w:val="auto"/>
          <w:spacing w:val="0"/>
          <w:w w:val="100"/>
          <w:kern w:val="0"/>
          <w:sz w:val="24"/>
          <w:szCs w:val="24"/>
          <w:highlight w:val="none"/>
          <w:vertAlign w:val="baseline"/>
          <w:lang w:val="en-US" w:eastAsia="zh-CN" w:bidi="ar-SA"/>
        </w:rPr>
      </w:pPr>
      <w:r>
        <w:rPr>
          <w:color w:val="auto"/>
          <w:sz w:val="24"/>
          <w:highlight w:val="none"/>
        </w:rPr>
        <mc:AlternateContent>
          <mc:Choice Requires="wps">
            <w:drawing>
              <wp:anchor distT="0" distB="0" distL="114300" distR="114300" simplePos="0" relativeHeight="251671552" behindDoc="0" locked="0" layoutInCell="1" allowOverlap="1">
                <wp:simplePos x="0" y="0"/>
                <wp:positionH relativeFrom="column">
                  <wp:posOffset>3318510</wp:posOffset>
                </wp:positionH>
                <wp:positionV relativeFrom="paragraph">
                  <wp:posOffset>429895</wp:posOffset>
                </wp:positionV>
                <wp:extent cx="1035685" cy="305435"/>
                <wp:effectExtent l="4445" t="4445" r="7620" b="13970"/>
                <wp:wrapNone/>
                <wp:docPr id="49" name="文本框 49"/>
                <wp:cNvGraphicFramePr/>
                <a:graphic xmlns:a="http://schemas.openxmlformats.org/drawingml/2006/main">
                  <a:graphicData uri="http://schemas.microsoft.com/office/word/2010/wordprocessingShape">
                    <wps:wsp>
                      <wps:cNvSpPr txBox="1"/>
                      <wps:spPr>
                        <a:xfrm>
                          <a:off x="0" y="0"/>
                          <a:ext cx="1035685" cy="3054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1.3pt;margin-top:33.85pt;height:24.05pt;width:81.55pt;z-index:251671552;mso-width-relative:page;mso-height-relative:page;" fillcolor="#FFFFFF [3201]" filled="t" stroked="t" coordsize="21600,21600" o:gfxdata="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VMi2aNYA&#10;AAAKAQAADwAAAAAAAAABACAAAAAiAAAAZHJzL2Rvd25yZXYueG1sUEsBAhQAFAAAAAgAh07iQG1E&#10;Q2NaAgAAuQQAAA4AAAAAAAAAAQAgAAAAJQEAAGRycy9lMm9Eb2MueG1sUEsFBgAAAAAGAAYAWQEA&#10;APEFAAAAAA==&#10;">
                <v:fill on="t" focussize="0,0"/>
                <v:stroke weight="0.5pt" color="#000000 [3204]" joinstyle="round"/>
                <v:imagedata o:title=""/>
                <o:lock v:ext="edit" aspectratio="f"/>
                <v:textbo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v:textbox>
              </v:shape>
            </w:pict>
          </mc:Fallback>
        </mc:AlternateContent>
      </w:r>
      <w:r>
        <w:rPr>
          <w:color w:val="auto"/>
          <w:sz w:val="24"/>
          <w:highlight w:val="none"/>
        </w:rPr>
        <mc:AlternateContent>
          <mc:Choice Requires="wps">
            <w:drawing>
              <wp:anchor distT="0" distB="0" distL="114300" distR="114300" simplePos="0" relativeHeight="251670528" behindDoc="0" locked="0" layoutInCell="1" allowOverlap="1">
                <wp:simplePos x="0" y="0"/>
                <wp:positionH relativeFrom="column">
                  <wp:posOffset>3274060</wp:posOffset>
                </wp:positionH>
                <wp:positionV relativeFrom="paragraph">
                  <wp:posOffset>329565</wp:posOffset>
                </wp:positionV>
                <wp:extent cx="0" cy="587375"/>
                <wp:effectExtent l="38100" t="0" r="38100" b="3175"/>
                <wp:wrapNone/>
                <wp:docPr id="43" name="直接连接符 43"/>
                <wp:cNvGraphicFramePr/>
                <a:graphic xmlns:a="http://schemas.openxmlformats.org/drawingml/2006/main">
                  <a:graphicData uri="http://schemas.microsoft.com/office/word/2010/wordprocessingShape">
                    <wps:wsp>
                      <wps:cNvCnPr/>
                      <wps:spPr>
                        <a:xfrm>
                          <a:off x="0" y="0"/>
                          <a:ext cx="0" cy="587375"/>
                        </a:xfrm>
                        <a:prstGeom prst="line">
                          <a:avLst/>
                        </a:prstGeom>
                        <a:ln w="19050">
                          <a:solidFill>
                            <a:srgbClr val="FF0000"/>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57.8pt;margin-top:25.95pt;height:46.25pt;width:0pt;z-index:251670528;mso-width-relative:page;mso-height-relative:page;" filled="f" stroked="t" coordsize="21600,21600" o:gfxdata="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VjxmTVAAAACgEAAA8AAAAAAAAAAQAgAAAAIgAA&#10;AGRycy9kb3ducmV2LnhtbFBLAQIUABQAAAAIAIdO4kBIpAleCwIAAPkDAAAOAAAAAAAAAAEAIAAA&#10;ACQBAABkcnMvZTJvRG9jLnhtbFBLBQYAAAAABgAGAFkBAAChBQAAAAA=&#10;">
                <v:fill on="f" focussize="0,0"/>
                <v:stroke weight="1.5pt" color="#FF0000 [3204]" miterlimit="8" joinstyle="miter" endarrow="block"/>
                <v:imagedata o:title=""/>
                <o:lock v:ext="edit" aspectratio="f"/>
              </v:line>
            </w:pict>
          </mc:Fallback>
        </mc:AlternateContent>
      </w:r>
      <w:r>
        <w:rPr>
          <w:rFonts w:hint="eastAsia"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5264150" cy="4282440"/>
            <wp:effectExtent l="0" t="0" r="12700" b="3810"/>
            <wp:docPr id="26" name="图片 26" descr="情景一COD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情景一COD1000"/>
                    <pic:cNvPicPr>
                      <a:picLocks noChangeAspect="1"/>
                    </pic:cNvPicPr>
                  </pic:nvPicPr>
                  <pic:blipFill>
                    <a:blip r:embed="rId42"/>
                    <a:stretch>
                      <a:fillRect/>
                    </a:stretch>
                  </pic:blipFill>
                  <pic:spPr>
                    <a:xfrm>
                      <a:off x="0" y="0"/>
                      <a:ext cx="5264150" cy="428244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w:t>
      </w:r>
      <w:r>
        <w:rPr>
          <w:rFonts w:hint="eastAsia" w:cs="Times New Roman"/>
          <w:b/>
          <w:bCs/>
          <w:caps w:val="0"/>
          <w:smallCaps w:val="0"/>
          <w:snapToGrid/>
          <w:color w:val="auto"/>
          <w:spacing w:val="0"/>
          <w:w w:val="100"/>
          <w:kern w:val="0"/>
          <w:sz w:val="21"/>
          <w:szCs w:val="21"/>
          <w:highlight w:val="none"/>
          <w:lang w:val="en-US" w:eastAsia="zh-CN" w:bidi="ar-SA"/>
        </w:rPr>
        <w:t>5.2-2预处理车间池体1000dCOD预测图</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w:t>
      </w:r>
      <w:r>
        <w:rPr>
          <w:rFonts w:hint="default" w:cs="Times New Roman"/>
          <w:caps w:val="0"/>
          <w:smallCaps w:val="0"/>
          <w:snapToGrid/>
          <w:color w:val="auto"/>
          <w:spacing w:val="0"/>
          <w:w w:val="100"/>
          <w:kern w:val="0"/>
          <w:sz w:val="24"/>
          <w:szCs w:val="24"/>
          <w:highlight w:val="none"/>
          <w:vertAlign w:val="baseline"/>
          <w:lang w:val="en-US" w:eastAsia="zh-CN" w:bidi="ar-SA"/>
        </w:rPr>
        <w:t>地下水中</w:t>
      </w:r>
      <w:r>
        <w:rPr>
          <w:rFonts w:hint="eastAsia" w:cs="Times New Roman"/>
          <w:caps w:val="0"/>
          <w:smallCaps w:val="0"/>
          <w:snapToGrid/>
          <w:color w:val="auto"/>
          <w:spacing w:val="0"/>
          <w:w w:val="100"/>
          <w:kern w:val="0"/>
          <w:sz w:val="24"/>
          <w:szCs w:val="24"/>
          <w:highlight w:val="none"/>
          <w:vertAlign w:val="baseline"/>
          <w:lang w:val="en-US" w:eastAsia="zh-CN" w:bidi="ar-SA"/>
        </w:rPr>
        <w:t>石油类</w:t>
      </w:r>
      <w:r>
        <w:rPr>
          <w:rFonts w:hint="default" w:cs="Times New Roman"/>
          <w:caps w:val="0"/>
          <w:smallCaps w:val="0"/>
          <w:snapToGrid/>
          <w:color w:val="auto"/>
          <w:spacing w:val="0"/>
          <w:w w:val="100"/>
          <w:kern w:val="0"/>
          <w:sz w:val="24"/>
          <w:szCs w:val="24"/>
          <w:highlight w:val="none"/>
          <w:vertAlign w:val="baseline"/>
          <w:lang w:val="en-US" w:eastAsia="zh-CN" w:bidi="ar-SA"/>
        </w:rPr>
        <w:t>污染物预测结果</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5.2-15预处理车间池体泄漏地下水石油类预测结果一览表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02"/>
        <w:gridCol w:w="1330"/>
        <w:gridCol w:w="1216"/>
        <w:gridCol w:w="1217"/>
        <w:gridCol w:w="1217"/>
        <w:gridCol w:w="1217"/>
        <w:gridCol w:w="12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含水层</w:t>
            </w: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运移时间/d</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下游最大浓度（mg/L）</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影响范围（m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超标范围（m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超标距离为下游（m）</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影响距离为下游（m）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潜水含水层</w:t>
            </w: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100</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0.366</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63</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11</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365</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0.366</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259</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57</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1000</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0.366</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451</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151</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19</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43</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根据预测结果：非正常状况下，预处理车间池体全部防渗破损，废水泄漏100d，潜水含水层地下水中石油类最大浓度为0.366mg/L，下游超标距离为6m，影响距离为14m，超标范围11m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，影响范围63m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预处理车间池体全部防渗破损，废水泄漏365d，潜水含水层地下水中石油类最大浓度为0.366mg/L，下游超标距离为12m，影响距离为26m，超标范围57m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，影响范围259m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预处理车间池体全部防渗破损，废水泄漏1000d，潜水含水层地下水中石油类最大浓度为0.366mg/L，下游超标距离为19m，影响距离为43m，超标范围151m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，影响范围451m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；均超过《地表水环境质量标准》（GB3838-2002）Ⅲ类标准0.05mg/L限值。</w:t>
      </w:r>
    </w:p>
    <w:p>
      <w:pPr>
        <w:keepNext w:val="0"/>
        <w:keepLines w:val="0"/>
        <w:pageBreakBefore w:val="0"/>
        <w:widowControl/>
        <w:kinsoku w:val="0"/>
        <w:wordWrap/>
        <w:overflowPunct/>
        <w:topLinePunct w:val="0"/>
        <w:autoSpaceDE w:val="0"/>
        <w:autoSpaceDN w:val="0"/>
        <w:bidi w:val="0"/>
        <w:adjustRightInd w:val="0"/>
        <w:snapToGrid w:val="0"/>
        <w:spacing w:line="240" w:lineRule="auto"/>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color w:val="auto"/>
          <w:sz w:val="24"/>
          <w:highlight w:val="none"/>
        </w:rPr>
        <mc:AlternateContent>
          <mc:Choice Requires="wps">
            <w:drawing>
              <wp:anchor distT="0" distB="0" distL="114300" distR="114300" simplePos="0" relativeHeight="251676672" behindDoc="0" locked="0" layoutInCell="1" allowOverlap="1">
                <wp:simplePos x="0" y="0"/>
                <wp:positionH relativeFrom="column">
                  <wp:posOffset>3010535</wp:posOffset>
                </wp:positionH>
                <wp:positionV relativeFrom="paragraph">
                  <wp:posOffset>235585</wp:posOffset>
                </wp:positionV>
                <wp:extent cx="0" cy="587375"/>
                <wp:effectExtent l="38100" t="0" r="38100" b="3175"/>
                <wp:wrapNone/>
                <wp:docPr id="81" name="直接连接符 81"/>
                <wp:cNvGraphicFramePr/>
                <a:graphic xmlns:a="http://schemas.openxmlformats.org/drawingml/2006/main">
                  <a:graphicData uri="http://schemas.microsoft.com/office/word/2010/wordprocessingShape">
                    <wps:wsp>
                      <wps:cNvCnPr/>
                      <wps:spPr>
                        <a:xfrm>
                          <a:off x="0" y="0"/>
                          <a:ext cx="0" cy="587375"/>
                        </a:xfrm>
                        <a:prstGeom prst="line">
                          <a:avLst/>
                        </a:prstGeom>
                        <a:ln w="19050">
                          <a:solidFill>
                            <a:srgbClr val="FF0000"/>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37.05pt;margin-top:18.55pt;height:46.25pt;width:0pt;z-index:251676672;mso-width-relative:page;mso-height-relative:page;" filled="f" stroked="t" coordsize="21600,21600" o:gfxdata="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Mjjm7nWAAAACgEAAA8AAAAAAAAAAQAgAAAAIgAA&#10;AGRycy9kb3ducmV2LnhtbFBLAQIUABQAAAAIAIdO4kDQbMpUCgIAAPkDAAAOAAAAAAAAAAEAIAAA&#10;ACUBAABkcnMvZTJvRG9jLnhtbFBLBQYAAAAABgAGAFkBAAChBQAAAAA=&#10;">
                <v:fill on="f" focussize="0,0"/>
                <v:stroke weight="1.5pt" color="#FF0000 [3204]" miterlimit="8" joinstyle="miter" endarrow="block"/>
                <v:imagedata o:title=""/>
                <o:lock v:ext="edit" aspectratio="f"/>
              </v:line>
            </w:pict>
          </mc:Fallback>
        </mc:AlternateContent>
      </w:r>
      <w:r>
        <w:rPr>
          <w:color w:val="auto"/>
          <w:sz w:val="24"/>
          <w:highlight w:val="none"/>
        </w:rPr>
        <mc:AlternateContent>
          <mc:Choice Requires="wps">
            <w:drawing>
              <wp:anchor distT="0" distB="0" distL="114300" distR="114300" simplePos="0" relativeHeight="251674624" behindDoc="0" locked="0" layoutInCell="1" allowOverlap="1">
                <wp:simplePos x="0" y="0"/>
                <wp:positionH relativeFrom="column">
                  <wp:posOffset>3183890</wp:posOffset>
                </wp:positionH>
                <wp:positionV relativeFrom="paragraph">
                  <wp:posOffset>379095</wp:posOffset>
                </wp:positionV>
                <wp:extent cx="1035685" cy="305435"/>
                <wp:effectExtent l="4445" t="4445" r="7620" b="13970"/>
                <wp:wrapNone/>
                <wp:docPr id="79" name="文本框 79"/>
                <wp:cNvGraphicFramePr/>
                <a:graphic xmlns:a="http://schemas.openxmlformats.org/drawingml/2006/main">
                  <a:graphicData uri="http://schemas.microsoft.com/office/word/2010/wordprocessingShape">
                    <wps:wsp>
                      <wps:cNvSpPr txBox="1"/>
                      <wps:spPr>
                        <a:xfrm>
                          <a:off x="0" y="0"/>
                          <a:ext cx="1035685" cy="3054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0.7pt;margin-top:29.85pt;height:24.05pt;width:81.55pt;z-index:251674624;mso-width-relative:page;mso-height-relative:page;" fillcolor="#FFFFFF [3201]" filled="t" stroked="t" coordsize="21600,21600" o:gfxdata="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GxAJd3X&#10;AAAACgEAAA8AAAAAAAAAAQAgAAAAIgAAAGRycy9kb3ducmV2LnhtbFBLAQIUABQAAAAIAIdO4kBy&#10;hmu4WgIAALkEAAAOAAAAAAAAAAEAIAAAACYBAABkcnMvZTJvRG9jLnhtbFBLBQYAAAAABgAGAFkB&#10;AADyBQAAAAA=&#10;">
                <v:fill on="t" focussize="0,0"/>
                <v:stroke weight="0.5pt" color="#000000 [3204]" joinstyle="round"/>
                <v:imagedata o:title=""/>
                <o:lock v:ext="edit" aspectratio="f"/>
                <v:textbo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v:textbox>
              </v:shape>
            </w:pict>
          </mc:Fallback>
        </mc:AlternateContent>
      </w:r>
      <w:r>
        <w:rPr>
          <w:rFonts w:hint="eastAsia"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5262880" cy="4505960"/>
            <wp:effectExtent l="0" t="0" r="13970" b="8890"/>
            <wp:docPr id="50" name="图片 50" descr="情景一石油类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情景一石油类100"/>
                    <pic:cNvPicPr>
                      <a:picLocks noChangeAspect="1"/>
                    </pic:cNvPicPr>
                  </pic:nvPicPr>
                  <pic:blipFill>
                    <a:blip r:embed="rId43"/>
                    <a:stretch>
                      <a:fillRect/>
                    </a:stretch>
                  </pic:blipFill>
                  <pic:spPr>
                    <a:xfrm>
                      <a:off x="0" y="0"/>
                      <a:ext cx="5262880" cy="450596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w:t>
      </w:r>
      <w:r>
        <w:rPr>
          <w:rFonts w:hint="eastAsia" w:cs="Times New Roman"/>
          <w:b/>
          <w:bCs/>
          <w:caps w:val="0"/>
          <w:smallCaps w:val="0"/>
          <w:snapToGrid/>
          <w:color w:val="auto"/>
          <w:spacing w:val="0"/>
          <w:w w:val="100"/>
          <w:kern w:val="0"/>
          <w:sz w:val="21"/>
          <w:szCs w:val="21"/>
          <w:highlight w:val="none"/>
          <w:lang w:val="en-US" w:eastAsia="zh-CN" w:bidi="ar-SA"/>
        </w:rPr>
        <w:t>5.2-3预处理车间池体100d石油类预测图</w:t>
      </w:r>
    </w:p>
    <w:p>
      <w:pPr>
        <w:pStyle w:val="2"/>
        <w:ind w:left="0" w:leftChars="0" w:firstLine="0" w:firstLineChars="0"/>
        <w:rPr>
          <w:rFonts w:hint="eastAsia"/>
          <w:color w:val="auto"/>
          <w:highlight w:val="none"/>
          <w:lang w:val="en-US" w:eastAsia="zh-CN"/>
        </w:rPr>
      </w:pPr>
      <w:r>
        <w:rPr>
          <w:color w:val="auto"/>
          <w:sz w:val="24"/>
          <w:highlight w:val="none"/>
        </w:rPr>
        <mc:AlternateContent>
          <mc:Choice Requires="wps">
            <w:drawing>
              <wp:anchor distT="0" distB="0" distL="114300" distR="114300" simplePos="0" relativeHeight="251673600" behindDoc="0" locked="0" layoutInCell="1" allowOverlap="1">
                <wp:simplePos x="0" y="0"/>
                <wp:positionH relativeFrom="column">
                  <wp:posOffset>3328035</wp:posOffset>
                </wp:positionH>
                <wp:positionV relativeFrom="paragraph">
                  <wp:posOffset>425450</wp:posOffset>
                </wp:positionV>
                <wp:extent cx="1035685" cy="305435"/>
                <wp:effectExtent l="4445" t="4445" r="7620" b="13970"/>
                <wp:wrapNone/>
                <wp:docPr id="78" name="文本框 78"/>
                <wp:cNvGraphicFramePr/>
                <a:graphic xmlns:a="http://schemas.openxmlformats.org/drawingml/2006/main">
                  <a:graphicData uri="http://schemas.microsoft.com/office/word/2010/wordprocessingShape">
                    <wps:wsp>
                      <wps:cNvSpPr txBox="1"/>
                      <wps:spPr>
                        <a:xfrm>
                          <a:off x="0" y="0"/>
                          <a:ext cx="1035685" cy="3054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2.05pt;margin-top:33.5pt;height:24.05pt;width:81.55pt;z-index:251673600;mso-width-relative:page;mso-height-relative:page;" fillcolor="#FFFFFF [3201]" filled="t" stroked="t" coordsize="21600,21600" o:gfxdata="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Og1uRNcA&#10;AAAKAQAADwAAAAAAAAABACAAAAAiAAAAZHJzL2Rvd25yZXYueG1sUEsBAhQAFAAAAAgAh07iQJQ+&#10;bclZAgAAuQQAAA4AAAAAAAAAAQAgAAAAJgEAAGRycy9lMm9Eb2MueG1sUEsFBgAAAAAGAAYAWQEA&#10;APEFAAAAAA==&#10;">
                <v:fill on="t" focussize="0,0"/>
                <v:stroke weight="0.5pt" color="#000000 [3204]" joinstyle="round"/>
                <v:imagedata o:title=""/>
                <o:lock v:ext="edit" aspectratio="f"/>
                <v:textbo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v:textbox>
              </v:shape>
            </w:pict>
          </mc:Fallback>
        </mc:AlternateContent>
      </w:r>
      <w:r>
        <w:rPr>
          <w:color w:val="auto"/>
          <w:sz w:val="24"/>
          <w:highlight w:val="none"/>
        </w:rPr>
        <mc:AlternateContent>
          <mc:Choice Requires="wps">
            <w:drawing>
              <wp:anchor distT="0" distB="0" distL="114300" distR="114300" simplePos="0" relativeHeight="251672576" behindDoc="0" locked="0" layoutInCell="1" allowOverlap="1">
                <wp:simplePos x="0" y="0"/>
                <wp:positionH relativeFrom="column">
                  <wp:posOffset>3274060</wp:posOffset>
                </wp:positionH>
                <wp:positionV relativeFrom="paragraph">
                  <wp:posOffset>329565</wp:posOffset>
                </wp:positionV>
                <wp:extent cx="0" cy="587375"/>
                <wp:effectExtent l="38100" t="0" r="38100" b="3175"/>
                <wp:wrapNone/>
                <wp:docPr id="54" name="直接连接符 54"/>
                <wp:cNvGraphicFramePr/>
                <a:graphic xmlns:a="http://schemas.openxmlformats.org/drawingml/2006/main">
                  <a:graphicData uri="http://schemas.microsoft.com/office/word/2010/wordprocessingShape">
                    <wps:wsp>
                      <wps:cNvCnPr/>
                      <wps:spPr>
                        <a:xfrm>
                          <a:off x="0" y="0"/>
                          <a:ext cx="0" cy="587375"/>
                        </a:xfrm>
                        <a:prstGeom prst="line">
                          <a:avLst/>
                        </a:prstGeom>
                        <a:ln w="19050">
                          <a:solidFill>
                            <a:srgbClr val="FF0000"/>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57.8pt;margin-top:25.95pt;height:46.25pt;width:0pt;z-index:251672576;mso-width-relative:page;mso-height-relative:page;" filled="f" stroked="t" coordsize="21600,21600" o:gfxdata="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VjxmTVAAAACgEAAA8AAAAAAAAAAQAgAAAAIgAA&#10;AGRycy9kb3ducmV2LnhtbFBLAQIUABQAAAAIAIdO4kCqdHRECwIAAPkDAAAOAAAAAAAAAAEAIAAA&#10;ACQBAABkcnMvZTJvRG9jLnhtbFBLBQYAAAAABgAGAFkBAAChBQAAAAA=&#10;">
                <v:fill on="f" focussize="0,0"/>
                <v:stroke weight="1.5pt" color="#FF0000 [3204]" miterlimit="8" joinstyle="miter" endarrow="block"/>
                <v:imagedata o:title=""/>
                <o:lock v:ext="edit" aspectratio="f"/>
              </v:line>
            </w:pict>
          </mc:Fallback>
        </mc:AlternateContent>
      </w:r>
      <w:r>
        <w:rPr>
          <w:rFonts w:hint="eastAsia"/>
          <w:color w:val="auto"/>
          <w:highlight w:val="none"/>
          <w:lang w:val="en-US" w:eastAsia="zh-CN"/>
        </w:rPr>
        <w:drawing>
          <wp:inline distT="0" distB="0" distL="114300" distR="114300">
            <wp:extent cx="5264785" cy="4427220"/>
            <wp:effectExtent l="0" t="0" r="12065" b="11430"/>
            <wp:docPr id="51" name="图片 51" descr="情景一石油类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情景一石油类365"/>
                    <pic:cNvPicPr>
                      <a:picLocks noChangeAspect="1"/>
                    </pic:cNvPicPr>
                  </pic:nvPicPr>
                  <pic:blipFill>
                    <a:blip r:embed="rId44"/>
                    <a:stretch>
                      <a:fillRect/>
                    </a:stretch>
                  </pic:blipFill>
                  <pic:spPr>
                    <a:xfrm>
                      <a:off x="0" y="0"/>
                      <a:ext cx="5264785" cy="442722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w:t>
      </w:r>
      <w:r>
        <w:rPr>
          <w:rFonts w:hint="eastAsia" w:cs="Times New Roman"/>
          <w:b/>
          <w:bCs/>
          <w:caps w:val="0"/>
          <w:smallCaps w:val="0"/>
          <w:snapToGrid/>
          <w:color w:val="auto"/>
          <w:spacing w:val="0"/>
          <w:w w:val="100"/>
          <w:kern w:val="0"/>
          <w:sz w:val="21"/>
          <w:szCs w:val="21"/>
          <w:highlight w:val="none"/>
          <w:lang w:val="en-US" w:eastAsia="zh-CN" w:bidi="ar-SA"/>
        </w:rPr>
        <w:t>5.2-4预处理车间池体365d石油类预测图</w:t>
      </w:r>
    </w:p>
    <w:p>
      <w:pPr>
        <w:keepNext w:val="0"/>
        <w:keepLines w:val="0"/>
        <w:pageBreakBefore w:val="0"/>
        <w:widowControl/>
        <w:kinsoku w:val="0"/>
        <w:wordWrap/>
        <w:overflowPunct/>
        <w:topLinePunct w:val="0"/>
        <w:autoSpaceDE w:val="0"/>
        <w:autoSpaceDN w:val="0"/>
        <w:bidi w:val="0"/>
        <w:adjustRightInd w:val="0"/>
        <w:snapToGrid w:val="0"/>
        <w:spacing w:line="240" w:lineRule="auto"/>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color w:val="auto"/>
          <w:sz w:val="24"/>
          <w:highlight w:val="none"/>
        </w:rPr>
        <mc:AlternateContent>
          <mc:Choice Requires="wps">
            <w:drawing>
              <wp:anchor distT="0" distB="0" distL="114300" distR="114300" simplePos="0" relativeHeight="251677696" behindDoc="0" locked="0" layoutInCell="1" allowOverlap="1">
                <wp:simplePos x="0" y="0"/>
                <wp:positionH relativeFrom="column">
                  <wp:posOffset>2901315</wp:posOffset>
                </wp:positionH>
                <wp:positionV relativeFrom="paragraph">
                  <wp:posOffset>203835</wp:posOffset>
                </wp:positionV>
                <wp:extent cx="0" cy="587375"/>
                <wp:effectExtent l="38100" t="0" r="38100" b="3175"/>
                <wp:wrapNone/>
                <wp:docPr id="82" name="直接连接符 82"/>
                <wp:cNvGraphicFramePr/>
                <a:graphic xmlns:a="http://schemas.openxmlformats.org/drawingml/2006/main">
                  <a:graphicData uri="http://schemas.microsoft.com/office/word/2010/wordprocessingShape">
                    <wps:wsp>
                      <wps:cNvCnPr/>
                      <wps:spPr>
                        <a:xfrm>
                          <a:off x="0" y="0"/>
                          <a:ext cx="0" cy="587375"/>
                        </a:xfrm>
                        <a:prstGeom prst="line">
                          <a:avLst/>
                        </a:prstGeom>
                        <a:ln w="19050">
                          <a:solidFill>
                            <a:srgbClr val="FF0000"/>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28.45pt;margin-top:16.05pt;height:46.25pt;width:0pt;z-index:251677696;mso-width-relative:page;mso-height-relative:page;" filled="f" stroked="t" coordsize="21600,21600" o:gfxdata="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3CRRb1wAAAAoBAAAPAAAAAAAAAAEAIAAAACIA&#10;AABkcnMvZG93bnJldi54bWxQSwECFAAUAAAACACHTuJA0EpJWwoCAAD5AwAADgAAAAAAAAABACAA&#10;AAAmAQAAZHJzL2Uyb0RvYy54bWxQSwUGAAAAAAYABgBZAQAAogUAAAAA&#10;">
                <v:fill on="f" focussize="0,0"/>
                <v:stroke weight="1.5pt" color="#FF0000 [3204]" miterlimit="8" joinstyle="miter" endarrow="block"/>
                <v:imagedata o:title=""/>
                <o:lock v:ext="edit" aspectratio="f"/>
              </v:line>
            </w:pict>
          </mc:Fallback>
        </mc:AlternateContent>
      </w:r>
      <w:r>
        <w:rPr>
          <w:color w:val="auto"/>
          <w:sz w:val="24"/>
          <w:highlight w:val="none"/>
        </w:rPr>
        <mc:AlternateContent>
          <mc:Choice Requires="wps">
            <w:drawing>
              <wp:anchor distT="0" distB="0" distL="114300" distR="114300" simplePos="0" relativeHeight="251675648" behindDoc="0" locked="0" layoutInCell="1" allowOverlap="1">
                <wp:simplePos x="0" y="0"/>
                <wp:positionH relativeFrom="column">
                  <wp:posOffset>3110230</wp:posOffset>
                </wp:positionH>
                <wp:positionV relativeFrom="paragraph">
                  <wp:posOffset>407035</wp:posOffset>
                </wp:positionV>
                <wp:extent cx="1035685" cy="305435"/>
                <wp:effectExtent l="4445" t="4445" r="7620" b="13970"/>
                <wp:wrapNone/>
                <wp:docPr id="80" name="文本框 80"/>
                <wp:cNvGraphicFramePr/>
                <a:graphic xmlns:a="http://schemas.openxmlformats.org/drawingml/2006/main">
                  <a:graphicData uri="http://schemas.microsoft.com/office/word/2010/wordprocessingShape">
                    <wps:wsp>
                      <wps:cNvSpPr txBox="1"/>
                      <wps:spPr>
                        <a:xfrm>
                          <a:off x="0" y="0"/>
                          <a:ext cx="1035685" cy="3054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4.9pt;margin-top:32.05pt;height:24.05pt;width:81.55pt;z-index:251675648;mso-width-relative:page;mso-height-relative:page;" fillcolor="#FFFFFF [3201]" filled="t" stroked="t" coordsize="21600,21600" o:gfxdata="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uOjAu9cA&#10;AAAKAQAADwAAAAAAAAABACAAAAAiAAAAZHJzL2Rvd25yZXYueG1sUEsBAhQAFAAAAAgAh07iQMcz&#10;0/ZZAgAAuQQAAA4AAAAAAAAAAQAgAAAAJgEAAGRycy9lMm9Eb2MueG1sUEsFBgAAAAAGAAYAWQEA&#10;APEFAAAAAA==&#10;">
                <v:fill on="t" focussize="0,0"/>
                <v:stroke weight="0.5pt" color="#000000 [3204]" joinstyle="round"/>
                <v:imagedata o:title=""/>
                <o:lock v:ext="edit" aspectratio="f"/>
                <v:textbo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v:textbox>
              </v:shape>
            </w:pict>
          </mc:Fallback>
        </mc:AlternateContent>
      </w:r>
      <w:r>
        <w:rPr>
          <w:rFonts w:hint="eastAsia"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5268595" cy="4637405"/>
            <wp:effectExtent l="0" t="0" r="8255" b="10795"/>
            <wp:docPr id="53" name="图片 53" descr="情景一石油类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情景一石油类1000"/>
                    <pic:cNvPicPr>
                      <a:picLocks noChangeAspect="1"/>
                    </pic:cNvPicPr>
                  </pic:nvPicPr>
                  <pic:blipFill>
                    <a:blip r:embed="rId45"/>
                    <a:stretch>
                      <a:fillRect/>
                    </a:stretch>
                  </pic:blipFill>
                  <pic:spPr>
                    <a:xfrm>
                      <a:off x="0" y="0"/>
                      <a:ext cx="5268595" cy="463740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w:t>
      </w:r>
      <w:r>
        <w:rPr>
          <w:rFonts w:hint="eastAsia" w:cs="Times New Roman"/>
          <w:b/>
          <w:bCs/>
          <w:caps w:val="0"/>
          <w:smallCaps w:val="0"/>
          <w:snapToGrid/>
          <w:color w:val="auto"/>
          <w:spacing w:val="0"/>
          <w:w w:val="100"/>
          <w:kern w:val="0"/>
          <w:sz w:val="21"/>
          <w:szCs w:val="21"/>
          <w:highlight w:val="none"/>
          <w:lang w:val="en-US" w:eastAsia="zh-CN" w:bidi="ar-SA"/>
        </w:rPr>
        <w:t>5.2-5预处理车间池体1000d石油类预测图</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olor w:val="auto"/>
          <w:highlight w:val="none"/>
          <w:lang w:val="en-US" w:eastAsia="zh-CN"/>
        </w:rPr>
      </w:pPr>
      <w:r>
        <w:rPr>
          <w:rFonts w:hint="eastAsia" w:cs="Times New Roman"/>
          <w:caps w:val="0"/>
          <w:smallCaps w:val="0"/>
          <w:snapToGrid/>
          <w:color w:val="auto"/>
          <w:spacing w:val="0"/>
          <w:w w:val="100"/>
          <w:kern w:val="0"/>
          <w:sz w:val="24"/>
          <w:szCs w:val="24"/>
          <w:highlight w:val="none"/>
          <w:vertAlign w:val="baseline"/>
          <w:lang w:val="en-US" w:eastAsia="zh-CN" w:bidi="ar-SA"/>
        </w:rPr>
        <w:t>距离本项目站址下游最近的水井为南岗子屯，相对距离3.928km，村屯供水井取水层为承压水井，村屯内潜水井供农业灌溉及畜牧养殖使用，项目预处理车间池体泄漏最远下游影响距离为72m，本项目运行期间，在站址下游220m处设置地下水跟踪监测井，为潜水井监测井，对泄漏情况及时进行监测。</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②</w:t>
      </w:r>
      <w:r>
        <w:rPr>
          <w:rFonts w:hint="eastAsia" w:cs="Times New Roman"/>
          <w:caps w:val="0"/>
          <w:smallCaps w:val="0"/>
          <w:snapToGrid/>
          <w:color w:val="auto"/>
          <w:spacing w:val="0"/>
          <w:w w:val="100"/>
          <w:kern w:val="0"/>
          <w:sz w:val="24"/>
          <w:szCs w:val="24"/>
          <w:highlight w:val="none"/>
          <w:vertAlign w:val="baseline"/>
          <w:lang w:val="en-US" w:eastAsia="zh-CN" w:bidi="ar-SA"/>
        </w:rPr>
        <w:t>储液池区域</w:t>
      </w:r>
      <w:r>
        <w:rPr>
          <w:rFonts w:hint="default" w:cs="Times New Roman"/>
          <w:caps w:val="0"/>
          <w:smallCaps w:val="0"/>
          <w:snapToGrid/>
          <w:color w:val="auto"/>
          <w:spacing w:val="0"/>
          <w:w w:val="100"/>
          <w:kern w:val="0"/>
          <w:sz w:val="24"/>
          <w:szCs w:val="24"/>
          <w:highlight w:val="none"/>
          <w:vertAlign w:val="baseline"/>
          <w:lang w:val="en-US" w:eastAsia="zh-CN" w:bidi="ar-SA"/>
        </w:rPr>
        <w:t>泄漏地下水环境影响分析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1）</w:t>
      </w:r>
      <w:r>
        <w:rPr>
          <w:rFonts w:hint="default" w:cs="Times New Roman"/>
          <w:caps w:val="0"/>
          <w:smallCaps w:val="0"/>
          <w:snapToGrid/>
          <w:color w:val="auto"/>
          <w:spacing w:val="0"/>
          <w:w w:val="100"/>
          <w:kern w:val="0"/>
          <w:sz w:val="24"/>
          <w:szCs w:val="24"/>
          <w:highlight w:val="none"/>
          <w:vertAlign w:val="baseline"/>
          <w:lang w:val="en-US" w:eastAsia="zh-CN" w:bidi="ar-SA"/>
        </w:rPr>
        <w:t>地下水中</w:t>
      </w:r>
      <w:r>
        <w:rPr>
          <w:rFonts w:hint="eastAsia" w:cs="Times New Roman"/>
          <w:caps w:val="0"/>
          <w:smallCaps w:val="0"/>
          <w:snapToGrid/>
          <w:color w:val="auto"/>
          <w:spacing w:val="0"/>
          <w:w w:val="100"/>
          <w:kern w:val="0"/>
          <w:sz w:val="24"/>
          <w:szCs w:val="24"/>
          <w:highlight w:val="none"/>
          <w:vertAlign w:val="baseline"/>
          <w:lang w:val="en-US" w:eastAsia="zh-CN" w:bidi="ar-SA"/>
        </w:rPr>
        <w:t>COD</w:t>
      </w:r>
      <w:r>
        <w:rPr>
          <w:rFonts w:hint="default" w:cs="Times New Roman"/>
          <w:caps w:val="0"/>
          <w:smallCaps w:val="0"/>
          <w:snapToGrid/>
          <w:color w:val="auto"/>
          <w:spacing w:val="0"/>
          <w:w w:val="100"/>
          <w:kern w:val="0"/>
          <w:sz w:val="24"/>
          <w:szCs w:val="24"/>
          <w:highlight w:val="none"/>
          <w:vertAlign w:val="baseline"/>
          <w:lang w:val="en-US" w:eastAsia="zh-CN" w:bidi="ar-SA"/>
        </w:rPr>
        <w:t>污染物预测结果</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5.2-16储液池区域泄漏COD预测结果一览表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02"/>
        <w:gridCol w:w="1330"/>
        <w:gridCol w:w="1216"/>
        <w:gridCol w:w="1217"/>
        <w:gridCol w:w="1217"/>
        <w:gridCol w:w="1217"/>
        <w:gridCol w:w="12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含水层</w:t>
            </w: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运移时间/d</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下游最大浓度（mg/L）</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影响范围（m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超标范围（m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超标距离为下游（m）</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影响距离为下游（m）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潜水含水层</w:t>
            </w: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100</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0.288</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365</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0.288</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1000</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0.288</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根据预测结果：非正常状况下，储液池泄漏100d、365d及1000d后，潜水含水层地下水中COD最大浓度为0.288mg/L，不超过《地下水质量标准》（GB/T14848-2017）中III类标准限值3.0mg/L限值要求。</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w:t>
      </w:r>
      <w:r>
        <w:rPr>
          <w:rFonts w:hint="default" w:cs="Times New Roman"/>
          <w:caps w:val="0"/>
          <w:smallCaps w:val="0"/>
          <w:snapToGrid/>
          <w:color w:val="auto"/>
          <w:spacing w:val="0"/>
          <w:w w:val="100"/>
          <w:kern w:val="0"/>
          <w:sz w:val="24"/>
          <w:szCs w:val="24"/>
          <w:highlight w:val="none"/>
          <w:vertAlign w:val="baseline"/>
          <w:lang w:val="en-US" w:eastAsia="zh-CN" w:bidi="ar-SA"/>
        </w:rPr>
        <w:t>地下水中</w:t>
      </w:r>
      <w:r>
        <w:rPr>
          <w:rFonts w:hint="eastAsia" w:cs="Times New Roman"/>
          <w:caps w:val="0"/>
          <w:smallCaps w:val="0"/>
          <w:snapToGrid/>
          <w:color w:val="auto"/>
          <w:spacing w:val="0"/>
          <w:w w:val="100"/>
          <w:kern w:val="0"/>
          <w:sz w:val="24"/>
          <w:szCs w:val="24"/>
          <w:highlight w:val="none"/>
          <w:vertAlign w:val="baseline"/>
          <w:lang w:val="en-US" w:eastAsia="zh-CN" w:bidi="ar-SA"/>
        </w:rPr>
        <w:t>石油类</w:t>
      </w:r>
      <w:r>
        <w:rPr>
          <w:rFonts w:hint="default" w:cs="Times New Roman"/>
          <w:caps w:val="0"/>
          <w:smallCaps w:val="0"/>
          <w:snapToGrid/>
          <w:color w:val="auto"/>
          <w:spacing w:val="0"/>
          <w:w w:val="100"/>
          <w:kern w:val="0"/>
          <w:sz w:val="24"/>
          <w:szCs w:val="24"/>
          <w:highlight w:val="none"/>
          <w:vertAlign w:val="baseline"/>
          <w:lang w:val="en-US" w:eastAsia="zh-CN" w:bidi="ar-SA"/>
        </w:rPr>
        <w:t>污染物预测结果</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5.2-16储液池区域泄漏石油类预测结果一览表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02"/>
        <w:gridCol w:w="1330"/>
        <w:gridCol w:w="1216"/>
        <w:gridCol w:w="1217"/>
        <w:gridCol w:w="1217"/>
        <w:gridCol w:w="1217"/>
        <w:gridCol w:w="12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含水层</w:t>
            </w: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运移时间/d</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下游最大浓度（mg/L）</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影响范围（m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超标范围（m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超标距离为下游（m）</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影响距离为下游（m）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潜水含水层</w:t>
            </w: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100</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0.0231</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365</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0.0231</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1000</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0.0231</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根据预测结果：非正常状况下，储液池泄漏100d、365d及1000d后，潜水含水层地下水中石油类最大浓度均为0.0231mg/L，不超过《地表水环境质量标准》（GB3838-2002）Ⅲ类标准0.05mg/L限值。</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③输液管道</w:t>
      </w:r>
      <w:r>
        <w:rPr>
          <w:rFonts w:hint="default" w:cs="Times New Roman"/>
          <w:caps w:val="0"/>
          <w:smallCaps w:val="0"/>
          <w:snapToGrid/>
          <w:color w:val="auto"/>
          <w:spacing w:val="0"/>
          <w:w w:val="100"/>
          <w:kern w:val="0"/>
          <w:sz w:val="24"/>
          <w:szCs w:val="24"/>
          <w:highlight w:val="none"/>
          <w:vertAlign w:val="baseline"/>
          <w:lang w:val="en-US" w:eastAsia="zh-CN" w:bidi="ar-SA"/>
        </w:rPr>
        <w:t>泄漏地下水环境影响分析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1）</w:t>
      </w:r>
      <w:r>
        <w:rPr>
          <w:rFonts w:hint="default" w:cs="Times New Roman"/>
          <w:caps w:val="0"/>
          <w:smallCaps w:val="0"/>
          <w:snapToGrid/>
          <w:color w:val="auto"/>
          <w:spacing w:val="0"/>
          <w:w w:val="100"/>
          <w:kern w:val="0"/>
          <w:sz w:val="24"/>
          <w:szCs w:val="24"/>
          <w:highlight w:val="none"/>
          <w:vertAlign w:val="baseline"/>
          <w:lang w:val="en-US" w:eastAsia="zh-CN" w:bidi="ar-SA"/>
        </w:rPr>
        <w:t>地下水中</w:t>
      </w:r>
      <w:r>
        <w:rPr>
          <w:rFonts w:hint="eastAsia" w:cs="Times New Roman"/>
          <w:caps w:val="0"/>
          <w:smallCaps w:val="0"/>
          <w:snapToGrid/>
          <w:color w:val="auto"/>
          <w:spacing w:val="0"/>
          <w:w w:val="100"/>
          <w:kern w:val="0"/>
          <w:sz w:val="24"/>
          <w:szCs w:val="24"/>
          <w:highlight w:val="none"/>
          <w:vertAlign w:val="baseline"/>
          <w:lang w:val="en-US" w:eastAsia="zh-CN" w:bidi="ar-SA"/>
        </w:rPr>
        <w:t>COD</w:t>
      </w:r>
      <w:r>
        <w:rPr>
          <w:rFonts w:hint="default" w:cs="Times New Roman"/>
          <w:caps w:val="0"/>
          <w:smallCaps w:val="0"/>
          <w:snapToGrid/>
          <w:color w:val="auto"/>
          <w:spacing w:val="0"/>
          <w:w w:val="100"/>
          <w:kern w:val="0"/>
          <w:sz w:val="24"/>
          <w:szCs w:val="24"/>
          <w:highlight w:val="none"/>
          <w:vertAlign w:val="baseline"/>
          <w:lang w:val="en-US" w:eastAsia="zh-CN" w:bidi="ar-SA"/>
        </w:rPr>
        <w:t>污染物预测结果</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5.2-16输液管道泄漏COD预测结果一览表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02"/>
        <w:gridCol w:w="1330"/>
        <w:gridCol w:w="1216"/>
        <w:gridCol w:w="1217"/>
        <w:gridCol w:w="1217"/>
        <w:gridCol w:w="1217"/>
        <w:gridCol w:w="12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含水层</w:t>
            </w: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运移时间/d</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下游最大浓度（mg/L）</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影响范围（m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超标范围（m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超标距离为下游（m）</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影响距离为下游（m）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潜水含水层</w:t>
            </w: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100</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9.38</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51</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9" w:hRule="atLeast"/>
        </w:trPr>
        <w:tc>
          <w:tcPr>
            <w:tcW w:w="110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365</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9.38</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105</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1000</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9.38</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189</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33</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根据预测结果：非正常状况下，输液管道破损，废水泄漏100d，潜水含水层地下水中COD最大浓度为9.38mg/L，下游超标距离为3m，影响距离为11m，超标范围5m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，影响范围51m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废水泄漏365d，潜水含水层地下水中COD最大浓度为9.38mg/L，下游超标距离为5m，影响距离为20m，超标范围9m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，影响范围105m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废水泄漏1000d，潜水含水层地下水中COD最大浓度为9.38mg/L，下游超标距离为7m，影响距离为33m，超标范围13m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，影响范围189m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；均超过地下水质量标准》（GB/T14848-2017）中III类标准限值3.0mg/L。</w:t>
      </w:r>
    </w:p>
    <w:p>
      <w:pPr>
        <w:pStyle w:val="2"/>
        <w:ind w:left="0" w:leftChars="0" w:firstLine="0" w:firstLineChars="0"/>
        <w:rPr>
          <w:rFonts w:hint="eastAsia" w:cs="Times New Roman"/>
          <w:caps w:val="0"/>
          <w:smallCaps w:val="0"/>
          <w:snapToGrid/>
          <w:color w:val="auto"/>
          <w:spacing w:val="0"/>
          <w:w w:val="100"/>
          <w:kern w:val="0"/>
          <w:sz w:val="24"/>
          <w:szCs w:val="24"/>
          <w:highlight w:val="none"/>
          <w:vertAlign w:val="baseline"/>
          <w:lang w:val="en-US" w:eastAsia="zh-CN" w:bidi="ar-SA"/>
        </w:rPr>
      </w:pPr>
      <w:r>
        <w:rPr>
          <w:color w:val="auto"/>
          <w:sz w:val="24"/>
          <w:highlight w:val="none"/>
        </w:rPr>
        <mc:AlternateContent>
          <mc:Choice Requires="wps">
            <w:drawing>
              <wp:anchor distT="0" distB="0" distL="114300" distR="114300" simplePos="0" relativeHeight="251679744" behindDoc="0" locked="0" layoutInCell="1" allowOverlap="1">
                <wp:simplePos x="0" y="0"/>
                <wp:positionH relativeFrom="column">
                  <wp:posOffset>2465070</wp:posOffset>
                </wp:positionH>
                <wp:positionV relativeFrom="paragraph">
                  <wp:posOffset>450850</wp:posOffset>
                </wp:positionV>
                <wp:extent cx="1035685" cy="305435"/>
                <wp:effectExtent l="4445" t="4445" r="7620" b="13970"/>
                <wp:wrapNone/>
                <wp:docPr id="87" name="文本框 87"/>
                <wp:cNvGraphicFramePr/>
                <a:graphic xmlns:a="http://schemas.openxmlformats.org/drawingml/2006/main">
                  <a:graphicData uri="http://schemas.microsoft.com/office/word/2010/wordprocessingShape">
                    <wps:wsp>
                      <wps:cNvSpPr txBox="1"/>
                      <wps:spPr>
                        <a:xfrm>
                          <a:off x="0" y="0"/>
                          <a:ext cx="1035685" cy="3054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4.1pt;margin-top:35.5pt;height:24.05pt;width:81.55pt;z-index:251679744;mso-width-relative:page;mso-height-relative:page;" fillcolor="#FFFFFF [3201]" filled="t" stroked="t" coordsize="21600,21600" o:gfxdata="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QrMmxdYA&#10;AAAKAQAADwAAAAAAAAABACAAAAAiAAAAZHJzL2Rvd25yZXYueG1sUEsBAhQAFAAAAAgAh07iQDQf&#10;s3paAgAAuQQAAA4AAAAAAAAAAQAgAAAAJQEAAGRycy9lMm9Eb2MueG1sUEsFBgAAAAAGAAYAWQEA&#10;APEFAAAAAA==&#10;">
                <v:fill on="t" focussize="0,0"/>
                <v:stroke weight="0.5pt" color="#000000 [3204]" joinstyle="round"/>
                <v:imagedata o:title=""/>
                <o:lock v:ext="edit" aspectratio="f"/>
                <v:textbo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v:textbox>
              </v:shape>
            </w:pict>
          </mc:Fallback>
        </mc:AlternateContent>
      </w:r>
      <w:r>
        <w:rPr>
          <w:color w:val="auto"/>
          <w:sz w:val="24"/>
          <w:highlight w:val="none"/>
        </w:rPr>
        <mc:AlternateContent>
          <mc:Choice Requires="wps">
            <w:drawing>
              <wp:anchor distT="0" distB="0" distL="114300" distR="114300" simplePos="0" relativeHeight="251663360" behindDoc="0" locked="0" layoutInCell="1" allowOverlap="1">
                <wp:simplePos x="0" y="0"/>
                <wp:positionH relativeFrom="column">
                  <wp:posOffset>3579495</wp:posOffset>
                </wp:positionH>
                <wp:positionV relativeFrom="paragraph">
                  <wp:posOffset>272415</wp:posOffset>
                </wp:positionV>
                <wp:extent cx="3810" cy="855345"/>
                <wp:effectExtent l="34925" t="0" r="37465" b="1905"/>
                <wp:wrapNone/>
                <wp:docPr id="56" name="直接连接符 56"/>
                <wp:cNvGraphicFramePr/>
                <a:graphic xmlns:a="http://schemas.openxmlformats.org/drawingml/2006/main">
                  <a:graphicData uri="http://schemas.microsoft.com/office/word/2010/wordprocessingShape">
                    <wps:wsp>
                      <wps:cNvCnPr/>
                      <wps:spPr>
                        <a:xfrm>
                          <a:off x="4395470" y="1196340"/>
                          <a:ext cx="3810" cy="855345"/>
                        </a:xfrm>
                        <a:prstGeom prst="line">
                          <a:avLst/>
                        </a:prstGeom>
                        <a:ln w="19050">
                          <a:solidFill>
                            <a:srgbClr val="FF0000"/>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81.85pt;margin-top:21.45pt;height:67.35pt;width:0.3pt;z-index:251663360;mso-width-relative:page;mso-height-relative:page;" filled="f" stroked="t" coordsize="21600,21600" o:gfxdata="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Lma+r2QAAAAoB&#10;AAAPAAAAAAAAAAEAIAAAACIAAABkcnMvZG93bnJldi54bWxQSwECFAAUAAAACACHTuJAe0GFaBoC&#10;AAAIBAAADgAAAAAAAAABACAAAAAoAQAAZHJzL2Uyb0RvYy54bWxQSwUGAAAAAAYABgBZAQAAtAUA&#10;AAAA&#10;">
                <v:fill on="f" focussize="0,0"/>
                <v:stroke weight="1.5pt" color="#FF0000 [3204]" miterlimit="8" joinstyle="miter" endarrow="block"/>
                <v:imagedata o:title=""/>
                <o:lock v:ext="edit" aspectratio="f"/>
              </v:line>
            </w:pict>
          </mc:Fallback>
        </mc:AlternateContent>
      </w:r>
      <w:r>
        <w:rPr>
          <w:rFonts w:hint="eastAsia"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5263515" cy="4290695"/>
            <wp:effectExtent l="0" t="0" r="13335" b="14605"/>
            <wp:docPr id="83" name="图片 83" descr="情景三COD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情景三COD100"/>
                    <pic:cNvPicPr>
                      <a:picLocks noChangeAspect="1"/>
                    </pic:cNvPicPr>
                  </pic:nvPicPr>
                  <pic:blipFill>
                    <a:blip r:embed="rId46"/>
                    <a:stretch>
                      <a:fillRect/>
                    </a:stretch>
                  </pic:blipFill>
                  <pic:spPr>
                    <a:xfrm>
                      <a:off x="0" y="0"/>
                      <a:ext cx="5263515" cy="429069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w:t>
      </w:r>
      <w:r>
        <w:rPr>
          <w:rFonts w:hint="eastAsia" w:cs="Times New Roman"/>
          <w:b/>
          <w:bCs/>
          <w:caps w:val="0"/>
          <w:smallCaps w:val="0"/>
          <w:snapToGrid/>
          <w:color w:val="auto"/>
          <w:spacing w:val="0"/>
          <w:w w:val="100"/>
          <w:kern w:val="0"/>
          <w:sz w:val="21"/>
          <w:szCs w:val="21"/>
          <w:highlight w:val="none"/>
          <w:lang w:val="en-US" w:eastAsia="zh-CN" w:bidi="ar-SA"/>
        </w:rPr>
        <w:t>5.2-6输液管道100dCOD预测图</w:t>
      </w:r>
    </w:p>
    <w:p>
      <w:pPr>
        <w:rPr>
          <w:rFonts w:hint="eastAsia"/>
          <w:color w:val="auto"/>
          <w:highlight w:val="none"/>
          <w:lang w:val="en-US" w:eastAsia="zh-CN"/>
        </w:rPr>
      </w:pPr>
      <w:r>
        <w:rPr>
          <w:color w:val="auto"/>
          <w:sz w:val="24"/>
          <w:highlight w:val="none"/>
        </w:rPr>
        <mc:AlternateContent>
          <mc:Choice Requires="wps">
            <w:drawing>
              <wp:anchor distT="0" distB="0" distL="114300" distR="114300" simplePos="0" relativeHeight="251680768" behindDoc="0" locked="0" layoutInCell="1" allowOverlap="1">
                <wp:simplePos x="0" y="0"/>
                <wp:positionH relativeFrom="column">
                  <wp:posOffset>2390775</wp:posOffset>
                </wp:positionH>
                <wp:positionV relativeFrom="paragraph">
                  <wp:posOffset>365125</wp:posOffset>
                </wp:positionV>
                <wp:extent cx="1035685" cy="305435"/>
                <wp:effectExtent l="4445" t="4445" r="7620" b="13970"/>
                <wp:wrapNone/>
                <wp:docPr id="88" name="文本框 88"/>
                <wp:cNvGraphicFramePr/>
                <a:graphic xmlns:a="http://schemas.openxmlformats.org/drawingml/2006/main">
                  <a:graphicData uri="http://schemas.microsoft.com/office/word/2010/wordprocessingShape">
                    <wps:wsp>
                      <wps:cNvSpPr txBox="1"/>
                      <wps:spPr>
                        <a:xfrm>
                          <a:off x="0" y="0"/>
                          <a:ext cx="1035685" cy="3054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25pt;margin-top:28.75pt;height:24.05pt;width:81.55pt;z-index:251680768;mso-width-relative:page;mso-height-relative:page;" fillcolor="#FFFFFF [3201]" filled="t" stroked="t" coordsize="21600,21600" o:gfxdata="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PG03fNYA&#10;AAAKAQAADwAAAAAAAAABACAAAAAiAAAAZHJzL2Rvd25yZXYueG1sUEsBAhQAFAAAAAgAh07iQHX4&#10;BMhaAgAAuQQAAA4AAAAAAAAAAQAgAAAAJQEAAGRycy9lMm9Eb2MueG1sUEsFBgAAAAAGAAYAWQEA&#10;APEFAAAAAA==&#10;">
                <v:fill on="t" focussize="0,0"/>
                <v:stroke weight="0.5pt" color="#000000 [3204]" joinstyle="round"/>
                <v:imagedata o:title=""/>
                <o:lock v:ext="edit" aspectratio="f"/>
                <v:textbo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v:textbox>
              </v:shape>
            </w:pict>
          </mc:Fallback>
        </mc:AlternateContent>
      </w:r>
      <w:r>
        <w:rPr>
          <w:color w:val="auto"/>
          <w:sz w:val="24"/>
          <w:highlight w:val="none"/>
        </w:rPr>
        <mc:AlternateContent>
          <mc:Choice Requires="wps">
            <w:drawing>
              <wp:anchor distT="0" distB="0" distL="114300" distR="114300" simplePos="0" relativeHeight="251678720" behindDoc="0" locked="0" layoutInCell="1" allowOverlap="1">
                <wp:simplePos x="0" y="0"/>
                <wp:positionH relativeFrom="column">
                  <wp:posOffset>3615690</wp:posOffset>
                </wp:positionH>
                <wp:positionV relativeFrom="paragraph">
                  <wp:posOffset>482600</wp:posOffset>
                </wp:positionV>
                <wp:extent cx="635" cy="779145"/>
                <wp:effectExtent l="38100" t="0" r="37465" b="1905"/>
                <wp:wrapNone/>
                <wp:docPr id="86" name="直接连接符 86"/>
                <wp:cNvGraphicFramePr/>
                <a:graphic xmlns:a="http://schemas.openxmlformats.org/drawingml/2006/main">
                  <a:graphicData uri="http://schemas.microsoft.com/office/word/2010/wordprocessingShape">
                    <wps:wsp>
                      <wps:cNvCnPr/>
                      <wps:spPr>
                        <a:xfrm flipH="1">
                          <a:off x="0" y="0"/>
                          <a:ext cx="635" cy="779145"/>
                        </a:xfrm>
                        <a:prstGeom prst="line">
                          <a:avLst/>
                        </a:prstGeom>
                        <a:ln w="19050">
                          <a:solidFill>
                            <a:srgbClr val="FF0000"/>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84.7pt;margin-top:38pt;height:61.35pt;width:0.05pt;z-index:251678720;mso-width-relative:page;mso-height-relative:page;" filled="f" stroked="t" coordsize="21600,21600" o:gfxdata="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O6Fnq2gAAAAoBAAAP&#10;AAAAAAAAAAEAIAAAACIAAABkcnMvZG93bnJldi54bWxQSwECFAAUAAAACACHTuJAcfJWZBYCAAAF&#10;BAAADgAAAAAAAAABACAAAAApAQAAZHJzL2Uyb0RvYy54bWxQSwUGAAAAAAYABgBZAQAAsQUAAAAA&#10;">
                <v:fill on="f" focussize="0,0"/>
                <v:stroke weight="1.5pt" color="#FF0000 [3204]" miterlimit="8" joinstyle="miter" endarrow="block"/>
                <v:imagedata o:title=""/>
                <o:lock v:ext="edit" aspectratio="f"/>
              </v:line>
            </w:pict>
          </mc:Fallback>
        </mc:AlternateContent>
      </w:r>
      <w:r>
        <w:rPr>
          <w:rFonts w:hint="eastAsia"/>
          <w:color w:val="auto"/>
          <w:highlight w:val="none"/>
          <w:lang w:val="en-US" w:eastAsia="zh-CN"/>
        </w:rPr>
        <w:drawing>
          <wp:inline distT="0" distB="0" distL="114300" distR="114300">
            <wp:extent cx="5268595" cy="4491355"/>
            <wp:effectExtent l="0" t="0" r="8255" b="4445"/>
            <wp:docPr id="84" name="图片 84" descr="情景三COD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情景三COD365"/>
                    <pic:cNvPicPr>
                      <a:picLocks noChangeAspect="1"/>
                    </pic:cNvPicPr>
                  </pic:nvPicPr>
                  <pic:blipFill>
                    <a:blip r:embed="rId47"/>
                    <a:stretch>
                      <a:fillRect/>
                    </a:stretch>
                  </pic:blipFill>
                  <pic:spPr>
                    <a:xfrm>
                      <a:off x="0" y="0"/>
                      <a:ext cx="5268595" cy="449135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w:t>
      </w:r>
      <w:r>
        <w:rPr>
          <w:rFonts w:hint="eastAsia" w:cs="Times New Roman"/>
          <w:b/>
          <w:bCs/>
          <w:caps w:val="0"/>
          <w:smallCaps w:val="0"/>
          <w:snapToGrid/>
          <w:color w:val="auto"/>
          <w:spacing w:val="0"/>
          <w:w w:val="100"/>
          <w:kern w:val="0"/>
          <w:sz w:val="21"/>
          <w:szCs w:val="21"/>
          <w:highlight w:val="none"/>
          <w:lang w:val="en-US" w:eastAsia="zh-CN" w:bidi="ar-SA"/>
        </w:rPr>
        <w:t>5.2-7输液管道365dCOD预测图</w:t>
      </w:r>
    </w:p>
    <w:p>
      <w:pPr>
        <w:rPr>
          <w:rFonts w:hint="eastAsia" w:cs="Times New Roman"/>
          <w:caps w:val="0"/>
          <w:smallCaps w:val="0"/>
          <w:snapToGrid/>
          <w:color w:val="auto"/>
          <w:spacing w:val="0"/>
          <w:w w:val="100"/>
          <w:kern w:val="0"/>
          <w:sz w:val="24"/>
          <w:szCs w:val="24"/>
          <w:highlight w:val="none"/>
          <w:vertAlign w:val="baseline"/>
          <w:lang w:val="en-US" w:eastAsia="zh-CN" w:bidi="ar-SA"/>
        </w:rPr>
      </w:pPr>
      <w:r>
        <w:rPr>
          <w:color w:val="auto"/>
          <w:sz w:val="24"/>
          <w:highlight w:val="none"/>
        </w:rPr>
        <mc:AlternateContent>
          <mc:Choice Requires="wps">
            <w:drawing>
              <wp:anchor distT="0" distB="0" distL="114300" distR="114300" simplePos="0" relativeHeight="251681792" behindDoc="0" locked="0" layoutInCell="1" allowOverlap="1">
                <wp:simplePos x="0" y="0"/>
                <wp:positionH relativeFrom="column">
                  <wp:posOffset>2592070</wp:posOffset>
                </wp:positionH>
                <wp:positionV relativeFrom="paragraph">
                  <wp:posOffset>433070</wp:posOffset>
                </wp:positionV>
                <wp:extent cx="1035685" cy="305435"/>
                <wp:effectExtent l="4445" t="4445" r="7620" b="13970"/>
                <wp:wrapNone/>
                <wp:docPr id="89" name="文本框 89"/>
                <wp:cNvGraphicFramePr/>
                <a:graphic xmlns:a="http://schemas.openxmlformats.org/drawingml/2006/main">
                  <a:graphicData uri="http://schemas.microsoft.com/office/word/2010/wordprocessingShape">
                    <wps:wsp>
                      <wps:cNvSpPr txBox="1"/>
                      <wps:spPr>
                        <a:xfrm>
                          <a:off x="0" y="0"/>
                          <a:ext cx="1035685" cy="3054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1pt;margin-top:34.1pt;height:24.05pt;width:81.55pt;z-index:251681792;mso-width-relative:page;mso-height-relative:page;" fillcolor="#FFFFFF [3201]" filled="t" stroked="t" coordsize="21600,21600" o:gfxdata="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72AlbW&#10;AAAACgEAAA8AAAAAAAAAAQAgAAAAIgAAAGRycy9kb3ducmV2LnhtbFBLAQIUABQAAAAIAIdO4kCT&#10;QAK5WwIAALkEAAAOAAAAAAAAAAEAIAAAACUBAABkcnMvZTJvRG9jLnhtbFBLBQYAAAAABgAGAFkB&#10;AADyBQAAAAA=&#10;">
                <v:fill on="t" focussize="0,0"/>
                <v:stroke weight="0.5pt" color="#000000 [3204]" joinstyle="round"/>
                <v:imagedata o:title=""/>
                <o:lock v:ext="edit" aspectratio="f"/>
                <v:textbo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v:textbox>
              </v:shape>
            </w:pict>
          </mc:Fallback>
        </mc:AlternateContent>
      </w:r>
      <w:r>
        <w:rPr>
          <w:color w:val="auto"/>
          <w:sz w:val="24"/>
          <w:highlight w:val="none"/>
        </w:rPr>
        <mc:AlternateContent>
          <mc:Choice Requires="wps">
            <w:drawing>
              <wp:anchor distT="0" distB="0" distL="114300" distR="114300" simplePos="0" relativeHeight="251667456" behindDoc="0" locked="0" layoutInCell="1" allowOverlap="1">
                <wp:simplePos x="0" y="0"/>
                <wp:positionH relativeFrom="column">
                  <wp:posOffset>3702050</wp:posOffset>
                </wp:positionH>
                <wp:positionV relativeFrom="paragraph">
                  <wp:posOffset>387985</wp:posOffset>
                </wp:positionV>
                <wp:extent cx="635" cy="779145"/>
                <wp:effectExtent l="38100" t="0" r="37465" b="1905"/>
                <wp:wrapNone/>
                <wp:docPr id="67" name="直接连接符 67"/>
                <wp:cNvGraphicFramePr/>
                <a:graphic xmlns:a="http://schemas.openxmlformats.org/drawingml/2006/main">
                  <a:graphicData uri="http://schemas.microsoft.com/office/word/2010/wordprocessingShape">
                    <wps:wsp>
                      <wps:cNvCnPr/>
                      <wps:spPr>
                        <a:xfrm flipH="1">
                          <a:off x="0" y="0"/>
                          <a:ext cx="635" cy="779145"/>
                        </a:xfrm>
                        <a:prstGeom prst="line">
                          <a:avLst/>
                        </a:prstGeom>
                        <a:ln w="19050">
                          <a:solidFill>
                            <a:srgbClr val="FF0000"/>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91.5pt;margin-top:30.55pt;height:61.35pt;width:0.05pt;z-index:251667456;mso-width-relative:page;mso-height-relative:page;" filled="f" stroked="t" coordsize="21600,21600" o:gfxdata="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Ol2xAbaAAAACgEA&#10;AA8AAAAAAAAAAQAgAAAAIgAAAGRycy9kb3ducmV2LnhtbFBLAQIUABQAAAAIAIdO4kAQlTypGAIA&#10;AAUEAAAOAAAAAAAAAAEAIAAAACkBAABkcnMvZTJvRG9jLnhtbFBLBQYAAAAABgAGAFkBAACzBQAA&#10;AAA=&#10;">
                <v:fill on="f" focussize="0,0"/>
                <v:stroke weight="1.5pt" color="#FF0000 [3204]" miterlimit="8" joinstyle="miter" endarrow="block"/>
                <v:imagedata o:title=""/>
                <o:lock v:ext="edit" aspectratio="f"/>
              </v:line>
            </w:pict>
          </mc:Fallback>
        </mc:AlternateContent>
      </w:r>
      <w:r>
        <w:rPr>
          <w:rFonts w:hint="eastAsia"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5268595" cy="4491355"/>
            <wp:effectExtent l="0" t="0" r="8255" b="4445"/>
            <wp:docPr id="85" name="图片 85" descr="情景三COD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情景三COD1000"/>
                    <pic:cNvPicPr>
                      <a:picLocks noChangeAspect="1"/>
                    </pic:cNvPicPr>
                  </pic:nvPicPr>
                  <pic:blipFill>
                    <a:blip r:embed="rId47"/>
                    <a:stretch>
                      <a:fillRect/>
                    </a:stretch>
                  </pic:blipFill>
                  <pic:spPr>
                    <a:xfrm>
                      <a:off x="0" y="0"/>
                      <a:ext cx="5268595" cy="449135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w:t>
      </w:r>
      <w:r>
        <w:rPr>
          <w:rFonts w:hint="eastAsia" w:cs="Times New Roman"/>
          <w:b/>
          <w:bCs/>
          <w:caps w:val="0"/>
          <w:smallCaps w:val="0"/>
          <w:snapToGrid/>
          <w:color w:val="auto"/>
          <w:spacing w:val="0"/>
          <w:w w:val="100"/>
          <w:kern w:val="0"/>
          <w:sz w:val="21"/>
          <w:szCs w:val="21"/>
          <w:highlight w:val="none"/>
          <w:lang w:val="en-US" w:eastAsia="zh-CN" w:bidi="ar-SA"/>
        </w:rPr>
        <w:t>5.2-8输液管道1000dCOD预测图</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w:t>
      </w:r>
      <w:r>
        <w:rPr>
          <w:rFonts w:hint="default" w:cs="Times New Roman"/>
          <w:caps w:val="0"/>
          <w:smallCaps w:val="0"/>
          <w:snapToGrid/>
          <w:color w:val="auto"/>
          <w:spacing w:val="0"/>
          <w:w w:val="100"/>
          <w:kern w:val="0"/>
          <w:sz w:val="24"/>
          <w:szCs w:val="24"/>
          <w:highlight w:val="none"/>
          <w:vertAlign w:val="baseline"/>
          <w:lang w:val="en-US" w:eastAsia="zh-CN" w:bidi="ar-SA"/>
        </w:rPr>
        <w:t>地下水中</w:t>
      </w:r>
      <w:r>
        <w:rPr>
          <w:rFonts w:hint="eastAsia" w:cs="Times New Roman"/>
          <w:caps w:val="0"/>
          <w:smallCaps w:val="0"/>
          <w:snapToGrid/>
          <w:color w:val="auto"/>
          <w:spacing w:val="0"/>
          <w:w w:val="100"/>
          <w:kern w:val="0"/>
          <w:sz w:val="24"/>
          <w:szCs w:val="24"/>
          <w:highlight w:val="none"/>
          <w:vertAlign w:val="baseline"/>
          <w:lang w:val="en-US" w:eastAsia="zh-CN" w:bidi="ar-SA"/>
        </w:rPr>
        <w:t>石油类</w:t>
      </w:r>
      <w:r>
        <w:rPr>
          <w:rFonts w:hint="default" w:cs="Times New Roman"/>
          <w:caps w:val="0"/>
          <w:smallCaps w:val="0"/>
          <w:snapToGrid/>
          <w:color w:val="auto"/>
          <w:spacing w:val="0"/>
          <w:w w:val="100"/>
          <w:kern w:val="0"/>
          <w:sz w:val="24"/>
          <w:szCs w:val="24"/>
          <w:highlight w:val="none"/>
          <w:vertAlign w:val="baseline"/>
          <w:lang w:val="en-US" w:eastAsia="zh-CN" w:bidi="ar-SA"/>
        </w:rPr>
        <w:t>污染物预测结果</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5.2-16输液管道泄漏石油类预测结果一览表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02"/>
        <w:gridCol w:w="1330"/>
        <w:gridCol w:w="1216"/>
        <w:gridCol w:w="1217"/>
        <w:gridCol w:w="1217"/>
        <w:gridCol w:w="1217"/>
        <w:gridCol w:w="12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含水层</w:t>
            </w: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运移时间/d</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下游最大浓度（mg/L）</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影响范围（m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超标范围（m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超标距离为下游（m）</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影响距离为下游（m）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潜水含水层</w:t>
            </w: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100</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1.63</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143</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67</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365</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1.63</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555</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267</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25</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3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1000</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1.63</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1505</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714</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41</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62</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根据预测结果：非正常状况下，输液管道泄漏100d后，潜水含水层地下水中石油类最大浓度为</w:t>
      </w:r>
      <w:r>
        <w:rPr>
          <w:rFonts w:hint="eastAsia" w:cs="Times New Roman"/>
          <w:color w:val="auto"/>
          <w:sz w:val="24"/>
          <w:szCs w:val="24"/>
          <w:highlight w:val="none"/>
          <w:vertAlign w:val="baseline"/>
          <w:lang w:val="en-US" w:eastAsia="zh-CN"/>
        </w:rPr>
        <w:t>1.63</w:t>
      </w:r>
      <w:r>
        <w:rPr>
          <w:rFonts w:hint="eastAsia" w:cs="Times New Roman"/>
          <w:caps w:val="0"/>
          <w:smallCaps w:val="0"/>
          <w:snapToGrid/>
          <w:color w:val="auto"/>
          <w:spacing w:val="0"/>
          <w:w w:val="100"/>
          <w:kern w:val="0"/>
          <w:sz w:val="24"/>
          <w:szCs w:val="24"/>
          <w:highlight w:val="none"/>
          <w:vertAlign w:val="baseline"/>
          <w:lang w:val="en-US" w:eastAsia="zh-CN" w:bidi="ar-SA"/>
        </w:rPr>
        <w:t>mg/L，下游超标距离为13m，影响距离为20m，超标范围67m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，影响范围143m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废水泄漏365d，潜水含水层地下水中石油类最大浓度为</w:t>
      </w:r>
      <w:r>
        <w:rPr>
          <w:rFonts w:hint="eastAsia" w:cs="Times New Roman"/>
          <w:color w:val="auto"/>
          <w:sz w:val="24"/>
          <w:szCs w:val="24"/>
          <w:highlight w:val="none"/>
          <w:vertAlign w:val="baseline"/>
          <w:lang w:val="en-US" w:eastAsia="zh-CN"/>
        </w:rPr>
        <w:t>1.63</w:t>
      </w:r>
      <w:r>
        <w:rPr>
          <w:rFonts w:hint="eastAsia" w:cs="Times New Roman"/>
          <w:caps w:val="0"/>
          <w:smallCaps w:val="0"/>
          <w:snapToGrid/>
          <w:color w:val="auto"/>
          <w:spacing w:val="0"/>
          <w:w w:val="100"/>
          <w:kern w:val="0"/>
          <w:sz w:val="24"/>
          <w:szCs w:val="24"/>
          <w:highlight w:val="none"/>
          <w:vertAlign w:val="baseline"/>
          <w:lang w:val="en-US" w:eastAsia="zh-CN" w:bidi="ar-SA"/>
        </w:rPr>
        <w:t>mg/L，下游超标距离为25m，影响距离为37m，超标范围267m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，影响范围555m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废水泄漏1000d，潜水含水层地下水中石油类最大浓度为</w:t>
      </w:r>
      <w:r>
        <w:rPr>
          <w:rFonts w:hint="eastAsia" w:cs="Times New Roman"/>
          <w:color w:val="auto"/>
          <w:sz w:val="24"/>
          <w:szCs w:val="24"/>
          <w:highlight w:val="none"/>
          <w:vertAlign w:val="baseline"/>
          <w:lang w:val="en-US" w:eastAsia="zh-CN"/>
        </w:rPr>
        <w:t>1.63</w:t>
      </w:r>
      <w:r>
        <w:rPr>
          <w:rFonts w:hint="eastAsia" w:cs="Times New Roman"/>
          <w:caps w:val="0"/>
          <w:smallCaps w:val="0"/>
          <w:snapToGrid/>
          <w:color w:val="auto"/>
          <w:spacing w:val="0"/>
          <w:w w:val="100"/>
          <w:kern w:val="0"/>
          <w:sz w:val="24"/>
          <w:szCs w:val="24"/>
          <w:highlight w:val="none"/>
          <w:vertAlign w:val="baseline"/>
          <w:lang w:val="en-US" w:eastAsia="zh-CN" w:bidi="ar-SA"/>
        </w:rPr>
        <w:t>mg/L，下游超标距离为41m，影响距离为62m，超标范围714m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，影响范围1505m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vertAlign w:val="baseline"/>
          <w:lang w:val="en-US" w:eastAsia="zh-CN" w:bidi="ar-SA"/>
        </w:rPr>
        <w:t>；均超过《地表水环境质量标准》（GB3838-2002）Ⅲ类标准限值0.05mg/L。</w:t>
      </w:r>
    </w:p>
    <w:p>
      <w:pPr>
        <w:keepNext w:val="0"/>
        <w:keepLines w:val="0"/>
        <w:pageBreakBefore w:val="0"/>
        <w:widowControl/>
        <w:tabs>
          <w:tab w:val="left" w:pos="5670"/>
        </w:tabs>
        <w:kinsoku w:val="0"/>
        <w:wordWrap/>
        <w:overflowPunct/>
        <w:topLinePunct w:val="0"/>
        <w:autoSpaceDE w:val="0"/>
        <w:autoSpaceDN w:val="0"/>
        <w:bidi w:val="0"/>
        <w:adjustRightInd w:val="0"/>
        <w:snapToGrid w:val="0"/>
        <w:spacing w:line="240" w:lineRule="auto"/>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color w:val="auto"/>
          <w:sz w:val="24"/>
          <w:highlight w:val="none"/>
        </w:rPr>
        <mc:AlternateContent>
          <mc:Choice Requires="wps">
            <w:drawing>
              <wp:anchor distT="0" distB="0" distL="114300" distR="114300" simplePos="0" relativeHeight="251682816" behindDoc="0" locked="0" layoutInCell="1" allowOverlap="1">
                <wp:simplePos x="0" y="0"/>
                <wp:positionH relativeFrom="column">
                  <wp:posOffset>3076575</wp:posOffset>
                </wp:positionH>
                <wp:positionV relativeFrom="paragraph">
                  <wp:posOffset>299720</wp:posOffset>
                </wp:positionV>
                <wp:extent cx="1035685" cy="305435"/>
                <wp:effectExtent l="4445" t="4445" r="7620" b="13970"/>
                <wp:wrapNone/>
                <wp:docPr id="93" name="文本框 93"/>
                <wp:cNvGraphicFramePr/>
                <a:graphic xmlns:a="http://schemas.openxmlformats.org/drawingml/2006/main">
                  <a:graphicData uri="http://schemas.microsoft.com/office/word/2010/wordprocessingShape">
                    <wps:wsp>
                      <wps:cNvSpPr txBox="1"/>
                      <wps:spPr>
                        <a:xfrm>
                          <a:off x="0" y="0"/>
                          <a:ext cx="1035685" cy="3054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2.25pt;margin-top:23.6pt;height:24.05pt;width:81.55pt;z-index:251682816;mso-width-relative:page;mso-height-relative:page;" fillcolor="#FFFFFF [3201]" filled="t" stroked="t" coordsize="21600,21600" o:gfxdata="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G9w40TX&#10;AAAACQEAAA8AAAAAAAAAAQAgAAAAIgAAAGRycy9kb3ducmV2LnhtbFBLAQIUABQAAAAIAIdO4kAY&#10;u8AsWgIAALkEAAAOAAAAAAAAAAEAIAAAACYBAABkcnMvZTJvRG9jLnhtbFBLBQYAAAAABgAGAFkB&#10;AADyBQAAAAA=&#10;">
                <v:fill on="t" focussize="0,0"/>
                <v:stroke weight="0.5pt" color="#000000 [3204]" joinstyle="round"/>
                <v:imagedata o:title=""/>
                <o:lock v:ext="edit" aspectratio="f"/>
                <v:textbo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v:textbox>
              </v:shape>
            </w:pict>
          </mc:Fallback>
        </mc:AlternateContent>
      </w:r>
      <w:r>
        <w:rPr>
          <w:color w:val="auto"/>
          <w:sz w:val="20"/>
          <w:highlight w:val="none"/>
        </w:rPr>
        <mc:AlternateContent>
          <mc:Choice Requires="wps">
            <w:drawing>
              <wp:anchor distT="0" distB="0" distL="114300" distR="114300" simplePos="0" relativeHeight="251664384" behindDoc="0" locked="0" layoutInCell="1" allowOverlap="1">
                <wp:simplePos x="0" y="0"/>
                <wp:positionH relativeFrom="column">
                  <wp:posOffset>3055620</wp:posOffset>
                </wp:positionH>
                <wp:positionV relativeFrom="paragraph">
                  <wp:posOffset>246380</wp:posOffset>
                </wp:positionV>
                <wp:extent cx="1270" cy="700405"/>
                <wp:effectExtent l="38100" t="0" r="36830" b="4445"/>
                <wp:wrapNone/>
                <wp:docPr id="61" name="直接连接符 61"/>
                <wp:cNvGraphicFramePr/>
                <a:graphic xmlns:a="http://schemas.openxmlformats.org/drawingml/2006/main">
                  <a:graphicData uri="http://schemas.microsoft.com/office/word/2010/wordprocessingShape">
                    <wps:wsp>
                      <wps:cNvCnPr/>
                      <wps:spPr>
                        <a:xfrm flipH="1">
                          <a:off x="4903470" y="1295400"/>
                          <a:ext cx="1270" cy="700405"/>
                        </a:xfrm>
                        <a:prstGeom prst="line">
                          <a:avLst/>
                        </a:prstGeom>
                        <a:ln w="19050">
                          <a:solidFill>
                            <a:srgbClr val="FF0000"/>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40.6pt;margin-top:19.4pt;height:55.15pt;width:0.1pt;z-index:251664384;mso-width-relative:page;mso-height-relative:page;" filled="f" stroked="t" coordsize="21600,21600" o:gfxdata="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N&#10;Bg/g2gAAAAoBAAAPAAAAAAAAAAEAIAAAACIAAABkcnMvZG93bnJldi54bWxQSwECFAAUAAAACACH&#10;TuJA+dejPCICAAASBAAADgAAAAAAAAABACAAAAApAQAAZHJzL2Uyb0RvYy54bWxQSwUGAAAAAAYA&#10;BgBZAQAAvQUAAAAA&#10;">
                <v:fill on="f" focussize="0,0"/>
                <v:stroke weight="1.5pt" color="#FF0000 [3204]" miterlimit="8" joinstyle="miter" endarrow="block"/>
                <v:imagedata o:title=""/>
                <o:lock v:ext="edit" aspectratio="f"/>
              </v:line>
            </w:pict>
          </mc:Fallback>
        </mc:AlternateContent>
      </w:r>
      <w:r>
        <w:rPr>
          <w:rFonts w:hint="eastAsia"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5263515" cy="4290695"/>
            <wp:effectExtent l="0" t="0" r="13335" b="14605"/>
            <wp:docPr id="90" name="图片 90" descr="情景三COD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情景三COD100"/>
                    <pic:cNvPicPr>
                      <a:picLocks noChangeAspect="1"/>
                    </pic:cNvPicPr>
                  </pic:nvPicPr>
                  <pic:blipFill>
                    <a:blip r:embed="rId46"/>
                    <a:stretch>
                      <a:fillRect/>
                    </a:stretch>
                  </pic:blipFill>
                  <pic:spPr>
                    <a:xfrm>
                      <a:off x="0" y="0"/>
                      <a:ext cx="5263515" cy="429069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w:t>
      </w:r>
      <w:r>
        <w:rPr>
          <w:rFonts w:hint="eastAsia" w:cs="Times New Roman"/>
          <w:b/>
          <w:bCs/>
          <w:caps w:val="0"/>
          <w:smallCaps w:val="0"/>
          <w:snapToGrid/>
          <w:color w:val="auto"/>
          <w:spacing w:val="0"/>
          <w:w w:val="100"/>
          <w:kern w:val="0"/>
          <w:sz w:val="21"/>
          <w:szCs w:val="21"/>
          <w:highlight w:val="none"/>
          <w:lang w:val="en-US" w:eastAsia="zh-CN" w:bidi="ar-SA"/>
        </w:rPr>
        <w:t>5.2-8输液管道100d石油类预测图</w:t>
      </w:r>
    </w:p>
    <w:p>
      <w:pPr>
        <w:pStyle w:val="2"/>
        <w:ind w:left="0" w:leftChars="0" w:firstLine="0" w:firstLineChars="0"/>
        <w:rPr>
          <w:rFonts w:hint="eastAsia" w:cs="Times New Roman"/>
          <w:caps w:val="0"/>
          <w:smallCaps w:val="0"/>
          <w:snapToGrid/>
          <w:color w:val="auto"/>
          <w:spacing w:val="0"/>
          <w:w w:val="100"/>
          <w:kern w:val="0"/>
          <w:sz w:val="24"/>
          <w:szCs w:val="24"/>
          <w:highlight w:val="none"/>
          <w:vertAlign w:val="baseline"/>
          <w:lang w:val="en-US" w:eastAsia="zh-CN" w:bidi="ar-SA"/>
        </w:rPr>
      </w:pPr>
      <w:r>
        <w:rPr>
          <w:color w:val="auto"/>
          <w:sz w:val="24"/>
          <w:highlight w:val="none"/>
        </w:rPr>
        <mc:AlternateContent>
          <mc:Choice Requires="wps">
            <w:drawing>
              <wp:anchor distT="0" distB="0" distL="114300" distR="114300" simplePos="0" relativeHeight="251683840" behindDoc="0" locked="0" layoutInCell="1" allowOverlap="1">
                <wp:simplePos x="0" y="0"/>
                <wp:positionH relativeFrom="column">
                  <wp:posOffset>2480310</wp:posOffset>
                </wp:positionH>
                <wp:positionV relativeFrom="paragraph">
                  <wp:posOffset>391160</wp:posOffset>
                </wp:positionV>
                <wp:extent cx="1035685" cy="305435"/>
                <wp:effectExtent l="4445" t="4445" r="7620" b="13970"/>
                <wp:wrapNone/>
                <wp:docPr id="94" name="文本框 94"/>
                <wp:cNvGraphicFramePr/>
                <a:graphic xmlns:a="http://schemas.openxmlformats.org/drawingml/2006/main">
                  <a:graphicData uri="http://schemas.microsoft.com/office/word/2010/wordprocessingShape">
                    <wps:wsp>
                      <wps:cNvSpPr txBox="1"/>
                      <wps:spPr>
                        <a:xfrm>
                          <a:off x="0" y="0"/>
                          <a:ext cx="1035685" cy="3054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3pt;margin-top:30.8pt;height:24.05pt;width:81.55pt;z-index:251683840;mso-width-relative:page;mso-height-relative:page;" fillcolor="#FFFFFF [3201]" filled="t" stroked="t" coordsize="21600,21600" o:gfxdata="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BZ4rz/X&#10;AAAACgEAAA8AAAAAAAAAAQAgAAAAIgAAAGRycy9kb3ducmV2LnhtbFBLAQIUABQAAAAIAIdO4kDr&#10;l6CgWgIAALkEAAAOAAAAAAAAAAEAIAAAACYBAABkcnMvZTJvRG9jLnhtbFBLBQYAAAAABgAGAFkB&#10;AADyBQAAAAA=&#10;">
                <v:fill on="t" focussize="0,0"/>
                <v:stroke weight="0.5pt" color="#000000 [3204]" joinstyle="round"/>
                <v:imagedata o:title=""/>
                <o:lock v:ext="edit" aspectratio="f"/>
                <v:textbo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v:textbox>
              </v:shape>
            </w:pict>
          </mc:Fallback>
        </mc:AlternateContent>
      </w:r>
      <w:r>
        <w:rPr>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3793490</wp:posOffset>
                </wp:positionH>
                <wp:positionV relativeFrom="paragraph">
                  <wp:posOffset>290195</wp:posOffset>
                </wp:positionV>
                <wp:extent cx="635" cy="798830"/>
                <wp:effectExtent l="37465" t="0" r="38100" b="1270"/>
                <wp:wrapNone/>
                <wp:docPr id="65" name="直接连接符 65"/>
                <wp:cNvGraphicFramePr/>
                <a:graphic xmlns:a="http://schemas.openxmlformats.org/drawingml/2006/main">
                  <a:graphicData uri="http://schemas.microsoft.com/office/word/2010/wordprocessingShape">
                    <wps:wsp>
                      <wps:cNvCnPr/>
                      <wps:spPr>
                        <a:xfrm>
                          <a:off x="4331970" y="1577340"/>
                          <a:ext cx="635" cy="798830"/>
                        </a:xfrm>
                        <a:prstGeom prst="line">
                          <a:avLst/>
                        </a:prstGeom>
                        <a:ln w="19050">
                          <a:solidFill>
                            <a:srgbClr val="FF0000"/>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98.7pt;margin-top:22.85pt;height:62.9pt;width:0.05pt;z-index:251666432;mso-width-relative:page;mso-height-relative:page;" filled="f" stroked="t" coordsize="21600,21600" o:gfxdata="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2Ca781wAAAAoB&#10;AAAPAAAAAAAAAAEAIAAAACIAAABkcnMvZG93bnJldi54bWxQSwECFAAUAAAACACHTuJA1IGMSBwC&#10;AAAHBAAADgAAAAAAAAABACAAAAAmAQAAZHJzL2Uyb0RvYy54bWxQSwUGAAAAAAYABgBZAQAAtAUA&#10;AAAA&#10;">
                <v:fill on="f" focussize="0,0"/>
                <v:stroke weight="1.5pt" color="#FF0000 [3204]" miterlimit="8" joinstyle="miter" endarrow="block"/>
                <v:imagedata o:title=""/>
                <o:lock v:ext="edit" aspectratio="f"/>
              </v:line>
            </w:pict>
          </mc:Fallback>
        </mc:AlternateContent>
      </w:r>
      <w:r>
        <w:rPr>
          <w:rFonts w:hint="eastAsia"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5265420" cy="4498975"/>
            <wp:effectExtent l="0" t="0" r="11430" b="15875"/>
            <wp:docPr id="91" name="图片 91" descr="情景三石油类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情景三石油类365"/>
                    <pic:cNvPicPr>
                      <a:picLocks noChangeAspect="1"/>
                    </pic:cNvPicPr>
                  </pic:nvPicPr>
                  <pic:blipFill>
                    <a:blip r:embed="rId48"/>
                    <a:stretch>
                      <a:fillRect/>
                    </a:stretch>
                  </pic:blipFill>
                  <pic:spPr>
                    <a:xfrm>
                      <a:off x="0" y="0"/>
                      <a:ext cx="5265420" cy="449897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w:t>
      </w:r>
      <w:r>
        <w:rPr>
          <w:rFonts w:hint="eastAsia" w:cs="Times New Roman"/>
          <w:b/>
          <w:bCs/>
          <w:caps w:val="0"/>
          <w:smallCaps w:val="0"/>
          <w:snapToGrid/>
          <w:color w:val="auto"/>
          <w:spacing w:val="0"/>
          <w:w w:val="100"/>
          <w:kern w:val="0"/>
          <w:sz w:val="21"/>
          <w:szCs w:val="21"/>
          <w:highlight w:val="none"/>
          <w:lang w:val="en-US" w:eastAsia="zh-CN" w:bidi="ar-SA"/>
        </w:rPr>
        <w:t>5.2-8输液管道365d石油类预测图</w:t>
      </w:r>
    </w:p>
    <w:p>
      <w:pPr>
        <w:rPr>
          <w:rFonts w:hint="eastAsia" w:cs="Times New Roman"/>
          <w:caps w:val="0"/>
          <w:smallCaps w:val="0"/>
          <w:snapToGrid/>
          <w:color w:val="auto"/>
          <w:spacing w:val="0"/>
          <w:w w:val="100"/>
          <w:kern w:val="0"/>
          <w:sz w:val="24"/>
          <w:szCs w:val="24"/>
          <w:highlight w:val="none"/>
          <w:vertAlign w:val="baseline"/>
          <w:lang w:val="en-US" w:eastAsia="zh-CN" w:bidi="ar-SA"/>
        </w:rPr>
      </w:pPr>
      <w:r>
        <w:rPr>
          <w:color w:val="auto"/>
          <w:sz w:val="24"/>
          <w:highlight w:val="none"/>
        </w:rPr>
        <mc:AlternateContent>
          <mc:Choice Requires="wps">
            <w:drawing>
              <wp:anchor distT="0" distB="0" distL="114300" distR="114300" simplePos="0" relativeHeight="251684864" behindDoc="0" locked="0" layoutInCell="1" allowOverlap="1">
                <wp:simplePos x="0" y="0"/>
                <wp:positionH relativeFrom="column">
                  <wp:posOffset>2583815</wp:posOffset>
                </wp:positionH>
                <wp:positionV relativeFrom="paragraph">
                  <wp:posOffset>412750</wp:posOffset>
                </wp:positionV>
                <wp:extent cx="1035685" cy="305435"/>
                <wp:effectExtent l="4445" t="4445" r="7620" b="13970"/>
                <wp:wrapNone/>
                <wp:docPr id="95" name="文本框 95"/>
                <wp:cNvGraphicFramePr/>
                <a:graphic xmlns:a="http://schemas.openxmlformats.org/drawingml/2006/main">
                  <a:graphicData uri="http://schemas.microsoft.com/office/word/2010/wordprocessingShape">
                    <wps:wsp>
                      <wps:cNvSpPr txBox="1"/>
                      <wps:spPr>
                        <a:xfrm>
                          <a:off x="0" y="0"/>
                          <a:ext cx="1035685" cy="3054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3.45pt;margin-top:32.5pt;height:24.05pt;width:81.55pt;z-index:251684864;mso-width-relative:page;mso-height-relative:page;" fillcolor="#FFFFFF [3201]" filled="t" stroked="t" coordsize="21600,21600" o:gfxdata="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CMamPW&#10;AAAACgEAAA8AAAAAAAAAAQAgAAAAIgAAAGRycy9kb3ducmV2LnhtbFBLAQIUABQAAAAIAIdO4kAN&#10;L6bRWwIAALkEAAAOAAAAAAAAAAEAIAAAACUBAABkcnMvZTJvRG9jLnhtbFBLBQYAAAAABgAGAFkB&#10;AADyBQAAAAA=&#10;">
                <v:fill on="t" focussize="0,0"/>
                <v:stroke weight="0.5pt" color="#000000 [3204]" joinstyle="round"/>
                <v:imagedata o:title=""/>
                <o:lock v:ext="edit" aspectratio="f"/>
                <v:textbox>
                  <w:txbxContent>
                    <w:p>
                      <w:pPr>
                        <w:rPr>
                          <w:rFonts w:hint="eastAsia" w:ascii="黑体" w:hAnsi="黑体" w:eastAsia="黑体" w:cs="黑体"/>
                          <w:b/>
                          <w:bCs/>
                          <w:sz w:val="18"/>
                          <w:szCs w:val="21"/>
                          <w:lang w:val="en-US" w:eastAsia="zh-CN"/>
                        </w:rPr>
                      </w:pPr>
                      <w:r>
                        <w:rPr>
                          <w:rFonts w:hint="eastAsia" w:ascii="黑体" w:hAnsi="黑体" w:eastAsia="黑体" w:cs="黑体"/>
                          <w:b/>
                          <w:bCs/>
                          <w:sz w:val="18"/>
                          <w:szCs w:val="21"/>
                          <w:lang w:val="en-US" w:eastAsia="zh-CN"/>
                        </w:rPr>
                        <w:t>潜水含水层流向</w:t>
                      </w:r>
                    </w:p>
                  </w:txbxContent>
                </v:textbox>
              </v:shape>
            </w:pict>
          </mc:Fallback>
        </mc:AlternateContent>
      </w:r>
      <w:r>
        <w:rPr>
          <w:color w:val="auto"/>
          <w:sz w:val="20"/>
          <w:highlight w:val="none"/>
        </w:rPr>
        <mc:AlternateContent>
          <mc:Choice Requires="wps">
            <w:drawing>
              <wp:anchor distT="0" distB="0" distL="114300" distR="114300" simplePos="0" relativeHeight="251665408" behindDoc="0" locked="0" layoutInCell="1" allowOverlap="1">
                <wp:simplePos x="0" y="0"/>
                <wp:positionH relativeFrom="column">
                  <wp:posOffset>3798570</wp:posOffset>
                </wp:positionH>
                <wp:positionV relativeFrom="paragraph">
                  <wp:posOffset>363855</wp:posOffset>
                </wp:positionV>
                <wp:extent cx="10160" cy="593725"/>
                <wp:effectExtent l="36830" t="0" r="29210" b="15875"/>
                <wp:wrapNone/>
                <wp:docPr id="63" name="直接连接符 63"/>
                <wp:cNvGraphicFramePr/>
                <a:graphic xmlns:a="http://schemas.openxmlformats.org/drawingml/2006/main">
                  <a:graphicData uri="http://schemas.microsoft.com/office/word/2010/wordprocessingShape">
                    <wps:wsp>
                      <wps:cNvCnPr/>
                      <wps:spPr>
                        <a:xfrm flipH="1">
                          <a:off x="4919345" y="1375410"/>
                          <a:ext cx="10160" cy="593725"/>
                        </a:xfrm>
                        <a:prstGeom prst="line">
                          <a:avLst/>
                        </a:prstGeom>
                        <a:ln w="19050">
                          <a:solidFill>
                            <a:srgbClr val="FF0000"/>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99.1pt;margin-top:28.65pt;height:46.75pt;width:0.8pt;z-index:251665408;mso-width-relative:page;mso-height-relative:page;" filled="f" stroked="t" coordsize="21600,21600" o:gfxdata="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IR/22gAAAAoBAAAPAAAAAAAAAAEAIAAAACIAAABkcnMvZG93bnJldi54bWxQSwECFAAUAAAA&#10;CACHTuJARtCalSUCAAATBAAADgAAAAAAAAABACAAAAApAQAAZHJzL2Uyb0RvYy54bWxQSwUGAAAA&#10;AAYABgBZAQAAwAUAAAAA&#10;">
                <v:fill on="f" focussize="0,0"/>
                <v:stroke weight="1.5pt" color="#FF0000 [3204]" miterlimit="8" joinstyle="miter" endarrow="block"/>
                <v:imagedata o:title=""/>
                <o:lock v:ext="edit" aspectratio="f"/>
              </v:line>
            </w:pict>
          </mc:Fallback>
        </mc:AlternateContent>
      </w:r>
      <w:r>
        <w:rPr>
          <w:rFonts w:hint="eastAsia"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5268595" cy="4491355"/>
            <wp:effectExtent l="0" t="0" r="8255" b="4445"/>
            <wp:docPr id="92" name="图片 92" descr="情景三COD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情景三COD1000"/>
                    <pic:cNvPicPr>
                      <a:picLocks noChangeAspect="1"/>
                    </pic:cNvPicPr>
                  </pic:nvPicPr>
                  <pic:blipFill>
                    <a:blip r:embed="rId47"/>
                    <a:stretch>
                      <a:fillRect/>
                    </a:stretch>
                  </pic:blipFill>
                  <pic:spPr>
                    <a:xfrm>
                      <a:off x="0" y="0"/>
                      <a:ext cx="5268595" cy="449135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w:t>
      </w:r>
      <w:r>
        <w:rPr>
          <w:rFonts w:hint="eastAsia" w:cs="Times New Roman"/>
          <w:b/>
          <w:bCs/>
          <w:caps w:val="0"/>
          <w:smallCaps w:val="0"/>
          <w:snapToGrid/>
          <w:color w:val="auto"/>
          <w:spacing w:val="0"/>
          <w:w w:val="100"/>
          <w:kern w:val="0"/>
          <w:sz w:val="21"/>
          <w:szCs w:val="21"/>
          <w:highlight w:val="none"/>
          <w:lang w:val="en-US" w:eastAsia="zh-CN" w:bidi="ar-SA"/>
        </w:rPr>
        <w:t>5.2-9输液管道1000d石油类预测图</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olor w:val="auto"/>
          <w:highlight w:val="none"/>
          <w:lang w:val="en-US" w:eastAsia="zh-CN"/>
        </w:rPr>
      </w:pPr>
      <w:r>
        <w:rPr>
          <w:rFonts w:hint="eastAsia" w:cs="Times New Roman"/>
          <w:caps w:val="0"/>
          <w:smallCaps w:val="0"/>
          <w:snapToGrid/>
          <w:color w:val="auto"/>
          <w:spacing w:val="0"/>
          <w:w w:val="100"/>
          <w:kern w:val="0"/>
          <w:sz w:val="24"/>
          <w:szCs w:val="24"/>
          <w:highlight w:val="none"/>
          <w:vertAlign w:val="baseline"/>
          <w:lang w:val="en-US" w:eastAsia="zh-CN" w:bidi="ar-SA"/>
        </w:rPr>
        <w:t>距离本项目输液管道下游最近的水井为河北村水井，村屯供水井取水层为承压水井，村屯相对距离605m，村屯内潜水井供农业灌溉及畜牧养殖使用，项目输液管道泄漏影响最远下游影响距离为62m，本项目运行期间，在管道下游设置地下水跟踪监测井，为河北村潜水井，对管道运行情况及时进行监测，减少对区域地下水环境影响。</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5.2.3.4地下水环境影响评价结论</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项目正常工况下不会对地下水环境产生影响。事故状况下，根据上述对预处理车间池体防渗层破损、处理达标水体储池区域破损（储液池区域）及输液管道泄漏情况对地下水的预测，由于地下水层自净能力有限，几乎不存在自然降解，进入地下水的污染物在污染范围内会对地下水水质产生影响。本项目在站址及管道铺设区域下游设置地下水跟踪监测井，及时进行监测。</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项目在建设过程中，区域防渗严格按照相关设计进行施工，防渗性能符合《石油化工工程防渗技术规范》（GB/T50394-2013）、《环境影响评价技术导则-地下水环境》（HJ610-2016）及《地下工程防水技术规划》（GB50108-2008）相关要求。施工结束后，按照《给水排水构筑物工程施工和验收规范》（GB50141）等规范严格进行验收。项目运行期间定期对防渗层进行检查，破损处及时修补，可减少项目对地下水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5.2.4声环境影响预测与评价</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5.2.4.1</w:t>
      </w:r>
      <w:r>
        <w:rPr>
          <w:rFonts w:hint="default" w:cs="Times New Roman"/>
          <w:caps w:val="0"/>
          <w:smallCaps w:val="0"/>
          <w:snapToGrid/>
          <w:color w:val="auto"/>
          <w:spacing w:val="0"/>
          <w:w w:val="100"/>
          <w:kern w:val="0"/>
          <w:sz w:val="24"/>
          <w:szCs w:val="24"/>
          <w:highlight w:val="none"/>
          <w:vertAlign w:val="baseline"/>
          <w:lang w:val="en-US" w:eastAsia="zh-CN" w:bidi="ar-SA"/>
        </w:rPr>
        <w:t>主要噪声源调查</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本项目</w:t>
      </w:r>
      <w:r>
        <w:rPr>
          <w:rFonts w:hint="eastAsia" w:cs="Times New Roman"/>
          <w:caps w:val="0"/>
          <w:smallCaps w:val="0"/>
          <w:snapToGrid/>
          <w:color w:val="auto"/>
          <w:spacing w:val="0"/>
          <w:w w:val="100"/>
          <w:kern w:val="0"/>
          <w:sz w:val="24"/>
          <w:szCs w:val="24"/>
          <w:highlight w:val="none"/>
          <w:vertAlign w:val="baseline"/>
          <w:lang w:val="en-US" w:eastAsia="zh-CN" w:bidi="ar-SA"/>
        </w:rPr>
        <w:t>废水处理服务站运行期间主要</w:t>
      </w:r>
      <w:r>
        <w:rPr>
          <w:rFonts w:hint="default" w:cs="Times New Roman"/>
          <w:caps w:val="0"/>
          <w:smallCaps w:val="0"/>
          <w:snapToGrid/>
          <w:color w:val="auto"/>
          <w:spacing w:val="0"/>
          <w:w w:val="100"/>
          <w:kern w:val="0"/>
          <w:sz w:val="24"/>
          <w:szCs w:val="24"/>
          <w:highlight w:val="none"/>
          <w:vertAlign w:val="baseline"/>
          <w:lang w:val="en-US" w:eastAsia="zh-CN" w:bidi="ar-SA"/>
        </w:rPr>
        <w:t>噪声源</w:t>
      </w:r>
      <w:r>
        <w:rPr>
          <w:rFonts w:hint="eastAsia" w:cs="Times New Roman"/>
          <w:caps w:val="0"/>
          <w:smallCaps w:val="0"/>
          <w:snapToGrid/>
          <w:color w:val="auto"/>
          <w:spacing w:val="0"/>
          <w:w w:val="100"/>
          <w:kern w:val="0"/>
          <w:sz w:val="24"/>
          <w:szCs w:val="24"/>
          <w:highlight w:val="none"/>
          <w:vertAlign w:val="baseline"/>
          <w:lang w:val="en-US" w:eastAsia="zh-CN" w:bidi="ar-SA"/>
        </w:rPr>
        <w:t>为</w:t>
      </w:r>
      <w:r>
        <w:rPr>
          <w:rFonts w:hint="default" w:cs="Times New Roman"/>
          <w:caps w:val="0"/>
          <w:smallCaps w:val="0"/>
          <w:snapToGrid/>
          <w:color w:val="auto"/>
          <w:spacing w:val="0"/>
          <w:w w:val="100"/>
          <w:kern w:val="0"/>
          <w:sz w:val="24"/>
          <w:szCs w:val="24"/>
          <w:highlight w:val="none"/>
          <w:vertAlign w:val="baseline"/>
          <w:lang w:val="en-US" w:eastAsia="zh-CN" w:bidi="ar-SA"/>
        </w:rPr>
        <w:t>各类泵</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cs="Times New Roman"/>
          <w:caps w:val="0"/>
          <w:smallCaps w:val="0"/>
          <w:snapToGrid/>
          <w:color w:val="auto"/>
          <w:spacing w:val="0"/>
          <w:w w:val="100"/>
          <w:kern w:val="0"/>
          <w:sz w:val="24"/>
          <w:szCs w:val="24"/>
          <w:highlight w:val="none"/>
          <w:vertAlign w:val="baseline"/>
          <w:lang w:val="en-US" w:eastAsia="zh-CN" w:bidi="ar-SA"/>
        </w:rPr>
        <w:t>风机</w:t>
      </w:r>
      <w:r>
        <w:rPr>
          <w:rFonts w:hint="eastAsia" w:cs="Times New Roman"/>
          <w:caps w:val="0"/>
          <w:smallCaps w:val="0"/>
          <w:snapToGrid/>
          <w:color w:val="auto"/>
          <w:spacing w:val="0"/>
          <w:w w:val="100"/>
          <w:kern w:val="0"/>
          <w:sz w:val="24"/>
          <w:szCs w:val="24"/>
          <w:highlight w:val="none"/>
          <w:vertAlign w:val="baseline"/>
          <w:lang w:val="en-US" w:eastAsia="zh-CN" w:bidi="ar-SA"/>
        </w:rPr>
        <w:t>及站内运行设备。</w:t>
      </w:r>
      <w:r>
        <w:rPr>
          <w:rFonts w:hint="default" w:cs="Times New Roman"/>
          <w:caps w:val="0"/>
          <w:smallCaps w:val="0"/>
          <w:snapToGrid/>
          <w:color w:val="auto"/>
          <w:spacing w:val="0"/>
          <w:w w:val="100"/>
          <w:kern w:val="0"/>
          <w:sz w:val="24"/>
          <w:szCs w:val="24"/>
          <w:highlight w:val="none"/>
          <w:vertAlign w:val="baseline"/>
          <w:lang w:val="en-US" w:eastAsia="zh-CN" w:bidi="ar-SA"/>
        </w:rPr>
        <w:t>泵</w:t>
      </w:r>
      <w:r>
        <w:rPr>
          <w:rFonts w:hint="eastAsia" w:cs="Times New Roman"/>
          <w:caps w:val="0"/>
          <w:smallCaps w:val="0"/>
          <w:snapToGrid/>
          <w:color w:val="auto"/>
          <w:spacing w:val="0"/>
          <w:w w:val="100"/>
          <w:kern w:val="0"/>
          <w:sz w:val="24"/>
          <w:szCs w:val="24"/>
          <w:highlight w:val="none"/>
          <w:vertAlign w:val="baseline"/>
          <w:lang w:val="en-US" w:eastAsia="zh-CN" w:bidi="ar-SA"/>
        </w:rPr>
        <w:t>类</w:t>
      </w:r>
      <w:r>
        <w:rPr>
          <w:rFonts w:hint="default" w:cs="Times New Roman"/>
          <w:caps w:val="0"/>
          <w:smallCaps w:val="0"/>
          <w:snapToGrid/>
          <w:color w:val="auto"/>
          <w:spacing w:val="0"/>
          <w:w w:val="100"/>
          <w:kern w:val="0"/>
          <w:sz w:val="24"/>
          <w:szCs w:val="24"/>
          <w:highlight w:val="none"/>
          <w:vertAlign w:val="baseline"/>
          <w:lang w:val="en-US" w:eastAsia="zh-CN" w:bidi="ar-SA"/>
        </w:rPr>
        <w:t>噪声级为</w:t>
      </w:r>
      <w:r>
        <w:rPr>
          <w:rFonts w:hint="eastAsia" w:cs="Times New Roman"/>
          <w:caps w:val="0"/>
          <w:smallCaps w:val="0"/>
          <w:snapToGrid/>
          <w:color w:val="auto"/>
          <w:spacing w:val="0"/>
          <w:w w:val="100"/>
          <w:kern w:val="0"/>
          <w:sz w:val="24"/>
          <w:szCs w:val="24"/>
          <w:highlight w:val="none"/>
          <w:vertAlign w:val="baseline"/>
          <w:lang w:val="en-US" w:eastAsia="zh-CN" w:bidi="ar-SA"/>
        </w:rPr>
        <w:t>75-95</w:t>
      </w:r>
      <w:r>
        <w:rPr>
          <w:rFonts w:hint="default" w:cs="Times New Roman"/>
          <w:caps w:val="0"/>
          <w:smallCaps w:val="0"/>
          <w:snapToGrid/>
          <w:color w:val="auto"/>
          <w:spacing w:val="0"/>
          <w:w w:val="100"/>
          <w:kern w:val="0"/>
          <w:sz w:val="24"/>
          <w:szCs w:val="24"/>
          <w:highlight w:val="none"/>
          <w:vertAlign w:val="baseline"/>
          <w:lang w:val="en-US" w:eastAsia="zh-CN" w:bidi="ar-SA"/>
        </w:rPr>
        <w:t>dB（A）</w:t>
      </w:r>
      <w:r>
        <w:rPr>
          <w:rFonts w:hint="eastAsia" w:cs="Times New Roman"/>
          <w:caps w:val="0"/>
          <w:smallCaps w:val="0"/>
          <w:snapToGrid/>
          <w:color w:val="auto"/>
          <w:spacing w:val="0"/>
          <w:w w:val="100"/>
          <w:kern w:val="0"/>
          <w:sz w:val="24"/>
          <w:szCs w:val="24"/>
          <w:highlight w:val="none"/>
          <w:vertAlign w:val="baseline"/>
          <w:lang w:val="en-US" w:eastAsia="zh-CN" w:bidi="ar-SA"/>
        </w:rPr>
        <w:t>，风机类</w:t>
      </w:r>
      <w:r>
        <w:rPr>
          <w:rFonts w:hint="default" w:cs="Times New Roman"/>
          <w:caps w:val="0"/>
          <w:smallCaps w:val="0"/>
          <w:snapToGrid/>
          <w:color w:val="auto"/>
          <w:spacing w:val="0"/>
          <w:w w:val="100"/>
          <w:kern w:val="0"/>
          <w:sz w:val="24"/>
          <w:szCs w:val="24"/>
          <w:highlight w:val="none"/>
          <w:vertAlign w:val="baseline"/>
          <w:lang w:val="en-US" w:eastAsia="zh-CN" w:bidi="ar-SA"/>
        </w:rPr>
        <w:t>噪声级为</w:t>
      </w:r>
      <w:r>
        <w:rPr>
          <w:rFonts w:hint="eastAsia" w:cs="Times New Roman"/>
          <w:caps w:val="0"/>
          <w:smallCaps w:val="0"/>
          <w:snapToGrid/>
          <w:color w:val="auto"/>
          <w:spacing w:val="0"/>
          <w:w w:val="100"/>
          <w:kern w:val="0"/>
          <w:sz w:val="24"/>
          <w:szCs w:val="24"/>
          <w:highlight w:val="none"/>
          <w:vertAlign w:val="baseline"/>
          <w:lang w:val="en-US" w:eastAsia="zh-CN" w:bidi="ar-SA"/>
        </w:rPr>
        <w:t>70-80</w:t>
      </w:r>
      <w:r>
        <w:rPr>
          <w:rFonts w:hint="default" w:cs="Times New Roman"/>
          <w:caps w:val="0"/>
          <w:smallCaps w:val="0"/>
          <w:snapToGrid/>
          <w:color w:val="auto"/>
          <w:spacing w:val="0"/>
          <w:w w:val="100"/>
          <w:kern w:val="0"/>
          <w:sz w:val="24"/>
          <w:szCs w:val="24"/>
          <w:highlight w:val="none"/>
          <w:vertAlign w:val="baseline"/>
          <w:lang w:val="en-US" w:eastAsia="zh-CN" w:bidi="ar-SA"/>
        </w:rPr>
        <w:t>dB（A）</w:t>
      </w:r>
      <w:r>
        <w:rPr>
          <w:rFonts w:hint="eastAsia" w:cs="Times New Roman"/>
          <w:caps w:val="0"/>
          <w:smallCaps w:val="0"/>
          <w:snapToGrid/>
          <w:color w:val="auto"/>
          <w:spacing w:val="0"/>
          <w:w w:val="100"/>
          <w:kern w:val="0"/>
          <w:sz w:val="24"/>
          <w:szCs w:val="24"/>
          <w:highlight w:val="none"/>
          <w:vertAlign w:val="baseline"/>
          <w:lang w:val="en-US" w:eastAsia="zh-CN" w:bidi="ar-SA"/>
        </w:rPr>
        <w:t>，运行设备</w:t>
      </w:r>
      <w:r>
        <w:rPr>
          <w:rFonts w:hint="default" w:cs="Times New Roman"/>
          <w:caps w:val="0"/>
          <w:smallCaps w:val="0"/>
          <w:snapToGrid/>
          <w:color w:val="auto"/>
          <w:spacing w:val="0"/>
          <w:w w:val="100"/>
          <w:kern w:val="0"/>
          <w:sz w:val="24"/>
          <w:szCs w:val="24"/>
          <w:highlight w:val="none"/>
          <w:vertAlign w:val="baseline"/>
          <w:lang w:val="en-US" w:eastAsia="zh-CN" w:bidi="ar-SA"/>
        </w:rPr>
        <w:t>噪声级为</w:t>
      </w:r>
      <w:r>
        <w:rPr>
          <w:rFonts w:hint="eastAsia" w:cs="Times New Roman"/>
          <w:caps w:val="0"/>
          <w:smallCaps w:val="0"/>
          <w:snapToGrid/>
          <w:color w:val="auto"/>
          <w:spacing w:val="0"/>
          <w:w w:val="100"/>
          <w:kern w:val="0"/>
          <w:sz w:val="24"/>
          <w:szCs w:val="24"/>
          <w:highlight w:val="none"/>
          <w:vertAlign w:val="baseline"/>
          <w:lang w:val="en-US" w:eastAsia="zh-CN" w:bidi="ar-SA"/>
        </w:rPr>
        <w:t>65-75</w:t>
      </w:r>
      <w:r>
        <w:rPr>
          <w:rFonts w:hint="default" w:cs="Times New Roman"/>
          <w:caps w:val="0"/>
          <w:smallCaps w:val="0"/>
          <w:snapToGrid/>
          <w:color w:val="auto"/>
          <w:spacing w:val="0"/>
          <w:w w:val="100"/>
          <w:kern w:val="0"/>
          <w:sz w:val="24"/>
          <w:szCs w:val="24"/>
          <w:highlight w:val="none"/>
          <w:vertAlign w:val="baseline"/>
          <w:lang w:val="en-US" w:eastAsia="zh-CN" w:bidi="ar-SA"/>
        </w:rPr>
        <w:t>dB（A）</w:t>
      </w:r>
      <w:r>
        <w:rPr>
          <w:rFonts w:hint="eastAsia" w:cs="Times New Roman"/>
          <w:caps w:val="0"/>
          <w:smallCaps w:val="0"/>
          <w:snapToGrid/>
          <w:color w:val="auto"/>
          <w:spacing w:val="0"/>
          <w:w w:val="100"/>
          <w:kern w:val="0"/>
          <w:sz w:val="24"/>
          <w:szCs w:val="24"/>
          <w:highlight w:val="none"/>
          <w:vertAlign w:val="baseline"/>
          <w:lang w:val="en-US" w:eastAsia="zh-CN" w:bidi="ar-SA"/>
        </w:rPr>
        <w:t>；项目运行期泵类及</w:t>
      </w:r>
      <w:r>
        <w:rPr>
          <w:rFonts w:hint="default" w:cs="Times New Roman"/>
          <w:caps w:val="0"/>
          <w:smallCaps w:val="0"/>
          <w:snapToGrid/>
          <w:color w:val="auto"/>
          <w:spacing w:val="0"/>
          <w:w w:val="100"/>
          <w:kern w:val="0"/>
          <w:sz w:val="24"/>
          <w:szCs w:val="24"/>
          <w:highlight w:val="none"/>
          <w:vertAlign w:val="baseline"/>
          <w:lang w:val="en-US" w:eastAsia="zh-CN" w:bidi="ar-SA"/>
        </w:rPr>
        <w:t>设备均置于室内</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cs="Times New Roman"/>
          <w:caps w:val="0"/>
          <w:smallCaps w:val="0"/>
          <w:snapToGrid/>
          <w:color w:val="auto"/>
          <w:spacing w:val="0"/>
          <w:w w:val="100"/>
          <w:kern w:val="0"/>
          <w:sz w:val="24"/>
          <w:szCs w:val="24"/>
          <w:highlight w:val="none"/>
          <w:vertAlign w:val="baseline"/>
          <w:lang w:val="en-US" w:eastAsia="zh-CN" w:bidi="ar-SA"/>
        </w:rPr>
        <w:t>经过墙体隔声，噪声值可降低</w:t>
      </w:r>
      <w:r>
        <w:rPr>
          <w:rFonts w:hint="eastAsia" w:cs="Times New Roman"/>
          <w:caps w:val="0"/>
          <w:smallCaps w:val="0"/>
          <w:snapToGrid/>
          <w:color w:val="auto"/>
          <w:spacing w:val="0"/>
          <w:w w:val="100"/>
          <w:kern w:val="0"/>
          <w:sz w:val="24"/>
          <w:szCs w:val="24"/>
          <w:highlight w:val="none"/>
          <w:vertAlign w:val="baseline"/>
          <w:lang w:val="en-US" w:eastAsia="zh-CN" w:bidi="ar-SA"/>
        </w:rPr>
        <w:t>36</w:t>
      </w:r>
      <w:r>
        <w:rPr>
          <w:rFonts w:hint="default" w:cs="Times New Roman"/>
          <w:caps w:val="0"/>
          <w:smallCaps w:val="0"/>
          <w:snapToGrid/>
          <w:color w:val="auto"/>
          <w:spacing w:val="0"/>
          <w:w w:val="100"/>
          <w:kern w:val="0"/>
          <w:sz w:val="24"/>
          <w:szCs w:val="24"/>
          <w:highlight w:val="none"/>
          <w:vertAlign w:val="baseline"/>
          <w:lang w:val="en-US" w:eastAsia="zh-CN" w:bidi="ar-SA"/>
        </w:rPr>
        <w:t>dB（A）左右。</w:t>
      </w:r>
    </w:p>
    <w:p>
      <w:pP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br w:type="page"/>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5.2-17工业企业噪声源强调查清单（室内声源）</w:t>
      </w:r>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22"/>
        <w:gridCol w:w="935"/>
        <w:gridCol w:w="1145"/>
        <w:gridCol w:w="1080"/>
        <w:gridCol w:w="1361"/>
        <w:gridCol w:w="1012"/>
        <w:gridCol w:w="1012"/>
        <w:gridCol w:w="1012"/>
        <w:gridCol w:w="1012"/>
        <w:gridCol w:w="1012"/>
        <w:gridCol w:w="1012"/>
        <w:gridCol w:w="1012"/>
        <w:gridCol w:w="1074"/>
        <w:gridCol w:w="96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序号</w:t>
            </w:r>
          </w:p>
        </w:tc>
        <w:tc>
          <w:tcPr>
            <w:tcW w:w="33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建筑物名称</w:t>
            </w:r>
          </w:p>
        </w:tc>
        <w:tc>
          <w:tcPr>
            <w:tcW w:w="404"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声源名称</w:t>
            </w:r>
          </w:p>
        </w:tc>
        <w:tc>
          <w:tcPr>
            <w:tcW w:w="381"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声级/dB（A）</w:t>
            </w:r>
          </w:p>
        </w:tc>
        <w:tc>
          <w:tcPr>
            <w:tcW w:w="48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声源控制措施</w:t>
            </w:r>
          </w:p>
        </w:tc>
        <w:tc>
          <w:tcPr>
            <w:tcW w:w="1071" w:type="pct"/>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空间相对位置/m</w:t>
            </w:r>
          </w:p>
        </w:tc>
        <w:tc>
          <w:tcPr>
            <w:tcW w:w="35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距室内边界距离/m</w:t>
            </w:r>
          </w:p>
        </w:tc>
        <w:tc>
          <w:tcPr>
            <w:tcW w:w="35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室内边界声级/dB（A）</w:t>
            </w:r>
          </w:p>
        </w:tc>
        <w:tc>
          <w:tcPr>
            <w:tcW w:w="35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运行时段</w:t>
            </w:r>
          </w:p>
        </w:tc>
        <w:tc>
          <w:tcPr>
            <w:tcW w:w="35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建筑物插入损失/dB（A）</w:t>
            </w:r>
          </w:p>
        </w:tc>
        <w:tc>
          <w:tcPr>
            <w:tcW w:w="718" w:type="pct"/>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建筑物外噪声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81"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X</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Y</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Z</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声压级/dB（A）</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建筑物外距离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c>
          <w:tcPr>
            <w:tcW w:w="33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长输泵房</w:t>
            </w: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大泵</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highlight w:val="none"/>
                <w:vertAlign w:val="baseline"/>
                <w:lang w:val="en-US" w:eastAsia="zh-CN"/>
              </w:rPr>
              <w:t>80-95</w:t>
            </w:r>
          </w:p>
        </w:tc>
        <w:tc>
          <w:tcPr>
            <w:tcW w:w="480"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highlight w:val="none"/>
                <w:vertAlign w:val="baseline"/>
                <w:lang w:val="en-US" w:eastAsia="zh-CN"/>
              </w:rPr>
              <w:t>安装减振垫了，室内合理布局，墙体隔音</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-43.3</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156.5</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4.3-18.5</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92.1</w:t>
            </w:r>
          </w:p>
        </w:tc>
        <w:tc>
          <w:tcPr>
            <w:tcW w:w="35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全天运行</w:t>
            </w:r>
          </w:p>
        </w:tc>
        <w:tc>
          <w:tcPr>
            <w:tcW w:w="35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w:t>
            </w: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56.1</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w:t>
            </w:r>
          </w:p>
        </w:tc>
        <w:tc>
          <w:tcPr>
            <w:tcW w:w="33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真空泵</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highlight w:val="none"/>
                <w:vertAlign w:val="baseline"/>
                <w:lang w:val="en-US" w:eastAsia="zh-CN"/>
              </w:rPr>
              <w:t>80-95</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-56.7</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149.2</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6.6-20.2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92.1</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56.1</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w:t>
            </w:r>
          </w:p>
        </w:tc>
        <w:tc>
          <w:tcPr>
            <w:tcW w:w="330"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变频冲</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洗泵</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highlight w:val="none"/>
                <w:vertAlign w:val="baseline"/>
                <w:lang w:val="en-US" w:eastAsia="zh-CN"/>
              </w:rPr>
              <w:t>80-95</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-48.3</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148</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7.1-13.8</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92.1</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56.1</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4</w:t>
            </w:r>
          </w:p>
        </w:tc>
        <w:tc>
          <w:tcPr>
            <w:tcW w:w="330"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预处理车间</w:t>
            </w: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防爆轴流风机</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70-80</w:t>
            </w:r>
          </w:p>
        </w:tc>
        <w:tc>
          <w:tcPr>
            <w:tcW w:w="480"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highlight w:val="none"/>
                <w:vertAlign w:val="baseline"/>
                <w:lang w:val="en-US" w:eastAsia="zh-CN"/>
              </w:rPr>
              <w:t>选用低躁设备，定期检修维护，保证设备保持在最佳状态；安装减振垫了，室内合理布局，墙体隔音</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148.4</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223</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3.6-21.6</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74.2</w:t>
            </w:r>
          </w:p>
        </w:tc>
        <w:tc>
          <w:tcPr>
            <w:tcW w:w="35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全天运行</w:t>
            </w:r>
          </w:p>
        </w:tc>
        <w:tc>
          <w:tcPr>
            <w:tcW w:w="357"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w:t>
            </w: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38.2</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5</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防爆潜污泵</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80-90</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145.5</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210.8</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9.3-16.1</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79.2</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43.2</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6</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防爆齿轮泵</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80-90</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155.5</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207.1</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6.1-18.2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88.5</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52.5</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7</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olor w:val="auto"/>
                <w:szCs w:val="21"/>
                <w:highlight w:val="none"/>
              </w:rPr>
              <w:t>防爆自吸泵</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80-90</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159.6</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220.5</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4.3-19.6</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80.1</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44.1</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8</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olor w:val="auto"/>
                <w:szCs w:val="21"/>
                <w:highlight w:val="none"/>
              </w:rPr>
              <w:t>浆式搅拌器</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65-70</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156.1</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195.9</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3.4-21.2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64.2</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28.2</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9</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olor w:val="auto"/>
                <w:szCs w:val="21"/>
                <w:highlight w:val="none"/>
              </w:rPr>
              <w:t>框式搅拌器</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65-70</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155</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190.3</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3.6-35.0</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64.2</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29</w:t>
            </w:r>
            <w:r>
              <w:rPr>
                <w:rFonts w:hint="default" w:cs="Times New Roman"/>
                <w:color w:val="auto"/>
                <w:sz w:val="21"/>
                <w:szCs w:val="21"/>
                <w:highlight w:val="none"/>
                <w:vertAlign w:val="baseline"/>
                <w:lang w:val="en-US" w:eastAsia="zh-CN"/>
              </w:rPr>
              <w:t>.5</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10</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压泥</w:t>
            </w:r>
            <w:r>
              <w:rPr>
                <w:rFonts w:hint="eastAsia" w:ascii="Times New Roman" w:hAnsi="Times New Roman" w:eastAsia="宋体" w:cs="Times New Roman"/>
                <w:color w:val="auto"/>
                <w:highlight w:val="none"/>
                <w:vertAlign w:val="baseline"/>
                <w:lang w:val="en-US" w:eastAsia="zh-CN"/>
              </w:rPr>
              <w:t>机主机</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70-75</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175.9</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211.7</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4.0-11.2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69.1</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33.1</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11</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olor w:val="auto"/>
                <w:szCs w:val="21"/>
                <w:highlight w:val="none"/>
              </w:rPr>
              <w:t>涡凹曝气机</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65-70</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171.7</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218.4</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4.0-17.1</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68.2</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52.7</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12</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olor w:val="auto"/>
                <w:szCs w:val="21"/>
                <w:highlight w:val="none"/>
              </w:rPr>
              <w:t>潜水搅拌器</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65-70</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168.4</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217.0</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2.9-18.0</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68.2</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52.5</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13</w:t>
            </w:r>
          </w:p>
        </w:tc>
        <w:tc>
          <w:tcPr>
            <w:tcW w:w="33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排污泵1#</w:t>
            </w:r>
          </w:p>
        </w:tc>
        <w:tc>
          <w:tcPr>
            <w:tcW w:w="3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80-90</w:t>
            </w:r>
          </w:p>
        </w:tc>
        <w:tc>
          <w:tcPr>
            <w:tcW w:w="4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165.1</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215.9</w:t>
            </w:r>
          </w:p>
        </w:tc>
        <w:tc>
          <w:tcPr>
            <w:tcW w:w="3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3.1-15.9</w:t>
            </w:r>
          </w:p>
        </w:tc>
        <w:tc>
          <w:tcPr>
            <w:tcW w:w="35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89.1</w:t>
            </w: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53.1</w:t>
            </w:r>
          </w:p>
        </w:tc>
        <w:tc>
          <w:tcPr>
            <w:tcW w:w="339"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14</w:t>
            </w:r>
          </w:p>
        </w:tc>
        <w:tc>
          <w:tcPr>
            <w:tcW w:w="330"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排污泵</w:t>
            </w:r>
            <w:r>
              <w:rPr>
                <w:rFonts w:hint="eastAsia" w:cs="Times New Roman"/>
                <w:color w:val="auto"/>
                <w:highlight w:val="none"/>
                <w:vertAlign w:val="baseline"/>
                <w:lang w:val="en-US" w:eastAsia="zh-CN"/>
              </w:rPr>
              <w:t>2</w:t>
            </w:r>
            <w:r>
              <w:rPr>
                <w:rFonts w:hint="eastAsia" w:ascii="Times New Roman" w:hAnsi="Times New Roman" w:eastAsia="宋体" w:cs="Times New Roman"/>
                <w:color w:val="auto"/>
                <w:highlight w:val="none"/>
                <w:vertAlign w:val="baseline"/>
                <w:lang w:val="en-US" w:eastAsia="zh-CN"/>
              </w:rPr>
              <w:t>#</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80-90</w:t>
            </w:r>
          </w:p>
        </w:tc>
        <w:tc>
          <w:tcPr>
            <w:tcW w:w="480"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149.2</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212.8</w:t>
            </w:r>
          </w:p>
        </w:tc>
        <w:tc>
          <w:tcPr>
            <w:tcW w:w="0" w:type="auto"/>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3.7-14.5</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79.2</w:t>
            </w:r>
          </w:p>
        </w:tc>
        <w:tc>
          <w:tcPr>
            <w:tcW w:w="357"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43.2</w:t>
            </w:r>
          </w:p>
        </w:tc>
        <w:tc>
          <w:tcPr>
            <w:tcW w:w="339" w:type="pct"/>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15</w:t>
            </w:r>
          </w:p>
        </w:tc>
        <w:tc>
          <w:tcPr>
            <w:tcW w:w="330"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刮渣机</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65-70</w:t>
            </w:r>
          </w:p>
        </w:tc>
        <w:tc>
          <w:tcPr>
            <w:tcW w:w="480"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0" w:type="auto"/>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121.0</w:t>
            </w:r>
          </w:p>
        </w:tc>
        <w:tc>
          <w:tcPr>
            <w:tcW w:w="0" w:type="auto"/>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201.7</w:t>
            </w:r>
          </w:p>
        </w:tc>
        <w:tc>
          <w:tcPr>
            <w:tcW w:w="0" w:type="auto"/>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3.9-15.0</w:t>
            </w:r>
          </w:p>
        </w:tc>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69.1</w:t>
            </w:r>
          </w:p>
        </w:tc>
        <w:tc>
          <w:tcPr>
            <w:tcW w:w="357"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52.5</w:t>
            </w:r>
          </w:p>
        </w:tc>
        <w:tc>
          <w:tcPr>
            <w:tcW w:w="339" w:type="pct"/>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16</w:t>
            </w:r>
          </w:p>
        </w:tc>
        <w:tc>
          <w:tcPr>
            <w:tcW w:w="330"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自动熔药机</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65-70</w:t>
            </w:r>
          </w:p>
        </w:tc>
        <w:tc>
          <w:tcPr>
            <w:tcW w:w="480"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163.8</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197.1</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3.4-26.8</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64.2</w:t>
            </w:r>
          </w:p>
        </w:tc>
        <w:tc>
          <w:tcPr>
            <w:tcW w:w="357"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28.2</w:t>
            </w:r>
          </w:p>
        </w:tc>
        <w:tc>
          <w:tcPr>
            <w:tcW w:w="339"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kern w:val="2"/>
                <w:sz w:val="21"/>
                <w:szCs w:val="24"/>
                <w:highlight w:val="none"/>
                <w:vertAlign w:val="baseline"/>
                <w:lang w:val="en-US" w:eastAsia="zh-CN" w:bidi="ar-SA"/>
              </w:rPr>
              <w:t>17</w:t>
            </w:r>
          </w:p>
        </w:tc>
        <w:tc>
          <w:tcPr>
            <w:tcW w:w="330" w:type="pct"/>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锅炉房</w:t>
            </w: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换水泵</w:t>
            </w:r>
          </w:p>
        </w:tc>
        <w:tc>
          <w:tcPr>
            <w:tcW w:w="381"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75-80</w:t>
            </w:r>
          </w:p>
        </w:tc>
        <w:tc>
          <w:tcPr>
            <w:tcW w:w="480"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96.1</w:t>
            </w:r>
          </w:p>
        </w:tc>
        <w:tc>
          <w:tcPr>
            <w:tcW w:w="357"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203.8</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2.7-7.9</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66.3</w:t>
            </w:r>
          </w:p>
        </w:tc>
        <w:tc>
          <w:tcPr>
            <w:tcW w:w="357"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冬季全天运行</w:t>
            </w:r>
          </w:p>
        </w:tc>
        <w:tc>
          <w:tcPr>
            <w:tcW w:w="357"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36</w:t>
            </w:r>
          </w:p>
        </w:tc>
        <w:tc>
          <w:tcPr>
            <w:tcW w:w="379"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30.3</w:t>
            </w:r>
          </w:p>
        </w:tc>
        <w:tc>
          <w:tcPr>
            <w:tcW w:w="339"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0" w:type="auto"/>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18</w:t>
            </w:r>
          </w:p>
        </w:tc>
        <w:tc>
          <w:tcPr>
            <w:tcW w:w="33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404"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锅炉</w:t>
            </w:r>
          </w:p>
        </w:tc>
        <w:tc>
          <w:tcPr>
            <w:tcW w:w="381"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vertAlign w:val="baseline"/>
                <w:lang w:val="en-US" w:eastAsia="zh-CN" w:bidi="ar-SA"/>
              </w:rPr>
            </w:pPr>
            <w:r>
              <w:rPr>
                <w:rFonts w:hint="eastAsia" w:cs="Times New Roman"/>
                <w:color w:val="auto"/>
                <w:highlight w:val="none"/>
                <w:vertAlign w:val="baseline"/>
                <w:lang w:val="en-US" w:eastAsia="zh-CN"/>
              </w:rPr>
              <w:t>60-65</w:t>
            </w:r>
          </w:p>
        </w:tc>
        <w:tc>
          <w:tcPr>
            <w:tcW w:w="480" w:type="pct"/>
            <w:vMerge w:val="continue"/>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92.5</w:t>
            </w:r>
          </w:p>
        </w:tc>
        <w:tc>
          <w:tcPr>
            <w:tcW w:w="357"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204.2</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color w:val="auto"/>
                <w:highlight w:val="none"/>
                <w:vertAlign w:val="baseline"/>
                <w:lang w:val="en-US" w:eastAsia="zh-CN"/>
              </w:rPr>
            </w:pPr>
            <w:r>
              <w:rPr>
                <w:rFonts w:hint="eastAsia" w:cs="Times New Roman"/>
                <w:color w:val="auto"/>
                <w:highlight w:val="none"/>
                <w:vertAlign w:val="baseline"/>
                <w:lang w:val="en-US" w:eastAsia="zh-CN"/>
              </w:rPr>
              <w:t>1.2</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2.9-6.7</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81.3</w:t>
            </w:r>
          </w:p>
        </w:tc>
        <w:tc>
          <w:tcPr>
            <w:tcW w:w="357"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57"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379"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45.3</w:t>
            </w:r>
          </w:p>
        </w:tc>
        <w:tc>
          <w:tcPr>
            <w:tcW w:w="339" w:type="pct"/>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cs="Times New Roman"/>
          <w:b/>
          <w:bCs/>
          <w:caps w:val="0"/>
          <w:smallCaps w:val="0"/>
          <w:snapToGrid/>
          <w:color w:val="auto"/>
          <w:spacing w:val="0"/>
          <w:w w:val="100"/>
          <w:kern w:val="0"/>
          <w:sz w:val="21"/>
          <w:szCs w:val="21"/>
          <w:highlight w:val="none"/>
          <w:lang w:val="en-US" w:eastAsia="zh-CN" w:bidi="ar-SA"/>
        </w:rPr>
      </w:pPr>
    </w:p>
    <w:p>
      <w:pPr>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br w:type="page"/>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5.2.4.2噪声影响预测</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olor w:val="auto"/>
          <w:highlight w:val="none"/>
          <w:lang w:val="en-US" w:eastAsia="zh-CN"/>
        </w:rPr>
      </w:pPr>
      <w:r>
        <w:rPr>
          <w:rFonts w:hint="eastAsia" w:cs="Times New Roman"/>
          <w:caps w:val="0"/>
          <w:smallCaps w:val="0"/>
          <w:snapToGrid/>
          <w:color w:val="auto"/>
          <w:spacing w:val="0"/>
          <w:w w:val="100"/>
          <w:kern w:val="0"/>
          <w:sz w:val="24"/>
          <w:szCs w:val="24"/>
          <w:highlight w:val="none"/>
          <w:vertAlign w:val="baseline"/>
          <w:lang w:val="en-US" w:eastAsia="zh-CN" w:bidi="ar-SA"/>
        </w:rPr>
        <w:t>（1）预测模式</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按照《环境影响评价技术导则声环境》（HJ2.4-2021）中推荐的模式进行预测。预测计算只考虑本项目各声源至受声点的几何发散衰减，不考虑空气吸收及影响较小的附加衰减。</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1）室外声源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不考虑其指向性，几何发散衰减计算模式为：</w:t>
      </w:r>
    </w:p>
    <w:p>
      <w:pPr>
        <w:pStyle w:val="11"/>
        <w:ind w:left="0" w:leftChars="0" w:firstLine="0" w:firstLineChars="0"/>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2609850" cy="438150"/>
            <wp:effectExtent l="0" t="0" r="0" b="0"/>
            <wp:docPr id="33" name="图片 33" descr="预测噪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预测噪声1"/>
                    <pic:cNvPicPr>
                      <a:picLocks noChangeAspect="1"/>
                    </pic:cNvPicPr>
                  </pic:nvPicPr>
                  <pic:blipFill>
                    <a:blip r:embed="rId49"/>
                    <a:stretch>
                      <a:fillRect/>
                    </a:stretch>
                  </pic:blipFill>
                  <pic:spPr>
                    <a:xfrm>
                      <a:off x="0" y="0"/>
                      <a:ext cx="2609850" cy="43815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式中：L</w:t>
      </w:r>
      <w:r>
        <w:rPr>
          <w:rFonts w:hint="default" w:cs="Times New Roman"/>
          <w:caps w:val="0"/>
          <w:smallCaps w:val="0"/>
          <w:snapToGrid/>
          <w:color w:val="auto"/>
          <w:spacing w:val="0"/>
          <w:w w:val="100"/>
          <w:kern w:val="0"/>
          <w:sz w:val="24"/>
          <w:szCs w:val="24"/>
          <w:highlight w:val="none"/>
          <w:vertAlign w:val="subscript"/>
          <w:lang w:val="en-US" w:eastAsia="zh-CN" w:bidi="ar-SA"/>
        </w:rPr>
        <w:t>p</w:t>
      </w:r>
      <w:r>
        <w:rPr>
          <w:rFonts w:hint="eastAsia" w:cs="Times New Roman"/>
          <w:caps w:val="0"/>
          <w:smallCaps w:val="0"/>
          <w:snapToGrid/>
          <w:color w:val="auto"/>
          <w:spacing w:val="0"/>
          <w:w w:val="100"/>
          <w:kern w:val="0"/>
          <w:sz w:val="24"/>
          <w:szCs w:val="24"/>
          <w:highlight w:val="none"/>
          <w:vertAlign w:val="baseline"/>
          <w:lang w:val="en-US" w:eastAsia="zh-CN" w:bidi="ar-SA"/>
        </w:rPr>
        <w:t>（r）</w:t>
      </w:r>
      <w:r>
        <w:rPr>
          <w:rFonts w:hint="default" w:cs="Times New Roman"/>
          <w:caps w:val="0"/>
          <w:smallCaps w:val="0"/>
          <w:snapToGrid/>
          <w:color w:val="auto"/>
          <w:spacing w:val="0"/>
          <w:w w:val="100"/>
          <w:kern w:val="0"/>
          <w:sz w:val="24"/>
          <w:szCs w:val="24"/>
          <w:highlight w:val="none"/>
          <w:vertAlign w:val="baseline"/>
          <w:lang w:val="en-US" w:eastAsia="zh-CN" w:bidi="ar-SA"/>
        </w:rPr>
        <w:t>—预测点处声压级，dB；</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L</w:t>
      </w:r>
      <w:r>
        <w:rPr>
          <w:rFonts w:hint="default" w:cs="Times New Roman"/>
          <w:caps w:val="0"/>
          <w:smallCaps w:val="0"/>
          <w:snapToGrid/>
          <w:color w:val="auto"/>
          <w:spacing w:val="0"/>
          <w:w w:val="100"/>
          <w:kern w:val="0"/>
          <w:sz w:val="24"/>
          <w:szCs w:val="24"/>
          <w:highlight w:val="none"/>
          <w:vertAlign w:val="subscript"/>
          <w:lang w:val="en-US" w:eastAsia="zh-CN" w:bidi="ar-SA"/>
        </w:rPr>
        <w:t>p</w:t>
      </w:r>
      <w:r>
        <w:rPr>
          <w:rFonts w:hint="eastAsia" w:cs="Times New Roman"/>
          <w:caps w:val="0"/>
          <w:smallCaps w:val="0"/>
          <w:snapToGrid/>
          <w:color w:val="auto"/>
          <w:spacing w:val="0"/>
          <w:w w:val="100"/>
          <w:kern w:val="0"/>
          <w:sz w:val="24"/>
          <w:szCs w:val="24"/>
          <w:highlight w:val="none"/>
          <w:vertAlign w:val="baseline"/>
          <w:lang w:val="en-US" w:eastAsia="zh-CN" w:bidi="ar-SA"/>
        </w:rPr>
        <w:t>（r</w:t>
      </w:r>
      <w:r>
        <w:rPr>
          <w:rFonts w:hint="eastAsia" w:cs="Times New Roman"/>
          <w:caps w:val="0"/>
          <w:smallCaps w:val="0"/>
          <w:snapToGrid/>
          <w:color w:val="auto"/>
          <w:spacing w:val="0"/>
          <w:w w:val="100"/>
          <w:kern w:val="0"/>
          <w:sz w:val="24"/>
          <w:szCs w:val="24"/>
          <w:highlight w:val="none"/>
          <w:vertAlign w:val="subscript"/>
          <w:lang w:val="en-US" w:eastAsia="zh-CN" w:bidi="ar-SA"/>
        </w:rPr>
        <w:t>0</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cs="Times New Roman"/>
          <w:caps w:val="0"/>
          <w:smallCaps w:val="0"/>
          <w:snapToGrid/>
          <w:color w:val="auto"/>
          <w:spacing w:val="0"/>
          <w:w w:val="100"/>
          <w:kern w:val="0"/>
          <w:sz w:val="24"/>
          <w:szCs w:val="24"/>
          <w:highlight w:val="none"/>
          <w:vertAlign w:val="baseline"/>
          <w:lang w:val="en-US" w:eastAsia="zh-CN" w:bidi="ar-SA"/>
        </w:rPr>
        <w:t>—参考位置r</w:t>
      </w:r>
      <w:r>
        <w:rPr>
          <w:rFonts w:hint="default" w:cs="Times New Roman"/>
          <w:caps w:val="0"/>
          <w:smallCaps w:val="0"/>
          <w:snapToGrid/>
          <w:color w:val="auto"/>
          <w:spacing w:val="0"/>
          <w:w w:val="100"/>
          <w:kern w:val="0"/>
          <w:sz w:val="24"/>
          <w:szCs w:val="24"/>
          <w:highlight w:val="none"/>
          <w:vertAlign w:val="subscript"/>
          <w:lang w:val="en-US" w:eastAsia="zh-CN" w:bidi="ar-SA"/>
        </w:rPr>
        <w:t>0</w:t>
      </w:r>
      <w:r>
        <w:rPr>
          <w:rFonts w:hint="default" w:cs="Times New Roman"/>
          <w:caps w:val="0"/>
          <w:smallCaps w:val="0"/>
          <w:snapToGrid/>
          <w:color w:val="auto"/>
          <w:spacing w:val="0"/>
          <w:w w:val="100"/>
          <w:kern w:val="0"/>
          <w:sz w:val="24"/>
          <w:szCs w:val="24"/>
          <w:highlight w:val="none"/>
          <w:vertAlign w:val="baseline"/>
          <w:lang w:val="en-US" w:eastAsia="zh-CN" w:bidi="ar-SA"/>
        </w:rPr>
        <w:t>处的声压级，dB；</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r—预测点距声源的距离；</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r</w:t>
      </w:r>
      <w:r>
        <w:rPr>
          <w:rFonts w:hint="default" w:cs="Times New Roman"/>
          <w:caps w:val="0"/>
          <w:smallCaps w:val="0"/>
          <w:snapToGrid/>
          <w:color w:val="auto"/>
          <w:spacing w:val="0"/>
          <w:w w:val="100"/>
          <w:kern w:val="0"/>
          <w:sz w:val="24"/>
          <w:szCs w:val="24"/>
          <w:highlight w:val="none"/>
          <w:vertAlign w:val="subscript"/>
          <w:lang w:val="en-US" w:eastAsia="zh-CN" w:bidi="ar-SA"/>
        </w:rPr>
        <w:t>0</w:t>
      </w:r>
      <w:r>
        <w:rPr>
          <w:rFonts w:hint="default" w:cs="Times New Roman"/>
          <w:caps w:val="0"/>
          <w:smallCaps w:val="0"/>
          <w:snapToGrid/>
          <w:color w:val="auto"/>
          <w:spacing w:val="0"/>
          <w:w w:val="100"/>
          <w:kern w:val="0"/>
          <w:sz w:val="24"/>
          <w:szCs w:val="24"/>
          <w:highlight w:val="none"/>
          <w:vertAlign w:val="baseline"/>
          <w:lang w:val="en-US" w:eastAsia="zh-CN" w:bidi="ar-SA"/>
        </w:rPr>
        <w:t>—参考位置距声源的距离</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w:t>
      </w:r>
      <w:r>
        <w:rPr>
          <w:rFonts w:hint="default" w:cs="Times New Roman"/>
          <w:caps w:val="0"/>
          <w:smallCaps w:val="0"/>
          <w:snapToGrid/>
          <w:color w:val="auto"/>
          <w:spacing w:val="0"/>
          <w:w w:val="100"/>
          <w:kern w:val="0"/>
          <w:sz w:val="24"/>
          <w:szCs w:val="24"/>
          <w:highlight w:val="none"/>
          <w:vertAlign w:val="baseline"/>
          <w:lang w:val="en-US" w:eastAsia="zh-CN" w:bidi="ar-SA"/>
        </w:rPr>
        <w:t>室内声源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对于室内点声源，将室内声场近似为扩散声场，车间均匀透声，其预测模式如下：</w:t>
      </w:r>
    </w:p>
    <w:p>
      <w:pPr>
        <w:rPr>
          <w:rFonts w:hint="default"/>
          <w:color w:val="auto"/>
          <w:highlight w:val="none"/>
          <w:lang w:val="en-US" w:eastAsia="zh-CN"/>
        </w:rPr>
      </w:pPr>
      <w:r>
        <w:rPr>
          <w:rFonts w:hint="default"/>
          <w:color w:val="auto"/>
          <w:highlight w:val="none"/>
          <w:lang w:val="en-US" w:eastAsia="zh-CN"/>
        </w:rPr>
        <w:drawing>
          <wp:inline distT="0" distB="0" distL="114300" distR="114300">
            <wp:extent cx="2609850" cy="657225"/>
            <wp:effectExtent l="0" t="0" r="0" b="9525"/>
            <wp:docPr id="34" name="图片 34" descr="室内噪声预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室内噪声预测"/>
                    <pic:cNvPicPr>
                      <a:picLocks noChangeAspect="1"/>
                    </pic:cNvPicPr>
                  </pic:nvPicPr>
                  <pic:blipFill>
                    <a:blip r:embed="rId50"/>
                    <a:stretch>
                      <a:fillRect/>
                    </a:stretch>
                  </pic:blipFill>
                  <pic:spPr>
                    <a:xfrm>
                      <a:off x="0" y="0"/>
                      <a:ext cx="2609850" cy="65722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式中：L</w:t>
      </w:r>
      <w:r>
        <w:rPr>
          <w:rFonts w:hint="default" w:cs="Times New Roman"/>
          <w:caps w:val="0"/>
          <w:smallCaps w:val="0"/>
          <w:snapToGrid/>
          <w:color w:val="auto"/>
          <w:spacing w:val="0"/>
          <w:w w:val="100"/>
          <w:kern w:val="0"/>
          <w:sz w:val="24"/>
          <w:szCs w:val="24"/>
          <w:highlight w:val="none"/>
          <w:vertAlign w:val="subscript"/>
          <w:lang w:val="en-US" w:eastAsia="zh-CN" w:bidi="ar-SA"/>
        </w:rPr>
        <w:t>p1</w:t>
      </w:r>
      <w:r>
        <w:rPr>
          <w:rFonts w:hint="default" w:cs="Times New Roman"/>
          <w:caps w:val="0"/>
          <w:smallCaps w:val="0"/>
          <w:snapToGrid/>
          <w:color w:val="auto"/>
          <w:spacing w:val="0"/>
          <w:w w:val="100"/>
          <w:kern w:val="0"/>
          <w:sz w:val="24"/>
          <w:szCs w:val="24"/>
          <w:highlight w:val="none"/>
          <w:vertAlign w:val="baseline"/>
          <w:lang w:val="en-US" w:eastAsia="zh-CN" w:bidi="ar-SA"/>
        </w:rPr>
        <w:t>—靠近开口处（或窗户）室内某倍频带的声压级或A声级，dB；</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L</w:t>
      </w:r>
      <w:r>
        <w:rPr>
          <w:rFonts w:hint="default" w:cs="Times New Roman"/>
          <w:caps w:val="0"/>
          <w:smallCaps w:val="0"/>
          <w:snapToGrid/>
          <w:color w:val="auto"/>
          <w:spacing w:val="0"/>
          <w:w w:val="100"/>
          <w:kern w:val="0"/>
          <w:sz w:val="24"/>
          <w:szCs w:val="24"/>
          <w:highlight w:val="none"/>
          <w:vertAlign w:val="subscript"/>
          <w:lang w:val="en-US" w:eastAsia="zh-CN" w:bidi="ar-SA"/>
        </w:rPr>
        <w:t>w</w:t>
      </w:r>
      <w:r>
        <w:rPr>
          <w:rFonts w:hint="default" w:cs="Times New Roman"/>
          <w:caps w:val="0"/>
          <w:smallCaps w:val="0"/>
          <w:snapToGrid/>
          <w:color w:val="auto"/>
          <w:spacing w:val="0"/>
          <w:w w:val="100"/>
          <w:kern w:val="0"/>
          <w:sz w:val="24"/>
          <w:szCs w:val="24"/>
          <w:highlight w:val="none"/>
          <w:vertAlign w:val="baseline"/>
          <w:lang w:val="en-US" w:eastAsia="zh-CN" w:bidi="ar-SA"/>
        </w:rPr>
        <w:t>—点声源声功率级（A计权或倍频带），dB；</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Q—指向性因数；通常对无指向性声源</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cs="Times New Roman"/>
          <w:caps w:val="0"/>
          <w:smallCaps w:val="0"/>
          <w:snapToGrid/>
          <w:color w:val="auto"/>
          <w:spacing w:val="0"/>
          <w:w w:val="100"/>
          <w:kern w:val="0"/>
          <w:sz w:val="24"/>
          <w:szCs w:val="24"/>
          <w:highlight w:val="none"/>
          <w:vertAlign w:val="baseline"/>
          <w:lang w:val="en-US" w:eastAsia="zh-CN" w:bidi="ar-SA"/>
        </w:rPr>
        <w:t>当声源放在房间中心时，Q=1；当放在一面墙的中心时，Q=2；当放在两面墙夹角处时，Q=4；当放在三面墙夹角处时，Q=8；</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R—房间常数；R</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cs="Times New Roman"/>
          <w:caps w:val="0"/>
          <w:smallCaps w:val="0"/>
          <w:snapToGrid/>
          <w:color w:val="auto"/>
          <w:spacing w:val="0"/>
          <w:w w:val="100"/>
          <w:kern w:val="0"/>
          <w:sz w:val="24"/>
          <w:szCs w:val="24"/>
          <w:highlight w:val="none"/>
          <w:vertAlign w:val="baseline"/>
          <w:lang w:val="en-US" w:eastAsia="zh-CN" w:bidi="ar-SA"/>
        </w:rPr>
        <w:t>Sα</w:t>
      </w:r>
      <w:r>
        <w:rPr>
          <w:rFonts w:hint="eastAsia" w:cs="Times New Roman"/>
          <w:caps w:val="0"/>
          <w:smallCaps w:val="0"/>
          <w:snapToGrid/>
          <w:color w:val="auto"/>
          <w:spacing w:val="0"/>
          <w:w w:val="100"/>
          <w:kern w:val="0"/>
          <w:sz w:val="24"/>
          <w:szCs w:val="24"/>
          <w:highlight w:val="none"/>
          <w:vertAlign w:val="baseline"/>
          <w:lang w:val="en-US" w:eastAsia="zh-CN" w:bidi="ar-SA"/>
        </w:rPr>
        <w:t>/（1-</w:t>
      </w:r>
      <w:r>
        <w:rPr>
          <w:rFonts w:hint="default" w:cs="Times New Roman"/>
          <w:caps w:val="0"/>
          <w:smallCaps w:val="0"/>
          <w:snapToGrid/>
          <w:color w:val="auto"/>
          <w:spacing w:val="0"/>
          <w:w w:val="100"/>
          <w:kern w:val="0"/>
          <w:sz w:val="24"/>
          <w:szCs w:val="24"/>
          <w:highlight w:val="none"/>
          <w:vertAlign w:val="baseline"/>
          <w:lang w:val="en-US" w:eastAsia="zh-CN" w:bidi="ar-SA"/>
        </w:rPr>
        <w:t>α</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cs="Times New Roman"/>
          <w:caps w:val="0"/>
          <w:smallCaps w:val="0"/>
          <w:snapToGrid/>
          <w:color w:val="auto"/>
          <w:spacing w:val="0"/>
          <w:w w:val="100"/>
          <w:kern w:val="0"/>
          <w:sz w:val="24"/>
          <w:szCs w:val="24"/>
          <w:highlight w:val="none"/>
          <w:vertAlign w:val="baseline"/>
          <w:lang w:val="en-US" w:eastAsia="zh-CN" w:bidi="ar-SA"/>
        </w:rPr>
        <w:t>S为房间内表面面积，m</w:t>
      </w:r>
      <w:r>
        <w:rPr>
          <w:rFonts w:hint="default" w:cs="Times New Roman"/>
          <w:caps w:val="0"/>
          <w:smallCaps w:val="0"/>
          <w:snapToGrid/>
          <w:color w:val="auto"/>
          <w:spacing w:val="0"/>
          <w:w w:val="100"/>
          <w:kern w:val="0"/>
          <w:sz w:val="24"/>
          <w:szCs w:val="24"/>
          <w:highlight w:val="none"/>
          <w:vertAlign w:val="superscript"/>
          <w:lang w:val="en-US" w:eastAsia="zh-CN" w:bidi="ar-SA"/>
        </w:rPr>
        <w:t>2</w:t>
      </w:r>
      <w:r>
        <w:rPr>
          <w:rFonts w:hint="default" w:cs="Times New Roman"/>
          <w:caps w:val="0"/>
          <w:smallCaps w:val="0"/>
          <w:snapToGrid/>
          <w:color w:val="auto"/>
          <w:spacing w:val="0"/>
          <w:w w:val="100"/>
          <w:kern w:val="0"/>
          <w:sz w:val="24"/>
          <w:szCs w:val="24"/>
          <w:highlight w:val="none"/>
          <w:vertAlign w:val="baseline"/>
          <w:lang w:val="en-US" w:eastAsia="zh-CN" w:bidi="ar-SA"/>
        </w:rPr>
        <w:t>；α为平均吸声系数；</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r—声源到靠近围护结构某点处的距离，m</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按照下式计算所有室内声源在围护结构处产生的i倍频带叠加声压级：</w:t>
      </w:r>
    </w:p>
    <w:p>
      <w:pPr>
        <w:keepNext w:val="0"/>
        <w:keepLines w:val="0"/>
        <w:pageBreakBefore w:val="0"/>
        <w:widowControl/>
        <w:kinsoku w:val="0"/>
        <w:wordWrap/>
        <w:overflowPunct/>
        <w:topLinePunct w:val="0"/>
        <w:autoSpaceDE w:val="0"/>
        <w:autoSpaceDN w:val="0"/>
        <w:bidi w:val="0"/>
        <w:adjustRightInd w:val="0"/>
        <w:snapToGrid w:val="0"/>
        <w:spacing w:line="240" w:lineRule="auto"/>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2419350" cy="809625"/>
            <wp:effectExtent l="0" t="0" r="0" b="9525"/>
            <wp:docPr id="35" name="图片 35" descr="噪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噪3"/>
                    <pic:cNvPicPr>
                      <a:picLocks noChangeAspect="1"/>
                    </pic:cNvPicPr>
                  </pic:nvPicPr>
                  <pic:blipFill>
                    <a:blip r:embed="rId51"/>
                    <a:stretch>
                      <a:fillRect/>
                    </a:stretch>
                  </pic:blipFill>
                  <pic:spPr>
                    <a:xfrm>
                      <a:off x="0" y="0"/>
                      <a:ext cx="2419350" cy="80962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式中：L</w:t>
      </w:r>
      <w:r>
        <w:rPr>
          <w:rFonts w:hint="eastAsia" w:cs="Times New Roman"/>
          <w:caps w:val="0"/>
          <w:smallCaps w:val="0"/>
          <w:snapToGrid/>
          <w:color w:val="auto"/>
          <w:spacing w:val="0"/>
          <w:w w:val="100"/>
          <w:kern w:val="0"/>
          <w:sz w:val="24"/>
          <w:szCs w:val="24"/>
          <w:highlight w:val="none"/>
          <w:vertAlign w:val="subscript"/>
          <w:lang w:val="en-US" w:eastAsia="zh-CN" w:bidi="ar-SA"/>
        </w:rPr>
        <w:t>p1i</w:t>
      </w:r>
      <w:r>
        <w:rPr>
          <w:rFonts w:hint="eastAsia" w:cs="Times New Roman"/>
          <w:caps w:val="0"/>
          <w:smallCaps w:val="0"/>
          <w:snapToGrid/>
          <w:color w:val="auto"/>
          <w:spacing w:val="0"/>
          <w:w w:val="100"/>
          <w:kern w:val="0"/>
          <w:sz w:val="24"/>
          <w:szCs w:val="24"/>
          <w:highlight w:val="none"/>
          <w:vertAlign w:val="baseline"/>
          <w:lang w:val="en-US" w:eastAsia="zh-CN" w:bidi="ar-SA"/>
        </w:rPr>
        <w:t>（T）</w:t>
      </w:r>
      <w:r>
        <w:rPr>
          <w:rFonts w:hint="default" w:cs="Times New Roman"/>
          <w:caps w:val="0"/>
          <w:smallCaps w:val="0"/>
          <w:snapToGrid/>
          <w:color w:val="auto"/>
          <w:spacing w:val="0"/>
          <w:w w:val="100"/>
          <w:kern w:val="0"/>
          <w:sz w:val="24"/>
          <w:szCs w:val="24"/>
          <w:highlight w:val="none"/>
          <w:vertAlign w:val="baseline"/>
          <w:lang w:val="en-US" w:eastAsia="zh-CN" w:bidi="ar-SA"/>
        </w:rPr>
        <w:t>—靠近围护结构处室内N个声源i倍频带的叠加声压级，dB；</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L</w:t>
      </w:r>
      <w:r>
        <w:rPr>
          <w:rFonts w:hint="eastAsia" w:cs="Times New Roman"/>
          <w:caps w:val="0"/>
          <w:smallCaps w:val="0"/>
          <w:snapToGrid/>
          <w:color w:val="auto"/>
          <w:spacing w:val="0"/>
          <w:w w:val="100"/>
          <w:kern w:val="0"/>
          <w:sz w:val="24"/>
          <w:szCs w:val="24"/>
          <w:highlight w:val="none"/>
          <w:vertAlign w:val="subscript"/>
          <w:lang w:val="en-US" w:eastAsia="zh-CN" w:bidi="ar-SA"/>
        </w:rPr>
        <w:t>p1ij</w:t>
      </w:r>
      <w:r>
        <w:rPr>
          <w:rFonts w:hint="default" w:cs="Times New Roman"/>
          <w:caps w:val="0"/>
          <w:smallCaps w:val="0"/>
          <w:snapToGrid/>
          <w:color w:val="auto"/>
          <w:spacing w:val="0"/>
          <w:w w:val="100"/>
          <w:kern w:val="0"/>
          <w:sz w:val="24"/>
          <w:szCs w:val="24"/>
          <w:highlight w:val="none"/>
          <w:vertAlign w:val="baseline"/>
          <w:lang w:val="en-US" w:eastAsia="zh-CN" w:bidi="ar-SA"/>
        </w:rPr>
        <w:t>—室内j声源i倍频带的声压级，dB；</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N—室内声源总数。</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在室内近似为扩散声场时，按</w:t>
      </w:r>
      <w:r>
        <w:rPr>
          <w:rFonts w:hint="eastAsia" w:cs="Times New Roman"/>
          <w:caps w:val="0"/>
          <w:smallCaps w:val="0"/>
          <w:snapToGrid/>
          <w:color w:val="auto"/>
          <w:spacing w:val="0"/>
          <w:w w:val="100"/>
          <w:kern w:val="0"/>
          <w:sz w:val="24"/>
          <w:szCs w:val="24"/>
          <w:highlight w:val="none"/>
          <w:vertAlign w:val="baseline"/>
          <w:lang w:val="en-US" w:eastAsia="zh-CN" w:bidi="ar-SA"/>
        </w:rPr>
        <w:t>下式</w:t>
      </w:r>
      <w:r>
        <w:rPr>
          <w:rFonts w:hint="default" w:cs="Times New Roman"/>
          <w:caps w:val="0"/>
          <w:smallCaps w:val="0"/>
          <w:snapToGrid/>
          <w:color w:val="auto"/>
          <w:spacing w:val="0"/>
          <w:w w:val="100"/>
          <w:kern w:val="0"/>
          <w:sz w:val="24"/>
          <w:szCs w:val="24"/>
          <w:highlight w:val="none"/>
          <w:vertAlign w:val="baseline"/>
          <w:lang w:val="en-US" w:eastAsia="zh-CN" w:bidi="ar-SA"/>
        </w:rPr>
        <w:t>计算出靠近室外围护结构处的声压级：</w:t>
      </w:r>
    </w:p>
    <w:p>
      <w:pPr>
        <w:keepNext w:val="0"/>
        <w:keepLines w:val="0"/>
        <w:pageBreakBefore w:val="0"/>
        <w:widowControl/>
        <w:kinsoku w:val="0"/>
        <w:wordWrap/>
        <w:overflowPunct/>
        <w:topLinePunct w:val="0"/>
        <w:autoSpaceDE w:val="0"/>
        <w:autoSpaceDN w:val="0"/>
        <w:bidi w:val="0"/>
        <w:adjustRightInd w:val="0"/>
        <w:snapToGrid w:val="0"/>
        <w:spacing w:line="240" w:lineRule="auto"/>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2581275" cy="438150"/>
            <wp:effectExtent l="0" t="0" r="9525" b="0"/>
            <wp:docPr id="36" name="图片 36" descr="噪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噪4"/>
                    <pic:cNvPicPr>
                      <a:picLocks noChangeAspect="1"/>
                    </pic:cNvPicPr>
                  </pic:nvPicPr>
                  <pic:blipFill>
                    <a:blip r:embed="rId52"/>
                    <a:stretch>
                      <a:fillRect/>
                    </a:stretch>
                  </pic:blipFill>
                  <pic:spPr>
                    <a:xfrm>
                      <a:off x="0" y="0"/>
                      <a:ext cx="2581275" cy="43815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式中：L</w:t>
      </w:r>
      <w:r>
        <w:rPr>
          <w:rFonts w:hint="eastAsia" w:cs="Times New Roman"/>
          <w:caps w:val="0"/>
          <w:smallCaps w:val="0"/>
          <w:snapToGrid/>
          <w:color w:val="auto"/>
          <w:spacing w:val="0"/>
          <w:w w:val="100"/>
          <w:kern w:val="0"/>
          <w:sz w:val="24"/>
          <w:szCs w:val="24"/>
          <w:highlight w:val="none"/>
          <w:vertAlign w:val="subscript"/>
          <w:lang w:val="en-US" w:eastAsia="zh-CN" w:bidi="ar-SA"/>
        </w:rPr>
        <w:t>p2i</w:t>
      </w:r>
      <w:r>
        <w:rPr>
          <w:rFonts w:hint="eastAsia" w:cs="Times New Roman"/>
          <w:caps w:val="0"/>
          <w:smallCaps w:val="0"/>
          <w:snapToGrid/>
          <w:color w:val="auto"/>
          <w:spacing w:val="0"/>
          <w:w w:val="100"/>
          <w:kern w:val="0"/>
          <w:sz w:val="24"/>
          <w:szCs w:val="24"/>
          <w:highlight w:val="none"/>
          <w:vertAlign w:val="baseline"/>
          <w:lang w:val="en-US" w:eastAsia="zh-CN" w:bidi="ar-SA"/>
        </w:rPr>
        <w:t>（T）</w:t>
      </w:r>
      <w:r>
        <w:rPr>
          <w:rFonts w:hint="default" w:cs="Times New Roman"/>
          <w:caps w:val="0"/>
          <w:smallCaps w:val="0"/>
          <w:snapToGrid/>
          <w:color w:val="auto"/>
          <w:spacing w:val="0"/>
          <w:w w:val="100"/>
          <w:kern w:val="0"/>
          <w:sz w:val="24"/>
          <w:szCs w:val="24"/>
          <w:highlight w:val="none"/>
          <w:vertAlign w:val="baseline"/>
          <w:lang w:val="en-US" w:eastAsia="zh-CN" w:bidi="ar-SA"/>
        </w:rPr>
        <w:t>—靠近围护结构处室外N个声源i倍频带的叠加声压级，dB；</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L</w:t>
      </w:r>
      <w:r>
        <w:rPr>
          <w:rFonts w:hint="eastAsia" w:cs="Times New Roman"/>
          <w:caps w:val="0"/>
          <w:smallCaps w:val="0"/>
          <w:snapToGrid/>
          <w:color w:val="auto"/>
          <w:spacing w:val="0"/>
          <w:w w:val="100"/>
          <w:kern w:val="0"/>
          <w:sz w:val="24"/>
          <w:szCs w:val="24"/>
          <w:highlight w:val="none"/>
          <w:vertAlign w:val="subscript"/>
          <w:lang w:val="en-US" w:eastAsia="zh-CN" w:bidi="ar-SA"/>
        </w:rPr>
        <w:t>p1i</w:t>
      </w:r>
      <w:r>
        <w:rPr>
          <w:rFonts w:hint="default" w:cs="Times New Roman"/>
          <w:caps w:val="0"/>
          <w:smallCaps w:val="0"/>
          <w:snapToGrid/>
          <w:color w:val="auto"/>
          <w:spacing w:val="0"/>
          <w:w w:val="100"/>
          <w:kern w:val="0"/>
          <w:sz w:val="24"/>
          <w:szCs w:val="24"/>
          <w:highlight w:val="none"/>
          <w:vertAlign w:val="baseline"/>
          <w:lang w:val="en-US" w:eastAsia="zh-CN" w:bidi="ar-SA"/>
        </w:rPr>
        <w:t>—靠近围护结构处室内N个声源i倍频带的叠加声压级，dB；</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TL</w:t>
      </w:r>
      <w:r>
        <w:rPr>
          <w:rFonts w:hint="default" w:cs="Times New Roman"/>
          <w:caps w:val="0"/>
          <w:smallCaps w:val="0"/>
          <w:snapToGrid/>
          <w:color w:val="auto"/>
          <w:spacing w:val="0"/>
          <w:w w:val="100"/>
          <w:kern w:val="0"/>
          <w:sz w:val="24"/>
          <w:szCs w:val="24"/>
          <w:highlight w:val="none"/>
          <w:vertAlign w:val="subscript"/>
          <w:lang w:val="en-US" w:eastAsia="zh-CN" w:bidi="ar-SA"/>
        </w:rPr>
        <w:t>i</w:t>
      </w:r>
      <w:r>
        <w:rPr>
          <w:rFonts w:hint="default" w:cs="Times New Roman"/>
          <w:caps w:val="0"/>
          <w:smallCaps w:val="0"/>
          <w:snapToGrid/>
          <w:color w:val="auto"/>
          <w:spacing w:val="0"/>
          <w:w w:val="100"/>
          <w:kern w:val="0"/>
          <w:sz w:val="24"/>
          <w:szCs w:val="24"/>
          <w:highlight w:val="none"/>
          <w:vertAlign w:val="baseline"/>
          <w:lang w:val="en-US" w:eastAsia="zh-CN" w:bidi="ar-SA"/>
        </w:rPr>
        <w:t>—围护结构i倍频带的隔声量，dB。</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然后按</w:t>
      </w:r>
      <w:r>
        <w:rPr>
          <w:rFonts w:hint="eastAsia" w:cs="Times New Roman"/>
          <w:caps w:val="0"/>
          <w:smallCaps w:val="0"/>
          <w:snapToGrid/>
          <w:color w:val="auto"/>
          <w:spacing w:val="0"/>
          <w:w w:val="100"/>
          <w:kern w:val="0"/>
          <w:sz w:val="24"/>
          <w:szCs w:val="24"/>
          <w:highlight w:val="none"/>
          <w:vertAlign w:val="baseline"/>
          <w:lang w:val="en-US" w:eastAsia="zh-CN" w:bidi="ar-SA"/>
        </w:rPr>
        <w:t>下式</w:t>
      </w:r>
      <w:r>
        <w:rPr>
          <w:rFonts w:hint="default" w:cs="Times New Roman"/>
          <w:caps w:val="0"/>
          <w:smallCaps w:val="0"/>
          <w:snapToGrid/>
          <w:color w:val="auto"/>
          <w:spacing w:val="0"/>
          <w:w w:val="100"/>
          <w:kern w:val="0"/>
          <w:sz w:val="24"/>
          <w:szCs w:val="24"/>
          <w:highlight w:val="none"/>
          <w:vertAlign w:val="baseline"/>
          <w:lang w:val="en-US" w:eastAsia="zh-CN" w:bidi="ar-SA"/>
        </w:rPr>
        <w:t>将室外声源的声压级和透过面积换算成等效的室外声源，计算出中心位置位于透声面积（S）处的等效声源的倍频带声功率级</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drawing>
          <wp:inline distT="0" distB="0" distL="114300" distR="114300">
            <wp:extent cx="1962150" cy="342900"/>
            <wp:effectExtent l="0" t="0" r="0" b="0"/>
            <wp:docPr id="38" name="图片 38" descr="噪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噪5"/>
                    <pic:cNvPicPr>
                      <a:picLocks noChangeAspect="1"/>
                    </pic:cNvPicPr>
                  </pic:nvPicPr>
                  <pic:blipFill>
                    <a:blip r:embed="rId53"/>
                    <a:stretch>
                      <a:fillRect/>
                    </a:stretch>
                  </pic:blipFill>
                  <pic:spPr>
                    <a:xfrm>
                      <a:off x="0" y="0"/>
                      <a:ext cx="1962150" cy="34290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720" w:firstLineChars="3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式中：L</w:t>
      </w:r>
      <w:r>
        <w:rPr>
          <w:rFonts w:hint="default" w:cs="Times New Roman"/>
          <w:caps w:val="0"/>
          <w:smallCaps w:val="0"/>
          <w:snapToGrid/>
          <w:color w:val="auto"/>
          <w:spacing w:val="0"/>
          <w:w w:val="100"/>
          <w:kern w:val="0"/>
          <w:sz w:val="24"/>
          <w:szCs w:val="24"/>
          <w:highlight w:val="none"/>
          <w:vertAlign w:val="subscript"/>
          <w:lang w:val="en-US" w:eastAsia="zh-CN" w:bidi="ar-SA"/>
        </w:rPr>
        <w:t>w</w:t>
      </w:r>
      <w:r>
        <w:rPr>
          <w:rFonts w:hint="default" w:cs="Times New Roman"/>
          <w:caps w:val="0"/>
          <w:smallCaps w:val="0"/>
          <w:snapToGrid/>
          <w:color w:val="auto"/>
          <w:spacing w:val="0"/>
          <w:w w:val="100"/>
          <w:kern w:val="0"/>
          <w:sz w:val="24"/>
          <w:szCs w:val="24"/>
          <w:highlight w:val="none"/>
          <w:vertAlign w:val="baseline"/>
          <w:lang w:val="en-US" w:eastAsia="zh-CN" w:bidi="ar-SA"/>
        </w:rPr>
        <w:t>—中心位置位于透声面积（S）处的等效声源的倍频带声功率级，dB；</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440" w:firstLineChars="6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L</w:t>
      </w:r>
      <w:r>
        <w:rPr>
          <w:rFonts w:hint="default" w:cs="Times New Roman"/>
          <w:caps w:val="0"/>
          <w:smallCaps w:val="0"/>
          <w:snapToGrid/>
          <w:color w:val="auto"/>
          <w:spacing w:val="0"/>
          <w:w w:val="100"/>
          <w:kern w:val="0"/>
          <w:sz w:val="24"/>
          <w:szCs w:val="24"/>
          <w:highlight w:val="none"/>
          <w:vertAlign w:val="subscript"/>
          <w:lang w:val="en-US" w:eastAsia="zh-CN" w:bidi="ar-SA"/>
        </w:rPr>
        <w:t>p2</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cs="Times New Roman"/>
          <w:caps w:val="0"/>
          <w:smallCaps w:val="0"/>
          <w:snapToGrid/>
          <w:color w:val="auto"/>
          <w:spacing w:val="0"/>
          <w:w w:val="100"/>
          <w:kern w:val="0"/>
          <w:sz w:val="24"/>
          <w:szCs w:val="24"/>
          <w:highlight w:val="none"/>
          <w:vertAlign w:val="baseline"/>
          <w:lang w:val="en-US" w:eastAsia="zh-CN" w:bidi="ar-SA"/>
        </w:rPr>
        <w:t>T</w:t>
      </w:r>
      <w:r>
        <w:rPr>
          <w:rFonts w:hint="eastAsia" w:cs="Times New Roman"/>
          <w:caps w:val="0"/>
          <w:smallCaps w:val="0"/>
          <w:snapToGrid/>
          <w:color w:val="auto"/>
          <w:spacing w:val="0"/>
          <w:w w:val="100"/>
          <w:kern w:val="0"/>
          <w:sz w:val="24"/>
          <w:szCs w:val="24"/>
          <w:highlight w:val="none"/>
          <w:vertAlign w:val="baseline"/>
          <w:lang w:val="en-US" w:eastAsia="zh-CN" w:bidi="ar-SA"/>
        </w:rPr>
        <w:t>）</w:t>
      </w:r>
      <w:r>
        <w:rPr>
          <w:rFonts w:hint="default" w:cs="Times New Roman"/>
          <w:caps w:val="0"/>
          <w:smallCaps w:val="0"/>
          <w:snapToGrid/>
          <w:color w:val="auto"/>
          <w:spacing w:val="0"/>
          <w:w w:val="100"/>
          <w:kern w:val="0"/>
          <w:sz w:val="24"/>
          <w:szCs w:val="24"/>
          <w:highlight w:val="none"/>
          <w:vertAlign w:val="baseline"/>
          <w:lang w:val="en-US" w:eastAsia="zh-CN" w:bidi="ar-SA"/>
        </w:rPr>
        <w:t>—靠近围护结构处室外声源的声压级，dB；</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440" w:firstLineChars="6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S—透声面积，m</w:t>
      </w:r>
      <w:r>
        <w:rPr>
          <w:rFonts w:hint="default" w:cs="Times New Roman"/>
          <w:caps w:val="0"/>
          <w:smallCaps w:val="0"/>
          <w:snapToGrid/>
          <w:color w:val="auto"/>
          <w:spacing w:val="0"/>
          <w:w w:val="100"/>
          <w:kern w:val="0"/>
          <w:sz w:val="24"/>
          <w:szCs w:val="24"/>
          <w:highlight w:val="none"/>
          <w:vertAlign w:val="superscript"/>
          <w:lang w:val="en-US" w:eastAsia="zh-CN" w:bidi="ar-SA"/>
        </w:rPr>
        <w:t>2</w:t>
      </w:r>
      <w:r>
        <w:rPr>
          <w:rFonts w:hint="default"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然后按室外声源预测方法计算预测点处的A声级</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pStyle w:val="2"/>
        <w:keepNext w:val="0"/>
        <w:keepLines w:val="0"/>
        <w:pageBreakBefore w:val="0"/>
        <w:wordWrap/>
        <w:overflowPunct/>
        <w:topLinePunct w:val="0"/>
        <w:bidi w:val="0"/>
        <w:spacing w:line="500" w:lineRule="exact"/>
        <w:ind w:left="0" w:leftChars="0" w:firstLine="0" w:firstLineChars="0"/>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（2）预测结果</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5.2-18服务站站址厂界预测结果一览表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16"/>
        <w:gridCol w:w="898"/>
        <w:gridCol w:w="882"/>
        <w:gridCol w:w="832"/>
        <w:gridCol w:w="819"/>
        <w:gridCol w:w="1117"/>
        <w:gridCol w:w="1185"/>
        <w:gridCol w:w="1173"/>
        <w:gridCol w:w="79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6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default" w:cs="Times New Roman"/>
                <w:color w:val="auto"/>
                <w:highlight w:val="none"/>
                <w:vertAlign w:val="baseline"/>
                <w:lang w:val="en-US" w:eastAsia="zh-CN"/>
              </w:rPr>
              <w:t>预测方位</w:t>
            </w:r>
          </w:p>
        </w:tc>
        <w:tc>
          <w:tcPr>
            <w:tcW w:w="2702"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default" w:cs="Times New Roman"/>
                <w:color w:val="auto"/>
                <w:highlight w:val="none"/>
                <w:vertAlign w:val="baseline"/>
                <w:lang w:val="en-US" w:eastAsia="zh-CN"/>
              </w:rPr>
              <w:t>空间相对位置/m</w:t>
            </w:r>
          </w:p>
        </w:tc>
        <w:tc>
          <w:tcPr>
            <w:tcW w:w="87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default" w:cs="Times New Roman"/>
                <w:color w:val="auto"/>
                <w:highlight w:val="none"/>
                <w:vertAlign w:val="baseline"/>
                <w:lang w:val="en-US" w:eastAsia="zh-CN"/>
              </w:rPr>
              <w:t>时段</w:t>
            </w:r>
          </w:p>
        </w:tc>
        <w:tc>
          <w:tcPr>
            <w:tcW w:w="118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现状监测值</w:t>
            </w:r>
          </w:p>
        </w:tc>
        <w:tc>
          <w:tcPr>
            <w:tcW w:w="118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贡献值</w:t>
            </w:r>
            <w:r>
              <w:rPr>
                <w:rFonts w:hint="default" w:cs="Times New Roman"/>
                <w:color w:val="auto"/>
                <w:highlight w:val="none"/>
                <w:vertAlign w:val="baseline"/>
                <w:lang w:val="en-US" w:eastAsia="zh-CN"/>
              </w:rPr>
              <w:t>（dB(A)）</w:t>
            </w:r>
          </w:p>
        </w:tc>
        <w:tc>
          <w:tcPr>
            <w:tcW w:w="85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default" w:cs="Times New Roman"/>
                <w:color w:val="auto"/>
                <w:highlight w:val="none"/>
                <w:vertAlign w:val="baseline"/>
                <w:lang w:val="en-US" w:eastAsia="zh-CN"/>
              </w:rPr>
              <w:t>标准限值（dB(A)）</w:t>
            </w:r>
          </w:p>
        </w:tc>
        <w:tc>
          <w:tcPr>
            <w:tcW w:w="84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default" w:cs="Times New Roman"/>
                <w:color w:val="auto"/>
                <w:highlight w:val="none"/>
                <w:vertAlign w:val="baseline"/>
                <w:lang w:val="en-US" w:eastAsia="zh-CN"/>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p>
        </w:tc>
        <w:tc>
          <w:tcPr>
            <w:tcW w:w="9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sz w:val="21"/>
                <w:szCs w:val="21"/>
                <w:highlight w:val="none"/>
                <w:vertAlign w:val="baseline"/>
                <w:lang w:val="en-US" w:eastAsia="zh-CN"/>
              </w:rPr>
              <w:t>X</w:t>
            </w:r>
          </w:p>
        </w:tc>
        <w:tc>
          <w:tcPr>
            <w:tcW w:w="90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sz w:val="21"/>
                <w:szCs w:val="21"/>
                <w:highlight w:val="none"/>
                <w:vertAlign w:val="baseline"/>
                <w:lang w:val="en-US" w:eastAsia="zh-CN"/>
              </w:rPr>
              <w:t>Y</w:t>
            </w:r>
          </w:p>
        </w:tc>
        <w:tc>
          <w:tcPr>
            <w:tcW w:w="8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sz w:val="21"/>
                <w:szCs w:val="21"/>
                <w:highlight w:val="none"/>
                <w:vertAlign w:val="baseline"/>
                <w:lang w:val="en-US" w:eastAsia="zh-CN"/>
              </w:rPr>
              <w:t>Z</w:t>
            </w:r>
          </w:p>
        </w:tc>
        <w:tc>
          <w:tcPr>
            <w:tcW w:w="87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p>
        </w:tc>
        <w:tc>
          <w:tcPr>
            <w:tcW w:w="118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p>
        </w:tc>
        <w:tc>
          <w:tcPr>
            <w:tcW w:w="118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p>
        </w:tc>
        <w:tc>
          <w:tcPr>
            <w:tcW w:w="8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p>
        </w:tc>
        <w:tc>
          <w:tcPr>
            <w:tcW w:w="84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6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厂界东侧</w:t>
            </w:r>
          </w:p>
        </w:tc>
        <w:tc>
          <w:tcPr>
            <w:tcW w:w="9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209.5</w:t>
            </w:r>
          </w:p>
        </w:tc>
        <w:tc>
          <w:tcPr>
            <w:tcW w:w="90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208.2</w:t>
            </w:r>
          </w:p>
        </w:tc>
        <w:tc>
          <w:tcPr>
            <w:tcW w:w="8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w:t>
            </w:r>
          </w:p>
        </w:tc>
        <w:tc>
          <w:tcPr>
            <w:tcW w:w="871" w:type="dxa"/>
            <w:tcBorders>
              <w:tl2br w:val="nil"/>
              <w:tr2bl w:val="nil"/>
            </w:tcBorders>
            <w:vAlign w:val="center"/>
          </w:tcPr>
          <w:p>
            <w:pPr>
              <w:rPr>
                <w:rFonts w:hint="default" w:cs="Times New Roman"/>
                <w:color w:val="auto"/>
                <w:highlight w:val="none"/>
                <w:vertAlign w:val="baseline"/>
                <w:lang w:val="en-US" w:eastAsia="zh-CN"/>
              </w:rPr>
            </w:pPr>
            <w:r>
              <w:rPr>
                <w:rFonts w:ascii="Arial" w:hAnsi="Arial" w:eastAsia="Arial" w:cs="Arial"/>
                <w:color w:val="auto"/>
                <w:sz w:val="20"/>
                <w:highlight w:val="none"/>
              </w:rPr>
              <w:t>昼间</w:t>
            </w:r>
          </w:p>
        </w:tc>
        <w:tc>
          <w:tcPr>
            <w:tcW w:w="1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50.2</w:t>
            </w:r>
          </w:p>
        </w:tc>
        <w:tc>
          <w:tcPr>
            <w:tcW w:w="11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46.7</w:t>
            </w:r>
          </w:p>
        </w:tc>
        <w:tc>
          <w:tcPr>
            <w:tcW w:w="8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60</w:t>
            </w:r>
          </w:p>
        </w:tc>
        <w:tc>
          <w:tcPr>
            <w:tcW w:w="84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p>
        </w:tc>
        <w:tc>
          <w:tcPr>
            <w:tcW w:w="9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209.5</w:t>
            </w:r>
          </w:p>
        </w:tc>
        <w:tc>
          <w:tcPr>
            <w:tcW w:w="90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208.2</w:t>
            </w:r>
          </w:p>
        </w:tc>
        <w:tc>
          <w:tcPr>
            <w:tcW w:w="8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w:t>
            </w:r>
          </w:p>
        </w:tc>
        <w:tc>
          <w:tcPr>
            <w:tcW w:w="871" w:type="dxa"/>
            <w:tcBorders>
              <w:tl2br w:val="nil"/>
              <w:tr2bl w:val="nil"/>
            </w:tcBorders>
            <w:vAlign w:val="center"/>
          </w:tcPr>
          <w:p>
            <w:pPr>
              <w:rPr>
                <w:rFonts w:hint="default" w:cs="Times New Roman"/>
                <w:color w:val="auto"/>
                <w:highlight w:val="none"/>
                <w:vertAlign w:val="baseline"/>
                <w:lang w:val="en-US" w:eastAsia="zh-CN"/>
              </w:rPr>
            </w:pPr>
            <w:r>
              <w:rPr>
                <w:rFonts w:ascii="Arial" w:hAnsi="Arial" w:eastAsia="Arial" w:cs="Arial"/>
                <w:color w:val="auto"/>
                <w:sz w:val="20"/>
                <w:highlight w:val="none"/>
              </w:rPr>
              <w:t>夜间</w:t>
            </w:r>
          </w:p>
        </w:tc>
        <w:tc>
          <w:tcPr>
            <w:tcW w:w="11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44.3</w:t>
            </w:r>
          </w:p>
        </w:tc>
        <w:tc>
          <w:tcPr>
            <w:tcW w:w="11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46.7</w:t>
            </w:r>
          </w:p>
        </w:tc>
        <w:tc>
          <w:tcPr>
            <w:tcW w:w="8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50</w:t>
            </w:r>
          </w:p>
        </w:tc>
        <w:tc>
          <w:tcPr>
            <w:tcW w:w="84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6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厂界南侧</w:t>
            </w:r>
          </w:p>
        </w:tc>
        <w:tc>
          <w:tcPr>
            <w:tcW w:w="9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45.1</w:t>
            </w:r>
          </w:p>
        </w:tc>
        <w:tc>
          <w:tcPr>
            <w:tcW w:w="90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-47.8</w:t>
            </w:r>
          </w:p>
        </w:tc>
        <w:tc>
          <w:tcPr>
            <w:tcW w:w="8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w:t>
            </w:r>
          </w:p>
        </w:tc>
        <w:tc>
          <w:tcPr>
            <w:tcW w:w="871" w:type="dxa"/>
            <w:tcBorders>
              <w:tl2br w:val="nil"/>
              <w:tr2bl w:val="nil"/>
            </w:tcBorders>
            <w:vAlign w:val="center"/>
          </w:tcPr>
          <w:p>
            <w:pPr>
              <w:rPr>
                <w:rFonts w:hint="default" w:cs="Times New Roman"/>
                <w:color w:val="auto"/>
                <w:highlight w:val="none"/>
                <w:vertAlign w:val="baseline"/>
                <w:lang w:val="en-US" w:eastAsia="zh-CN"/>
              </w:rPr>
            </w:pPr>
            <w:r>
              <w:rPr>
                <w:rFonts w:ascii="Arial" w:hAnsi="Arial" w:eastAsia="Arial" w:cs="Arial"/>
                <w:color w:val="auto"/>
                <w:sz w:val="20"/>
                <w:highlight w:val="none"/>
              </w:rPr>
              <w:t>昼间</w:t>
            </w:r>
          </w:p>
        </w:tc>
        <w:tc>
          <w:tcPr>
            <w:tcW w:w="11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50.2</w:t>
            </w:r>
          </w:p>
        </w:tc>
        <w:tc>
          <w:tcPr>
            <w:tcW w:w="11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11.4</w:t>
            </w:r>
          </w:p>
        </w:tc>
        <w:tc>
          <w:tcPr>
            <w:tcW w:w="8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60</w:t>
            </w:r>
          </w:p>
        </w:tc>
        <w:tc>
          <w:tcPr>
            <w:tcW w:w="84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p>
        </w:tc>
        <w:tc>
          <w:tcPr>
            <w:tcW w:w="9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45.1</w:t>
            </w:r>
          </w:p>
        </w:tc>
        <w:tc>
          <w:tcPr>
            <w:tcW w:w="90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-47.8</w:t>
            </w:r>
          </w:p>
        </w:tc>
        <w:tc>
          <w:tcPr>
            <w:tcW w:w="8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w:t>
            </w:r>
          </w:p>
        </w:tc>
        <w:tc>
          <w:tcPr>
            <w:tcW w:w="871" w:type="dxa"/>
            <w:tcBorders>
              <w:tl2br w:val="nil"/>
              <w:tr2bl w:val="nil"/>
            </w:tcBorders>
            <w:vAlign w:val="center"/>
          </w:tcPr>
          <w:p>
            <w:pPr>
              <w:rPr>
                <w:rFonts w:hint="default" w:cs="Times New Roman"/>
                <w:color w:val="auto"/>
                <w:highlight w:val="none"/>
                <w:vertAlign w:val="baseline"/>
                <w:lang w:val="en-US" w:eastAsia="zh-CN"/>
              </w:rPr>
            </w:pPr>
            <w:r>
              <w:rPr>
                <w:rFonts w:ascii="Arial" w:hAnsi="Arial" w:eastAsia="Arial" w:cs="Arial"/>
                <w:color w:val="auto"/>
                <w:sz w:val="20"/>
                <w:highlight w:val="none"/>
              </w:rPr>
              <w:t>夜间</w:t>
            </w:r>
          </w:p>
        </w:tc>
        <w:tc>
          <w:tcPr>
            <w:tcW w:w="11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44.2</w:t>
            </w:r>
          </w:p>
        </w:tc>
        <w:tc>
          <w:tcPr>
            <w:tcW w:w="11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11.4</w:t>
            </w:r>
          </w:p>
        </w:tc>
        <w:tc>
          <w:tcPr>
            <w:tcW w:w="8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50</w:t>
            </w:r>
          </w:p>
        </w:tc>
        <w:tc>
          <w:tcPr>
            <w:tcW w:w="84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6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厂界西侧</w:t>
            </w:r>
          </w:p>
        </w:tc>
        <w:tc>
          <w:tcPr>
            <w:tcW w:w="9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-142.9</w:t>
            </w:r>
          </w:p>
        </w:tc>
        <w:tc>
          <w:tcPr>
            <w:tcW w:w="90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140.2</w:t>
            </w:r>
          </w:p>
        </w:tc>
        <w:tc>
          <w:tcPr>
            <w:tcW w:w="8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w:t>
            </w:r>
          </w:p>
        </w:tc>
        <w:tc>
          <w:tcPr>
            <w:tcW w:w="871" w:type="dxa"/>
            <w:tcBorders>
              <w:tl2br w:val="nil"/>
              <w:tr2bl w:val="nil"/>
            </w:tcBorders>
            <w:vAlign w:val="center"/>
          </w:tcPr>
          <w:p>
            <w:pPr>
              <w:rPr>
                <w:rFonts w:hint="default" w:cs="Times New Roman"/>
                <w:color w:val="auto"/>
                <w:highlight w:val="none"/>
                <w:vertAlign w:val="baseline"/>
                <w:lang w:val="en-US" w:eastAsia="zh-CN"/>
              </w:rPr>
            </w:pPr>
            <w:r>
              <w:rPr>
                <w:rFonts w:ascii="Arial" w:hAnsi="Arial" w:eastAsia="Arial" w:cs="Arial"/>
                <w:color w:val="auto"/>
                <w:sz w:val="20"/>
                <w:highlight w:val="none"/>
              </w:rPr>
              <w:t>昼间</w:t>
            </w:r>
          </w:p>
        </w:tc>
        <w:tc>
          <w:tcPr>
            <w:tcW w:w="11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1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23.8</w:t>
            </w:r>
          </w:p>
        </w:tc>
        <w:tc>
          <w:tcPr>
            <w:tcW w:w="8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60</w:t>
            </w:r>
          </w:p>
        </w:tc>
        <w:tc>
          <w:tcPr>
            <w:tcW w:w="84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p>
        </w:tc>
        <w:tc>
          <w:tcPr>
            <w:tcW w:w="9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-142.9</w:t>
            </w:r>
          </w:p>
        </w:tc>
        <w:tc>
          <w:tcPr>
            <w:tcW w:w="90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140.2</w:t>
            </w:r>
          </w:p>
        </w:tc>
        <w:tc>
          <w:tcPr>
            <w:tcW w:w="8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w:t>
            </w:r>
          </w:p>
        </w:tc>
        <w:tc>
          <w:tcPr>
            <w:tcW w:w="871" w:type="dxa"/>
            <w:tcBorders>
              <w:tl2br w:val="nil"/>
              <w:tr2bl w:val="nil"/>
            </w:tcBorders>
            <w:vAlign w:val="center"/>
          </w:tcPr>
          <w:p>
            <w:pPr>
              <w:rPr>
                <w:rFonts w:hint="default" w:cs="Times New Roman"/>
                <w:color w:val="auto"/>
                <w:highlight w:val="none"/>
                <w:vertAlign w:val="baseline"/>
                <w:lang w:val="en-US" w:eastAsia="zh-CN"/>
              </w:rPr>
            </w:pPr>
            <w:r>
              <w:rPr>
                <w:rFonts w:ascii="Arial" w:hAnsi="Arial" w:eastAsia="Arial" w:cs="Arial"/>
                <w:color w:val="auto"/>
                <w:sz w:val="20"/>
                <w:highlight w:val="none"/>
              </w:rPr>
              <w:t>夜间</w:t>
            </w:r>
          </w:p>
        </w:tc>
        <w:tc>
          <w:tcPr>
            <w:tcW w:w="11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1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23.8</w:t>
            </w:r>
          </w:p>
        </w:tc>
        <w:tc>
          <w:tcPr>
            <w:tcW w:w="8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50</w:t>
            </w:r>
          </w:p>
        </w:tc>
        <w:tc>
          <w:tcPr>
            <w:tcW w:w="84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68"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r>
              <w:rPr>
                <w:rFonts w:hint="eastAsia" w:cs="Times New Roman"/>
                <w:color w:val="auto"/>
                <w:highlight w:val="none"/>
                <w:vertAlign w:val="baseline"/>
                <w:lang w:val="en-US" w:eastAsia="zh-CN"/>
              </w:rPr>
              <w:t>厂界北侧</w:t>
            </w:r>
          </w:p>
        </w:tc>
        <w:tc>
          <w:tcPr>
            <w:tcW w:w="9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185.4</w:t>
            </w:r>
          </w:p>
        </w:tc>
        <w:tc>
          <w:tcPr>
            <w:tcW w:w="90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242.1</w:t>
            </w:r>
          </w:p>
        </w:tc>
        <w:tc>
          <w:tcPr>
            <w:tcW w:w="8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w:t>
            </w:r>
          </w:p>
        </w:tc>
        <w:tc>
          <w:tcPr>
            <w:tcW w:w="871" w:type="dxa"/>
            <w:tcBorders>
              <w:tl2br w:val="nil"/>
              <w:tr2bl w:val="nil"/>
            </w:tcBorders>
            <w:vAlign w:val="center"/>
          </w:tcPr>
          <w:p>
            <w:pPr>
              <w:jc w:val="center"/>
              <w:rPr>
                <w:rFonts w:hint="default" w:cs="Times New Roman"/>
                <w:color w:val="auto"/>
                <w:highlight w:val="none"/>
                <w:vertAlign w:val="baseline"/>
                <w:lang w:val="en-US" w:eastAsia="zh-CN"/>
              </w:rPr>
            </w:pPr>
            <w:r>
              <w:rPr>
                <w:rFonts w:ascii="Arial" w:hAnsi="Arial" w:eastAsia="Arial" w:cs="Arial"/>
                <w:color w:val="auto"/>
                <w:sz w:val="20"/>
                <w:highlight w:val="none"/>
              </w:rPr>
              <w:t>昼间</w:t>
            </w:r>
          </w:p>
        </w:tc>
        <w:tc>
          <w:tcPr>
            <w:tcW w:w="11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49.8</w:t>
            </w:r>
          </w:p>
        </w:tc>
        <w:tc>
          <w:tcPr>
            <w:tcW w:w="11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51.5</w:t>
            </w:r>
          </w:p>
        </w:tc>
        <w:tc>
          <w:tcPr>
            <w:tcW w:w="8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70</w:t>
            </w:r>
          </w:p>
        </w:tc>
        <w:tc>
          <w:tcPr>
            <w:tcW w:w="84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68"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cs="Times New Roman"/>
                <w:color w:val="auto"/>
                <w:highlight w:val="none"/>
                <w:vertAlign w:val="baseline"/>
                <w:lang w:val="en-US" w:eastAsia="zh-CN"/>
              </w:rPr>
            </w:pPr>
          </w:p>
        </w:tc>
        <w:tc>
          <w:tcPr>
            <w:tcW w:w="9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185.4</w:t>
            </w:r>
          </w:p>
        </w:tc>
        <w:tc>
          <w:tcPr>
            <w:tcW w:w="90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242.1</w:t>
            </w:r>
          </w:p>
        </w:tc>
        <w:tc>
          <w:tcPr>
            <w:tcW w:w="8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w:t>
            </w:r>
          </w:p>
        </w:tc>
        <w:tc>
          <w:tcPr>
            <w:tcW w:w="871" w:type="dxa"/>
            <w:tcBorders>
              <w:tl2br w:val="nil"/>
              <w:tr2bl w:val="nil"/>
            </w:tcBorders>
            <w:vAlign w:val="center"/>
          </w:tcPr>
          <w:p>
            <w:pPr>
              <w:jc w:val="center"/>
              <w:rPr>
                <w:rFonts w:hint="default" w:cs="Times New Roman"/>
                <w:color w:val="auto"/>
                <w:highlight w:val="none"/>
                <w:vertAlign w:val="baseline"/>
                <w:lang w:val="en-US" w:eastAsia="zh-CN"/>
              </w:rPr>
            </w:pPr>
            <w:r>
              <w:rPr>
                <w:rFonts w:ascii="Arial" w:hAnsi="Arial" w:eastAsia="Arial" w:cs="Arial"/>
                <w:color w:val="auto"/>
                <w:sz w:val="20"/>
                <w:highlight w:val="none"/>
              </w:rPr>
              <w:t>夜间</w:t>
            </w:r>
          </w:p>
        </w:tc>
        <w:tc>
          <w:tcPr>
            <w:tcW w:w="11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44.5</w:t>
            </w:r>
          </w:p>
        </w:tc>
        <w:tc>
          <w:tcPr>
            <w:tcW w:w="11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51.5</w:t>
            </w:r>
          </w:p>
        </w:tc>
        <w:tc>
          <w:tcPr>
            <w:tcW w:w="8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55</w:t>
            </w:r>
          </w:p>
        </w:tc>
        <w:tc>
          <w:tcPr>
            <w:tcW w:w="84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达标</w:t>
            </w:r>
          </w:p>
        </w:tc>
      </w:tr>
    </w:tbl>
    <w:p>
      <w:pPr>
        <w:keepNext w:val="0"/>
        <w:keepLines w:val="0"/>
        <w:pageBreakBefore w:val="0"/>
        <w:widowControl w:val="0"/>
        <w:kinsoku/>
        <w:wordWrap/>
        <w:overflowPunct/>
        <w:topLinePunct w:val="0"/>
        <w:autoSpaceDE/>
        <w:autoSpaceDN/>
        <w:bidi w:val="0"/>
        <w:adjustRightInd/>
        <w:snapToGrid/>
        <w:spacing w:line="500" w:lineRule="atLeast"/>
        <w:jc w:val="center"/>
        <w:textAlignment w:val="auto"/>
        <w:rPr>
          <w:rFonts w:hint="default" w:cs="Times New Roman"/>
          <w:b/>
          <w:bCs/>
          <w:caps w:val="0"/>
          <w:smallCaps w:val="0"/>
          <w:snapToGrid/>
          <w:color w:val="auto"/>
          <w:spacing w:val="0"/>
          <w:w w:val="100"/>
          <w:kern w:val="0"/>
          <w:sz w:val="21"/>
          <w:szCs w:val="21"/>
          <w:highlight w:val="none"/>
          <w:lang w:val="en-US" w:eastAsia="zh-CN" w:bidi="ar-SA"/>
        </w:rPr>
      </w:pPr>
      <w:r>
        <w:rPr>
          <w:color w:val="auto"/>
          <w:sz w:val="21"/>
          <w:highlight w:val="none"/>
        </w:rPr>
        <mc:AlternateContent>
          <mc:Choice Requires="wps">
            <w:drawing>
              <wp:anchor distT="0" distB="0" distL="114300" distR="114300" simplePos="0" relativeHeight="251662336" behindDoc="0" locked="0" layoutInCell="1" allowOverlap="1">
                <wp:simplePos x="0" y="0"/>
                <wp:positionH relativeFrom="column">
                  <wp:posOffset>1080770</wp:posOffset>
                </wp:positionH>
                <wp:positionV relativeFrom="paragraph">
                  <wp:posOffset>1326515</wp:posOffset>
                </wp:positionV>
                <wp:extent cx="925195" cy="425450"/>
                <wp:effectExtent l="0" t="0" r="0" b="0"/>
                <wp:wrapNone/>
                <wp:docPr id="40" name="文本框 40"/>
                <wp:cNvGraphicFramePr/>
                <a:graphic xmlns:a="http://schemas.openxmlformats.org/drawingml/2006/main">
                  <a:graphicData uri="http://schemas.microsoft.com/office/word/2010/wordprocessingShape">
                    <wps:wsp>
                      <wps:cNvSpPr txBox="1"/>
                      <wps:spPr>
                        <a:xfrm>
                          <a:off x="1386205" y="2564130"/>
                          <a:ext cx="925195" cy="4254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黑体" w:hAnsi="黑体" w:eastAsia="黑体" w:cs="黑体"/>
                                <w:b/>
                                <w:bCs/>
                                <w:color w:val="FF0000"/>
                                <w:sz w:val="28"/>
                                <w:szCs w:val="36"/>
                                <w:lang w:val="en-US" w:eastAsia="zh-CN"/>
                              </w:rPr>
                            </w:pPr>
                            <w:r>
                              <w:rPr>
                                <w:rFonts w:hint="eastAsia" w:ascii="黑体" w:hAnsi="黑体" w:eastAsia="黑体" w:cs="黑体"/>
                                <w:b/>
                                <w:bCs/>
                                <w:color w:val="FF0000"/>
                                <w:sz w:val="28"/>
                                <w:szCs w:val="36"/>
                                <w:lang w:val="en-US" w:eastAsia="zh-CN"/>
                              </w:rPr>
                              <w:t>发展村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1pt;margin-top:104.45pt;height:33.5pt;width:72.85pt;z-index:251662336;mso-width-relative:page;mso-height-relative:page;" filled="f" stroked="f" coordsize="21600,21600" o:gfxdata="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s/hKi2gAAAAsBAAAPAAAAAAAAAAEA&#10;IAAAACIAAABkcnMvZG93bnJldi54bWxQSwECFAAUAAAACACHTuJAOG7szkYCAABzBAAADgAAAAAA&#10;AAABACAAAAApAQAAZHJzL2Uyb0RvYy54bWxQSwUGAAAAAAYABgBZAQAA4QUAAAAA&#10;">
                <v:fill on="f" focussize="0,0"/>
                <v:stroke on="f" weight="0.5pt"/>
                <v:imagedata o:title=""/>
                <o:lock v:ext="edit" aspectratio="f"/>
                <v:textbox>
                  <w:txbxContent>
                    <w:p>
                      <w:pPr>
                        <w:rPr>
                          <w:rFonts w:hint="eastAsia" w:ascii="黑体" w:hAnsi="黑体" w:eastAsia="黑体" w:cs="黑体"/>
                          <w:b/>
                          <w:bCs/>
                          <w:color w:val="FF0000"/>
                          <w:sz w:val="28"/>
                          <w:szCs w:val="36"/>
                          <w:lang w:val="en-US" w:eastAsia="zh-CN"/>
                        </w:rPr>
                      </w:pPr>
                      <w:r>
                        <w:rPr>
                          <w:rFonts w:hint="eastAsia" w:ascii="黑体" w:hAnsi="黑体" w:eastAsia="黑体" w:cs="黑体"/>
                          <w:b/>
                          <w:bCs/>
                          <w:color w:val="FF0000"/>
                          <w:sz w:val="28"/>
                          <w:szCs w:val="36"/>
                          <w:lang w:val="en-US" w:eastAsia="zh-CN"/>
                        </w:rPr>
                        <w:t>发展村</w:t>
                      </w:r>
                    </w:p>
                  </w:txbxContent>
                </v:textbox>
              </v:shape>
            </w:pict>
          </mc:Fallback>
        </mc:AlternateConten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drawing>
          <wp:inline distT="0" distB="0" distL="114300" distR="114300">
            <wp:extent cx="5267960" cy="3191510"/>
            <wp:effectExtent l="0" t="0" r="8890" b="8890"/>
            <wp:docPr id="39" name="图片 39" descr="噪声昼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噪声昼间"/>
                    <pic:cNvPicPr>
                      <a:picLocks noChangeAspect="1"/>
                    </pic:cNvPicPr>
                  </pic:nvPicPr>
                  <pic:blipFill>
                    <a:blip r:embed="rId54"/>
                    <a:stretch>
                      <a:fillRect/>
                    </a:stretch>
                  </pic:blipFill>
                  <pic:spPr>
                    <a:xfrm>
                      <a:off x="0" y="0"/>
                      <a:ext cx="5267960" cy="3191510"/>
                    </a:xfrm>
                    <a:prstGeom prst="rect">
                      <a:avLst/>
                    </a:prstGeom>
                  </pic:spPr>
                </pic:pic>
              </a:graphicData>
            </a:graphic>
          </wp:inline>
        </w:drawing>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w:t>
      </w:r>
      <w:r>
        <w:rPr>
          <w:rFonts w:hint="eastAsia" w:cs="Times New Roman"/>
          <w:b/>
          <w:bCs/>
          <w:caps w:val="0"/>
          <w:smallCaps w:val="0"/>
          <w:snapToGrid/>
          <w:color w:val="auto"/>
          <w:spacing w:val="0"/>
          <w:w w:val="100"/>
          <w:kern w:val="0"/>
          <w:sz w:val="21"/>
          <w:szCs w:val="21"/>
          <w:highlight w:val="none"/>
          <w:lang w:val="en-US" w:eastAsia="zh-CN" w:bidi="ar-SA"/>
        </w:rPr>
        <w:t>5.2-16项目运行期昼间噪声预测等值线图</w:t>
      </w:r>
    </w:p>
    <w:p>
      <w:pPr>
        <w:rPr>
          <w:rFonts w:hint="default" w:cs="Times New Roman"/>
          <w:b/>
          <w:bCs/>
          <w:caps w:val="0"/>
          <w:smallCaps w:val="0"/>
          <w:snapToGrid/>
          <w:color w:val="auto"/>
          <w:spacing w:val="0"/>
          <w:w w:val="100"/>
          <w:kern w:val="0"/>
          <w:sz w:val="21"/>
          <w:szCs w:val="21"/>
          <w:highlight w:val="none"/>
          <w:lang w:val="en-US" w:eastAsia="zh-CN" w:bidi="ar-SA"/>
        </w:rPr>
      </w:pPr>
      <w:r>
        <w:rPr>
          <w:rFonts w:hint="default" w:cs="Times New Roman"/>
          <w:b/>
          <w:bCs/>
          <w:caps w:val="0"/>
          <w:smallCaps w:val="0"/>
          <w:snapToGrid/>
          <w:color w:val="auto"/>
          <w:spacing w:val="0"/>
          <w:w w:val="100"/>
          <w:kern w:val="0"/>
          <w:sz w:val="21"/>
          <w:szCs w:val="21"/>
          <w:highlight w:val="none"/>
          <w:lang w:val="en-US" w:eastAsia="zh-CN" w:bidi="ar-SA"/>
        </w:rPr>
        <w:drawing>
          <wp:inline distT="0" distB="0" distL="114300" distR="114300">
            <wp:extent cx="5260340" cy="3451225"/>
            <wp:effectExtent l="0" t="0" r="16510" b="15875"/>
            <wp:docPr id="41" name="图片 41" descr="噪声夜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噪声夜间"/>
                    <pic:cNvPicPr>
                      <a:picLocks noChangeAspect="1"/>
                    </pic:cNvPicPr>
                  </pic:nvPicPr>
                  <pic:blipFill>
                    <a:blip r:embed="rId55"/>
                    <a:stretch>
                      <a:fillRect/>
                    </a:stretch>
                  </pic:blipFill>
                  <pic:spPr>
                    <a:xfrm>
                      <a:off x="0" y="0"/>
                      <a:ext cx="5260340" cy="34512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atLeast"/>
        <w:jc w:val="center"/>
        <w:textAlignment w:val="auto"/>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图5.2-1</w:t>
      </w:r>
      <w:r>
        <w:rPr>
          <w:rFonts w:hint="eastAsia" w:cs="Times New Roman"/>
          <w:b/>
          <w:bCs/>
          <w:caps w:val="0"/>
          <w:smallCaps w:val="0"/>
          <w:snapToGrid/>
          <w:color w:val="auto"/>
          <w:spacing w:val="0"/>
          <w:w w:val="100"/>
          <w:kern w:val="0"/>
          <w:sz w:val="21"/>
          <w:szCs w:val="21"/>
          <w:highlight w:val="none"/>
          <w:lang w:val="en-US" w:eastAsia="zh-CN" w:bidi="ar-SA"/>
        </w:rPr>
        <w:t>7</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项目运行期</w:t>
      </w:r>
      <w:r>
        <w:rPr>
          <w:rFonts w:hint="eastAsia" w:cs="Times New Roman"/>
          <w:b/>
          <w:bCs/>
          <w:caps w:val="0"/>
          <w:smallCaps w:val="0"/>
          <w:snapToGrid/>
          <w:color w:val="auto"/>
          <w:spacing w:val="0"/>
          <w:w w:val="100"/>
          <w:kern w:val="0"/>
          <w:sz w:val="21"/>
          <w:szCs w:val="21"/>
          <w:highlight w:val="none"/>
          <w:lang w:val="en-US" w:eastAsia="zh-CN" w:bidi="ar-SA"/>
        </w:rPr>
        <w:t>夜</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间噪声预测等值线图</w:t>
      </w:r>
    </w:p>
    <w:p>
      <w:pP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p>
    <w:p>
      <w:pP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p>
    <w:p>
      <w:pP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p>
    <w:p>
      <w:pP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p>
    <w:p>
      <w:pP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br w:type="page"/>
      </w: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pStyle w:val="2"/>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5.2-19环境保护目标噪声预测结果与达标分析表</w:t>
      </w:r>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4"/>
        <w:gridCol w:w="884"/>
        <w:gridCol w:w="884"/>
        <w:gridCol w:w="884"/>
        <w:gridCol w:w="884"/>
        <w:gridCol w:w="884"/>
        <w:gridCol w:w="884"/>
        <w:gridCol w:w="884"/>
        <w:gridCol w:w="884"/>
        <w:gridCol w:w="7"/>
        <w:gridCol w:w="878"/>
        <w:gridCol w:w="903"/>
        <w:gridCol w:w="867"/>
        <w:gridCol w:w="888"/>
        <w:gridCol w:w="7"/>
        <w:gridCol w:w="881"/>
        <w:gridCol w:w="888"/>
        <w:gridCol w:w="8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4"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序号</w:t>
            </w:r>
          </w:p>
        </w:tc>
        <w:tc>
          <w:tcPr>
            <w:tcW w:w="884"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声环境保护目标名称</w:t>
            </w:r>
          </w:p>
        </w:tc>
        <w:tc>
          <w:tcPr>
            <w:tcW w:w="176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噪声背景值/dB(A)</w:t>
            </w:r>
          </w:p>
        </w:tc>
        <w:tc>
          <w:tcPr>
            <w:tcW w:w="176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噪声现状值/dB(A)</w:t>
            </w:r>
          </w:p>
        </w:tc>
        <w:tc>
          <w:tcPr>
            <w:tcW w:w="176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噪声标准/dB(A)</w:t>
            </w:r>
          </w:p>
        </w:tc>
        <w:tc>
          <w:tcPr>
            <w:tcW w:w="1769"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噪声贡献值/dB(A)</w:t>
            </w:r>
          </w:p>
        </w:tc>
        <w:tc>
          <w:tcPr>
            <w:tcW w:w="1770"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噪声预测值/dB(A)</w:t>
            </w:r>
          </w:p>
        </w:tc>
        <w:tc>
          <w:tcPr>
            <w:tcW w:w="1776"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较现状增量/dB(A)</w:t>
            </w:r>
          </w:p>
        </w:tc>
        <w:tc>
          <w:tcPr>
            <w:tcW w:w="1776"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超标和达标情况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p>
        </w:tc>
        <w:tc>
          <w:tcPr>
            <w:tcW w:w="88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p>
        </w:tc>
        <w:tc>
          <w:tcPr>
            <w:tcW w:w="8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昼间</w:t>
            </w:r>
          </w:p>
        </w:tc>
        <w:tc>
          <w:tcPr>
            <w:tcW w:w="8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夜间</w:t>
            </w:r>
          </w:p>
        </w:tc>
        <w:tc>
          <w:tcPr>
            <w:tcW w:w="8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昼间</w:t>
            </w:r>
          </w:p>
        </w:tc>
        <w:tc>
          <w:tcPr>
            <w:tcW w:w="8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夜间</w:t>
            </w:r>
          </w:p>
        </w:tc>
        <w:tc>
          <w:tcPr>
            <w:tcW w:w="8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昼间</w:t>
            </w:r>
          </w:p>
        </w:tc>
        <w:tc>
          <w:tcPr>
            <w:tcW w:w="8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夜间</w:t>
            </w:r>
          </w:p>
        </w:tc>
        <w:tc>
          <w:tcPr>
            <w:tcW w:w="891"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昼间</w:t>
            </w:r>
          </w:p>
        </w:tc>
        <w:tc>
          <w:tcPr>
            <w:tcW w:w="8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夜间</w:t>
            </w:r>
          </w:p>
        </w:tc>
        <w:tc>
          <w:tcPr>
            <w:tcW w:w="9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昼间</w:t>
            </w:r>
          </w:p>
        </w:tc>
        <w:tc>
          <w:tcPr>
            <w:tcW w:w="86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夜间</w:t>
            </w:r>
          </w:p>
        </w:tc>
        <w:tc>
          <w:tcPr>
            <w:tcW w:w="895"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昼间</w:t>
            </w:r>
          </w:p>
        </w:tc>
        <w:tc>
          <w:tcPr>
            <w:tcW w:w="88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夜间</w:t>
            </w:r>
          </w:p>
        </w:tc>
        <w:tc>
          <w:tcPr>
            <w:tcW w:w="8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昼间</w:t>
            </w:r>
          </w:p>
        </w:tc>
        <w:tc>
          <w:tcPr>
            <w:tcW w:w="8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c>
          <w:tcPr>
            <w:tcW w:w="8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发展村</w:t>
            </w:r>
          </w:p>
        </w:tc>
        <w:tc>
          <w:tcPr>
            <w:tcW w:w="8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51.9</w:t>
            </w:r>
          </w:p>
        </w:tc>
        <w:tc>
          <w:tcPr>
            <w:tcW w:w="8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44.2</w:t>
            </w:r>
          </w:p>
        </w:tc>
        <w:tc>
          <w:tcPr>
            <w:tcW w:w="8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51.9</w:t>
            </w:r>
          </w:p>
        </w:tc>
        <w:tc>
          <w:tcPr>
            <w:tcW w:w="8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44.2</w:t>
            </w:r>
          </w:p>
        </w:tc>
        <w:tc>
          <w:tcPr>
            <w:tcW w:w="8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60</w:t>
            </w:r>
          </w:p>
        </w:tc>
        <w:tc>
          <w:tcPr>
            <w:tcW w:w="8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50</w:t>
            </w:r>
          </w:p>
        </w:tc>
        <w:tc>
          <w:tcPr>
            <w:tcW w:w="8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9.8</w:t>
            </w:r>
          </w:p>
        </w:tc>
        <w:tc>
          <w:tcPr>
            <w:tcW w:w="885"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9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51.9</w:t>
            </w:r>
          </w:p>
        </w:tc>
        <w:tc>
          <w:tcPr>
            <w:tcW w:w="86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8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w:t>
            </w:r>
          </w:p>
        </w:tc>
        <w:tc>
          <w:tcPr>
            <w:tcW w:w="88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8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达标</w:t>
            </w:r>
          </w:p>
        </w:tc>
        <w:tc>
          <w:tcPr>
            <w:tcW w:w="8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达标</w:t>
            </w:r>
          </w:p>
        </w:tc>
      </w:tr>
    </w:tbl>
    <w:p>
      <w:pP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br w:type="page"/>
      </w:r>
    </w:p>
    <w:p>
      <w:pP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5.2.4.3声环境影响评价结论</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根据上述预测结果，项目</w:t>
      </w:r>
      <w:r>
        <w:rPr>
          <w:rFonts w:hint="eastAsia" w:cs="Times New Roman"/>
          <w:caps w:val="0"/>
          <w:smallCaps w:val="0"/>
          <w:snapToGrid/>
          <w:color w:val="auto"/>
          <w:spacing w:val="0"/>
          <w:w w:val="100"/>
          <w:kern w:val="0"/>
          <w:sz w:val="24"/>
          <w:szCs w:val="24"/>
          <w:highlight w:val="none"/>
          <w:vertAlign w:val="baseline"/>
          <w:lang w:val="en-US" w:eastAsia="zh-CN" w:bidi="ar-SA"/>
        </w:rPr>
        <w:t>服务站站址</w:t>
      </w:r>
      <w:r>
        <w:rPr>
          <w:rFonts w:hint="default" w:cs="Times New Roman"/>
          <w:caps w:val="0"/>
          <w:smallCaps w:val="0"/>
          <w:snapToGrid/>
          <w:color w:val="auto"/>
          <w:spacing w:val="0"/>
          <w:w w:val="100"/>
          <w:kern w:val="0"/>
          <w:sz w:val="24"/>
          <w:szCs w:val="24"/>
          <w:highlight w:val="none"/>
          <w:vertAlign w:val="baseline"/>
          <w:lang w:val="en-US" w:eastAsia="zh-CN" w:bidi="ar-SA"/>
        </w:rPr>
        <w:t>建成后</w:t>
      </w:r>
      <w:r>
        <w:rPr>
          <w:rFonts w:hint="eastAsia" w:cs="Times New Roman"/>
          <w:caps w:val="0"/>
          <w:smallCaps w:val="0"/>
          <w:snapToGrid/>
          <w:color w:val="auto"/>
          <w:spacing w:val="0"/>
          <w:w w:val="100"/>
          <w:kern w:val="0"/>
          <w:sz w:val="24"/>
          <w:szCs w:val="24"/>
          <w:highlight w:val="none"/>
          <w:vertAlign w:val="baseline"/>
          <w:lang w:val="en-US" w:eastAsia="zh-CN" w:bidi="ar-SA"/>
        </w:rPr>
        <w:t>，站址厂界东侧、南侧及西侧噪声满足</w:t>
      </w:r>
      <w:r>
        <w:rPr>
          <w:rFonts w:hint="default" w:cs="Times New Roman"/>
          <w:caps w:val="0"/>
          <w:smallCaps w:val="0"/>
          <w:snapToGrid/>
          <w:color w:val="auto"/>
          <w:spacing w:val="0"/>
          <w:w w:val="100"/>
          <w:kern w:val="0"/>
          <w:sz w:val="24"/>
          <w:szCs w:val="24"/>
          <w:highlight w:val="none"/>
          <w:vertAlign w:val="baseline"/>
          <w:lang w:val="en-US" w:eastAsia="zh-CN" w:bidi="ar-SA"/>
        </w:rPr>
        <w:t>《工业企业厂界环境噪声排放标准》（GB12348-2008）2类标准要求</w:t>
      </w:r>
      <w:r>
        <w:rPr>
          <w:rFonts w:hint="eastAsia" w:cs="Times New Roman"/>
          <w:caps w:val="0"/>
          <w:smallCaps w:val="0"/>
          <w:snapToGrid/>
          <w:color w:val="auto"/>
          <w:spacing w:val="0"/>
          <w:w w:val="100"/>
          <w:kern w:val="0"/>
          <w:sz w:val="24"/>
          <w:szCs w:val="24"/>
          <w:highlight w:val="none"/>
          <w:vertAlign w:val="baseline"/>
          <w:lang w:val="en-US" w:eastAsia="zh-CN" w:bidi="ar-SA"/>
        </w:rPr>
        <w:t>；北侧满足</w:t>
      </w:r>
      <w:r>
        <w:rPr>
          <w:rFonts w:hint="default" w:cs="Times New Roman"/>
          <w:caps w:val="0"/>
          <w:smallCaps w:val="0"/>
          <w:snapToGrid/>
          <w:color w:val="auto"/>
          <w:spacing w:val="0"/>
          <w:w w:val="100"/>
          <w:kern w:val="0"/>
          <w:sz w:val="24"/>
          <w:szCs w:val="24"/>
          <w:highlight w:val="none"/>
          <w:vertAlign w:val="baseline"/>
          <w:lang w:val="en-US" w:eastAsia="zh-CN" w:bidi="ar-SA"/>
        </w:rPr>
        <w:t>《工业企业厂界环境噪声排放标准》（GB12348-2008）</w:t>
      </w:r>
      <w:r>
        <w:rPr>
          <w:rFonts w:hint="eastAsia" w:cs="Times New Roman"/>
          <w:caps w:val="0"/>
          <w:smallCaps w:val="0"/>
          <w:snapToGrid/>
          <w:color w:val="auto"/>
          <w:spacing w:val="0"/>
          <w:w w:val="100"/>
          <w:kern w:val="0"/>
          <w:sz w:val="24"/>
          <w:szCs w:val="24"/>
          <w:highlight w:val="none"/>
          <w:vertAlign w:val="baseline"/>
          <w:lang w:val="en-US" w:eastAsia="zh-CN" w:bidi="ar-SA"/>
        </w:rPr>
        <w:t>4</w:t>
      </w:r>
      <w:r>
        <w:rPr>
          <w:rFonts w:hint="default" w:cs="Times New Roman"/>
          <w:caps w:val="0"/>
          <w:smallCaps w:val="0"/>
          <w:snapToGrid/>
          <w:color w:val="auto"/>
          <w:spacing w:val="0"/>
          <w:w w:val="100"/>
          <w:kern w:val="0"/>
          <w:sz w:val="24"/>
          <w:szCs w:val="24"/>
          <w:highlight w:val="none"/>
          <w:vertAlign w:val="baseline"/>
          <w:lang w:val="en-US" w:eastAsia="zh-CN" w:bidi="ar-SA"/>
        </w:rPr>
        <w:t>类要求</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距离站址最近村屯为发展村，位于站址西侧，相对最近距离为40m，根据预测，站址运行后，发展村处噪声较现状增量小于3dB（A），影响可被接受。</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5.2.5固体废物环境影响分析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5.2.5.1固体废物产生量及处置情况</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项目</w:t>
      </w:r>
      <w:r>
        <w:rPr>
          <w:rFonts w:hint="eastAsia" w:cs="Times New Roman"/>
          <w:caps w:val="0"/>
          <w:smallCaps w:val="0"/>
          <w:snapToGrid/>
          <w:color w:val="auto"/>
          <w:spacing w:val="0"/>
          <w:w w:val="100"/>
          <w:kern w:val="0"/>
          <w:sz w:val="24"/>
          <w:szCs w:val="24"/>
          <w:highlight w:val="none"/>
          <w:vertAlign w:val="baseline"/>
          <w:lang w:val="en-US" w:eastAsia="zh-CN" w:bidi="ar-SA"/>
        </w:rPr>
        <w:t>服务站运行期间产生的固体废物为站内运维人员生活垃圾、胶状物质、污泥、污油、罐底油泥、药剂废弃包装袋、废机油及废弃的含油抹布和劳保用品。</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5.2-20固废产排情况一览表 单位t/a</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73"/>
        <w:gridCol w:w="853"/>
        <w:gridCol w:w="704"/>
        <w:gridCol w:w="911"/>
        <w:gridCol w:w="937"/>
        <w:gridCol w:w="1022"/>
        <w:gridCol w:w="1196"/>
        <w:gridCol w:w="705"/>
        <w:gridCol w:w="161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序号</w:t>
            </w:r>
          </w:p>
        </w:tc>
        <w:tc>
          <w:tcPr>
            <w:tcW w:w="8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固废</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名称</w:t>
            </w:r>
          </w:p>
        </w:tc>
        <w:tc>
          <w:tcPr>
            <w:tcW w:w="7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产生环节</w:t>
            </w:r>
          </w:p>
        </w:tc>
        <w:tc>
          <w:tcPr>
            <w:tcW w:w="9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形态</w:t>
            </w:r>
          </w:p>
        </w:tc>
        <w:tc>
          <w:tcPr>
            <w:tcW w:w="93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产生量（t/a）</w:t>
            </w:r>
          </w:p>
        </w:tc>
        <w:tc>
          <w:tcPr>
            <w:tcW w:w="102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固废属性</w:t>
            </w:r>
          </w:p>
        </w:tc>
        <w:tc>
          <w:tcPr>
            <w:tcW w:w="11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危别险及废代物码类</w:t>
            </w:r>
          </w:p>
        </w:tc>
        <w:tc>
          <w:tcPr>
            <w:tcW w:w="7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主要成分</w:t>
            </w:r>
          </w:p>
        </w:tc>
        <w:tc>
          <w:tcPr>
            <w:tcW w:w="161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处置措施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c>
          <w:tcPr>
            <w:tcW w:w="8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胶状物质</w:t>
            </w:r>
          </w:p>
        </w:tc>
        <w:tc>
          <w:tcPr>
            <w:tcW w:w="704"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废水处理</w:t>
            </w:r>
          </w:p>
        </w:tc>
        <w:tc>
          <w:tcPr>
            <w:tcW w:w="9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半固态</w:t>
            </w:r>
          </w:p>
        </w:tc>
        <w:tc>
          <w:tcPr>
            <w:tcW w:w="93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37</w:t>
            </w:r>
          </w:p>
        </w:tc>
        <w:tc>
          <w:tcPr>
            <w:tcW w:w="1022"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危险废物</w:t>
            </w:r>
          </w:p>
        </w:tc>
        <w:tc>
          <w:tcPr>
            <w:tcW w:w="119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HW08</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900-210-08</w:t>
            </w:r>
          </w:p>
        </w:tc>
        <w:tc>
          <w:tcPr>
            <w:tcW w:w="70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石油类</w:t>
            </w:r>
          </w:p>
        </w:tc>
        <w:tc>
          <w:tcPr>
            <w:tcW w:w="161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交由有资质单位处置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w:t>
            </w:r>
          </w:p>
        </w:tc>
        <w:tc>
          <w:tcPr>
            <w:tcW w:w="8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污泥</w:t>
            </w:r>
          </w:p>
        </w:tc>
        <w:tc>
          <w:tcPr>
            <w:tcW w:w="70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9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固态</w:t>
            </w:r>
          </w:p>
        </w:tc>
        <w:tc>
          <w:tcPr>
            <w:tcW w:w="93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211.5</w:t>
            </w:r>
          </w:p>
        </w:tc>
        <w:tc>
          <w:tcPr>
            <w:tcW w:w="102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19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70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61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w:t>
            </w:r>
          </w:p>
        </w:tc>
        <w:tc>
          <w:tcPr>
            <w:tcW w:w="8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w:t>
            </w:r>
          </w:p>
        </w:tc>
        <w:tc>
          <w:tcPr>
            <w:tcW w:w="70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9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液态</w:t>
            </w:r>
          </w:p>
        </w:tc>
        <w:tc>
          <w:tcPr>
            <w:tcW w:w="93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121</w:t>
            </w:r>
          </w:p>
        </w:tc>
        <w:tc>
          <w:tcPr>
            <w:tcW w:w="102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19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70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p>
        </w:tc>
        <w:tc>
          <w:tcPr>
            <w:tcW w:w="161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定期由油田单位拉运回收利用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w:t>
            </w:r>
          </w:p>
        </w:tc>
        <w:tc>
          <w:tcPr>
            <w:tcW w:w="8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废机油</w:t>
            </w:r>
          </w:p>
        </w:tc>
        <w:tc>
          <w:tcPr>
            <w:tcW w:w="704"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站内设备运维</w:t>
            </w:r>
          </w:p>
        </w:tc>
        <w:tc>
          <w:tcPr>
            <w:tcW w:w="9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液态</w:t>
            </w:r>
          </w:p>
        </w:tc>
        <w:tc>
          <w:tcPr>
            <w:tcW w:w="93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w:t>
            </w:r>
          </w:p>
        </w:tc>
        <w:tc>
          <w:tcPr>
            <w:tcW w:w="102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1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HW08</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900-249-08</w:t>
            </w:r>
          </w:p>
        </w:tc>
        <w:tc>
          <w:tcPr>
            <w:tcW w:w="70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废矿物油</w:t>
            </w:r>
          </w:p>
        </w:tc>
        <w:tc>
          <w:tcPr>
            <w:tcW w:w="161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交由有资质单位处置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w:t>
            </w:r>
          </w:p>
        </w:tc>
        <w:tc>
          <w:tcPr>
            <w:tcW w:w="8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废弃的含油抹布及劳保用品</w:t>
            </w:r>
          </w:p>
        </w:tc>
        <w:tc>
          <w:tcPr>
            <w:tcW w:w="70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9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固态</w:t>
            </w:r>
          </w:p>
        </w:tc>
        <w:tc>
          <w:tcPr>
            <w:tcW w:w="93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0.05</w:t>
            </w:r>
          </w:p>
        </w:tc>
        <w:tc>
          <w:tcPr>
            <w:tcW w:w="102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1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HW49</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900-041-49</w:t>
            </w:r>
          </w:p>
        </w:tc>
        <w:tc>
          <w:tcPr>
            <w:tcW w:w="70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p>
        </w:tc>
        <w:tc>
          <w:tcPr>
            <w:tcW w:w="161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全过程不按危险废物管理，废弃的含油抹布和劳保用品可随生活垃圾一起拉运处置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w:t>
            </w:r>
          </w:p>
        </w:tc>
        <w:tc>
          <w:tcPr>
            <w:tcW w:w="8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罐底油泥</w:t>
            </w:r>
          </w:p>
        </w:tc>
        <w:tc>
          <w:tcPr>
            <w:tcW w:w="7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污油储罐维修</w:t>
            </w:r>
          </w:p>
        </w:tc>
        <w:tc>
          <w:tcPr>
            <w:tcW w:w="9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固态</w:t>
            </w:r>
          </w:p>
        </w:tc>
        <w:tc>
          <w:tcPr>
            <w:tcW w:w="93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0.03</w:t>
            </w:r>
          </w:p>
        </w:tc>
        <w:tc>
          <w:tcPr>
            <w:tcW w:w="102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1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HW08</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900-221-08</w:t>
            </w:r>
          </w:p>
        </w:tc>
        <w:tc>
          <w:tcPr>
            <w:tcW w:w="7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w:t>
            </w:r>
          </w:p>
        </w:tc>
        <w:tc>
          <w:tcPr>
            <w:tcW w:w="161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交由有资质单位处置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w:t>
            </w:r>
          </w:p>
        </w:tc>
        <w:tc>
          <w:tcPr>
            <w:tcW w:w="8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生活垃圾</w:t>
            </w:r>
          </w:p>
        </w:tc>
        <w:tc>
          <w:tcPr>
            <w:tcW w:w="7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人员生活</w:t>
            </w:r>
          </w:p>
        </w:tc>
        <w:tc>
          <w:tcPr>
            <w:tcW w:w="9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固态</w:t>
            </w:r>
          </w:p>
        </w:tc>
        <w:tc>
          <w:tcPr>
            <w:tcW w:w="93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5.475</w:t>
            </w:r>
          </w:p>
        </w:tc>
        <w:tc>
          <w:tcPr>
            <w:tcW w:w="102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生活垃圾</w:t>
            </w:r>
          </w:p>
        </w:tc>
        <w:tc>
          <w:tcPr>
            <w:tcW w:w="11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7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生活垃圾</w:t>
            </w:r>
          </w:p>
        </w:tc>
        <w:tc>
          <w:tcPr>
            <w:tcW w:w="161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由环卫部门清运至肇源县生活垃圾处理场处理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w:t>
            </w:r>
          </w:p>
        </w:tc>
        <w:tc>
          <w:tcPr>
            <w:tcW w:w="8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药剂废弃包装袋</w:t>
            </w:r>
          </w:p>
        </w:tc>
        <w:tc>
          <w:tcPr>
            <w:tcW w:w="7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废水处理</w:t>
            </w:r>
          </w:p>
        </w:tc>
        <w:tc>
          <w:tcPr>
            <w:tcW w:w="91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固态</w:t>
            </w:r>
          </w:p>
        </w:tc>
        <w:tc>
          <w:tcPr>
            <w:tcW w:w="93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w:t>
            </w:r>
          </w:p>
        </w:tc>
        <w:tc>
          <w:tcPr>
            <w:tcW w:w="102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一般固体废物</w:t>
            </w:r>
          </w:p>
        </w:tc>
        <w:tc>
          <w:tcPr>
            <w:tcW w:w="11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70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61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5.2.5.2固废环境影响分析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（1）一般工业固体废物处置措施</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项目运行期间产生的药剂废弃包装袋为一般工业固体废物，集中收集，定期外售综合利用。</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（2）危险废物暂存及处置措施</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根据《建设项目危险废物环境影响评价指南》（环境保护部公告2017年第43号）相关规定，危险废物收集、贮存、运输的一般要求：</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①从事危险废物收集、贮存、运输经营活动的单位应具有危险废物经营许可证。在收集、贮存、运输危险废物时，应根据危险废物收集、贮存、处置经营许可证核发的有关规定建立相应的规章制度和污染防治措施，包括危险废物分析管理制度、安全管理制度、污染防治措施等；危险废物产生单位内部自行从事的危险废物收集、贮存、运输活动应遵照国家相关管理规定，建立健全规章制度及操作流程，确保该过程的安全、可靠。</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②危险废物转移过程应按《危险废物转移管理办法》执行。</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③危险废物收集、贮存、运输单位应建立规范的管理和技术人员培训制度，定期针对管理和技术人员进行培训。培训内容至少应包括危险废物鉴别要求、危险废物经营许可证管理、危险废物转移联单管理、危险废物包装和标识、危险废物运输要求、危险废物事故应急方法等。</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④危险废物收集、贮存、运输单位应编制应急预案。应急预案编制可参照《危险废物经营单位编制应急预案指南》，涉及运输的相关内容还应符合交通行政主管部门的有关规定。针对危险废物收集、贮存、运输过程中的事故易发环节应定期组织应急演练。</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⑤危险废物收集、贮存、运输时应按危险特性对危险废物进行分类、包装并设置形影的标志及标签。</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5.2-21危险废物贮存场所及处置措施基本情况</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1"/>
        <w:gridCol w:w="1054"/>
        <w:gridCol w:w="1100"/>
        <w:gridCol w:w="917"/>
        <w:gridCol w:w="850"/>
        <w:gridCol w:w="1050"/>
        <w:gridCol w:w="1461"/>
        <w:gridCol w:w="10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1" w:hRule="atLeast"/>
        </w:trPr>
        <w:tc>
          <w:tcPr>
            <w:tcW w:w="1041" w:type="dxa"/>
            <w:tcBorders>
              <w:top w:val="single" w:color="auto" w:sz="12" w:space="0"/>
              <w:left w:val="nil"/>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危废名称</w:t>
            </w:r>
          </w:p>
        </w:tc>
        <w:tc>
          <w:tcPr>
            <w:tcW w:w="1054" w:type="dxa"/>
            <w:tcBorders>
              <w:top w:val="single" w:color="auto" w:sz="12"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类别代码</w:t>
            </w:r>
          </w:p>
        </w:tc>
        <w:tc>
          <w:tcPr>
            <w:tcW w:w="1100" w:type="dxa"/>
            <w:tcBorders>
              <w:top w:val="single" w:color="auto" w:sz="12"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代码</w:t>
            </w:r>
          </w:p>
        </w:tc>
        <w:tc>
          <w:tcPr>
            <w:tcW w:w="917" w:type="dxa"/>
            <w:tcBorders>
              <w:top w:val="single" w:color="auto" w:sz="12"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产生量（t/a）</w:t>
            </w:r>
          </w:p>
        </w:tc>
        <w:tc>
          <w:tcPr>
            <w:tcW w:w="850" w:type="dxa"/>
            <w:tcBorders>
              <w:top w:val="single" w:color="auto" w:sz="12"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贮存能力/t</w:t>
            </w:r>
          </w:p>
        </w:tc>
        <w:tc>
          <w:tcPr>
            <w:tcW w:w="1050" w:type="dxa"/>
            <w:tcBorders>
              <w:top w:val="single" w:color="auto" w:sz="12"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储存周期</w:t>
            </w:r>
          </w:p>
        </w:tc>
        <w:tc>
          <w:tcPr>
            <w:tcW w:w="1461" w:type="dxa"/>
            <w:tcBorders>
              <w:top w:val="single" w:color="auto" w:sz="12"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厂内贮存位置</w:t>
            </w:r>
          </w:p>
        </w:tc>
        <w:tc>
          <w:tcPr>
            <w:tcW w:w="1043" w:type="dxa"/>
            <w:tcBorders>
              <w:top w:val="single" w:color="auto" w:sz="12"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最终去向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1" w:type="dxa"/>
            <w:tcBorders>
              <w:top w:val="single" w:color="auto" w:sz="6" w:space="0"/>
              <w:left w:val="nil"/>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胶状物质</w:t>
            </w:r>
          </w:p>
        </w:tc>
        <w:tc>
          <w:tcPr>
            <w:tcW w:w="1054" w:type="dxa"/>
            <w:vMerge w:val="restart"/>
            <w:tcBorders>
              <w:top w:val="single" w:color="auto" w:sz="6" w:space="0"/>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HW08</w:t>
            </w:r>
          </w:p>
        </w:tc>
        <w:tc>
          <w:tcPr>
            <w:tcW w:w="1100" w:type="dxa"/>
            <w:vMerge w:val="restart"/>
            <w:tcBorders>
              <w:top w:val="single" w:color="auto" w:sz="6" w:space="0"/>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900-210-08</w:t>
            </w:r>
          </w:p>
        </w:tc>
        <w:tc>
          <w:tcPr>
            <w:tcW w:w="917"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37</w:t>
            </w:r>
          </w:p>
        </w:tc>
        <w:tc>
          <w:tcPr>
            <w:tcW w:w="85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0.3</w:t>
            </w:r>
          </w:p>
        </w:tc>
        <w:tc>
          <w:tcPr>
            <w:tcW w:w="105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一个月</w:t>
            </w:r>
          </w:p>
        </w:tc>
        <w:tc>
          <w:tcPr>
            <w:tcW w:w="1461"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危废暂存间</w:t>
            </w:r>
          </w:p>
        </w:tc>
        <w:tc>
          <w:tcPr>
            <w:tcW w:w="1043" w:type="dxa"/>
            <w:vMerge w:val="restart"/>
            <w:tcBorders>
              <w:top w:val="single" w:color="auto" w:sz="6" w:space="0"/>
              <w:left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1" w:type="dxa"/>
            <w:tcBorders>
              <w:top w:val="single" w:color="auto" w:sz="6" w:space="0"/>
              <w:left w:val="nil"/>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污泥</w:t>
            </w:r>
          </w:p>
        </w:tc>
        <w:tc>
          <w:tcPr>
            <w:tcW w:w="1054" w:type="dxa"/>
            <w:vMerge w:val="continue"/>
            <w:tcBorders>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100" w:type="dxa"/>
            <w:vMerge w:val="continue"/>
            <w:tcBorders>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917"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211.5</w:t>
            </w:r>
          </w:p>
        </w:tc>
        <w:tc>
          <w:tcPr>
            <w:tcW w:w="85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25</w:t>
            </w:r>
          </w:p>
        </w:tc>
        <w:tc>
          <w:tcPr>
            <w:tcW w:w="105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半个月</w:t>
            </w:r>
          </w:p>
        </w:tc>
        <w:tc>
          <w:tcPr>
            <w:tcW w:w="1461"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危废暂存间</w:t>
            </w:r>
          </w:p>
        </w:tc>
        <w:tc>
          <w:tcPr>
            <w:tcW w:w="1043" w:type="dxa"/>
            <w:vMerge w:val="continue"/>
            <w:tcBorders>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1" w:type="dxa"/>
            <w:tcBorders>
              <w:top w:val="single" w:color="auto" w:sz="6" w:space="0"/>
              <w:left w:val="nil"/>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污油</w:t>
            </w:r>
          </w:p>
        </w:tc>
        <w:tc>
          <w:tcPr>
            <w:tcW w:w="1054" w:type="dxa"/>
            <w:vMerge w:val="continue"/>
            <w:tcBorders>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100" w:type="dxa"/>
            <w:vMerge w:val="continue"/>
            <w:tcBorders>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917"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121</w:t>
            </w:r>
          </w:p>
        </w:tc>
        <w:tc>
          <w:tcPr>
            <w:tcW w:w="85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389m</w:t>
            </w:r>
            <w:r>
              <w:rPr>
                <w:rFonts w:hint="eastAsia" w:cs="Times New Roman"/>
                <w:color w:val="auto"/>
                <w:sz w:val="21"/>
                <w:szCs w:val="21"/>
                <w:highlight w:val="none"/>
                <w:vertAlign w:val="superscript"/>
                <w:lang w:val="en-US" w:eastAsia="zh-CN"/>
              </w:rPr>
              <w:t>3</w:t>
            </w:r>
          </w:p>
        </w:tc>
        <w:tc>
          <w:tcPr>
            <w:tcW w:w="105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半个月</w:t>
            </w:r>
          </w:p>
        </w:tc>
        <w:tc>
          <w:tcPr>
            <w:tcW w:w="1461"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污油储罐</w:t>
            </w:r>
          </w:p>
        </w:tc>
        <w:tc>
          <w:tcPr>
            <w:tcW w:w="1043" w:type="dxa"/>
            <w:tcBorders>
              <w:top w:val="single" w:color="auto" w:sz="6"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定期由油田单位拉运回收利用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1" w:type="dxa"/>
            <w:tcBorders>
              <w:top w:val="single" w:color="auto" w:sz="6" w:space="0"/>
              <w:left w:val="nil"/>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废机油</w:t>
            </w:r>
          </w:p>
        </w:tc>
        <w:tc>
          <w:tcPr>
            <w:tcW w:w="1054" w:type="dxa"/>
            <w:vMerge w:val="continue"/>
            <w:tcBorders>
              <w:left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900-249-08</w:t>
            </w:r>
          </w:p>
        </w:tc>
        <w:tc>
          <w:tcPr>
            <w:tcW w:w="917"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1.0</w:t>
            </w:r>
          </w:p>
        </w:tc>
        <w:tc>
          <w:tcPr>
            <w:tcW w:w="85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200L</w:t>
            </w:r>
          </w:p>
        </w:tc>
        <w:tc>
          <w:tcPr>
            <w:tcW w:w="105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三个月</w:t>
            </w:r>
          </w:p>
        </w:tc>
        <w:tc>
          <w:tcPr>
            <w:tcW w:w="1461"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危废暂存间</w:t>
            </w:r>
          </w:p>
        </w:tc>
        <w:tc>
          <w:tcPr>
            <w:tcW w:w="1043" w:type="dxa"/>
            <w:tcBorders>
              <w:top w:val="single" w:color="auto" w:sz="6"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1" w:type="dxa"/>
            <w:tcBorders>
              <w:top w:val="single" w:color="auto" w:sz="6" w:space="0"/>
              <w:left w:val="nil"/>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罐底油泥</w:t>
            </w:r>
          </w:p>
        </w:tc>
        <w:tc>
          <w:tcPr>
            <w:tcW w:w="1054" w:type="dxa"/>
            <w:vMerge w:val="continue"/>
            <w:tcBorders>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900-221-08</w:t>
            </w:r>
          </w:p>
        </w:tc>
        <w:tc>
          <w:tcPr>
            <w:tcW w:w="917"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0.03</w:t>
            </w:r>
          </w:p>
        </w:tc>
        <w:tc>
          <w:tcPr>
            <w:tcW w:w="85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0.03</w:t>
            </w:r>
          </w:p>
        </w:tc>
        <w:tc>
          <w:tcPr>
            <w:tcW w:w="105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461"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污油储罐</w:t>
            </w:r>
          </w:p>
        </w:tc>
        <w:tc>
          <w:tcPr>
            <w:tcW w:w="1043" w:type="dxa"/>
            <w:tcBorders>
              <w:top w:val="single" w:color="auto" w:sz="6"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1" w:type="dxa"/>
            <w:tcBorders>
              <w:top w:val="single" w:color="auto" w:sz="6" w:space="0"/>
              <w:left w:val="nil"/>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废弃的含油抹布及劳保用品</w:t>
            </w:r>
          </w:p>
        </w:tc>
        <w:tc>
          <w:tcPr>
            <w:tcW w:w="1054"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HW49</w:t>
            </w:r>
          </w:p>
        </w:tc>
        <w:tc>
          <w:tcPr>
            <w:tcW w:w="110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900-041-49</w:t>
            </w:r>
          </w:p>
        </w:tc>
        <w:tc>
          <w:tcPr>
            <w:tcW w:w="917"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0.05</w:t>
            </w:r>
          </w:p>
        </w:tc>
        <w:tc>
          <w:tcPr>
            <w:tcW w:w="85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0.01</w:t>
            </w:r>
          </w:p>
        </w:tc>
        <w:tc>
          <w:tcPr>
            <w:tcW w:w="1050"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一个月</w:t>
            </w:r>
          </w:p>
        </w:tc>
        <w:tc>
          <w:tcPr>
            <w:tcW w:w="1461" w:type="dxa"/>
            <w:tcBorders>
              <w:top w:val="single" w:color="auto" w:sz="6" w:space="0"/>
              <w:left w:val="single" w:color="auto" w:sz="6" w:space="0"/>
              <w:bottom w:val="single" w:color="auto" w:sz="6" w:space="0"/>
              <w:right w:val="single" w:color="auto" w:sz="6"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与生活垃圾一起</w:t>
            </w:r>
          </w:p>
        </w:tc>
        <w:tc>
          <w:tcPr>
            <w:tcW w:w="1043" w:type="dxa"/>
            <w:tcBorders>
              <w:top w:val="single" w:color="auto" w:sz="6" w:space="0"/>
              <w:left w:val="single" w:color="auto" w:sz="6" w:space="0"/>
              <w:bottom w:val="single" w:color="auto" w:sz="6" w:space="0"/>
              <w:right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肇源县生活垃圾处理场处理</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5.2.5.3危险废物收集及储存分析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项目产生的胶状物质集中收集，桶装密封暂存在站内新建的危废暂存间中；污泥、罐底油泥分别密封暂存在危废暂存间污泥池内；污油暂存在污油储罐内，废机油桶装密封暂存在危废暂存间。废弃的含油抹布和劳保用品根据《国家危险废物名录（2021年版）》危险废物豁免清单，全过程不按危险废物管理，废弃的含油抹布和劳保用品可随生活垃圾一起拉运处置。</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危险废物分区、分类贮存，按照不同的化学特性，根据互相间的相容性分区分类贮存。</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危废暂存间进行重点防渗，采用基底层压实（压实度不小于93%）+HDPE防渗膜（厚2.0mm）+抗渗混凝土层措施，防渗系数K≤1×10</w:t>
      </w:r>
      <w:r>
        <w:rPr>
          <w:rFonts w:hint="eastAsia" w:cs="Times New Roman"/>
          <w:caps w:val="0"/>
          <w:smallCaps w:val="0"/>
          <w:snapToGrid/>
          <w:color w:val="auto"/>
          <w:spacing w:val="0"/>
          <w:w w:val="100"/>
          <w:kern w:val="0"/>
          <w:sz w:val="24"/>
          <w:szCs w:val="24"/>
          <w:highlight w:val="none"/>
          <w:vertAlign w:val="superscript"/>
          <w:lang w:val="en-US" w:eastAsia="zh-CN" w:bidi="ar-SA"/>
        </w:rPr>
        <w:t>-13</w:t>
      </w:r>
      <w:r>
        <w:rPr>
          <w:rFonts w:hint="eastAsia" w:cs="Times New Roman"/>
          <w:caps w:val="0"/>
          <w:smallCaps w:val="0"/>
          <w:snapToGrid/>
          <w:color w:val="auto"/>
          <w:spacing w:val="0"/>
          <w:w w:val="100"/>
          <w:kern w:val="0"/>
          <w:sz w:val="24"/>
          <w:szCs w:val="24"/>
          <w:highlight w:val="none"/>
          <w:vertAlign w:val="baseline"/>
          <w:lang w:val="en-US" w:eastAsia="zh-CN" w:bidi="ar-SA"/>
        </w:rPr>
        <w:t>cm/s；配置通讯设备、照明设施和消防设施，并设置观察窗口。</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5.2.5.4危险废物转运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危险废物转移过程中应按《危险废物转移管理办法》执行。本项目危险废物转运将严格执行危险废物转移制度。危险废物在运输工程中严格控制运输车辆密闭性，避免“跑、冒、滴、漏”情况发生。危险废物的运输由资质单位按照《危险废物收集贮存运输技术规范》要求进行运输管理，危险废物的转移过程应按照《危险废物转移管理办法》执行。运输过程中要避开居住区等敏感区，合理安排运输时间，避免夜间运输，减少噪声污染；同时尽量挑选较好的天气进行运输，避免在雨雪大风等天气条件下运输。</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一旦运输过程发生意外事故，运输单位及相关部门应根据风险程度采取如下措施：</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1）设立事故警戒线，启动应急预案，并按《环境保护行政主管部突发环境事件信息报告办法》（环发〔2006〕50号）要求进行报告；</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2）应立即疏散人群，并请求环境保护、消防、医疗、公安等相关部门支援；</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3）对事故现场受到污染的土壤和水体等环境介质应进行相的清理和作复；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4）清理过程中产生的所有废物均应按危险废物进行管理和处置；</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5）进入现场清理和包装危险废物的人员应受过专业培训，并佩戴相应的防护工具。</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采取本环评提出的预防及治理措施后，危险废物转运对周围环境影响较小。</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5.2.6</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土壤环境影响分析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5.2.6.1土壤影响识别</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根据工程概况及工程分析，本项目土壤环境影响类型为污染影响型。</w:t>
      </w:r>
      <w:r>
        <w:rPr>
          <w:rFonts w:hint="eastAsia" w:cs="Times New Roman"/>
          <w:caps w:val="0"/>
          <w:smallCaps w:val="0"/>
          <w:snapToGrid/>
          <w:color w:val="auto"/>
          <w:spacing w:val="0"/>
          <w:w w:val="100"/>
          <w:kern w:val="0"/>
          <w:sz w:val="24"/>
          <w:szCs w:val="24"/>
          <w:highlight w:val="none"/>
          <w:vertAlign w:val="baseline"/>
          <w:lang w:val="en-US" w:eastAsia="zh-CN" w:bidi="ar-SA"/>
        </w:rPr>
        <w:t>本项目土壤污染途径见下表。</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5.2-22本项目土壤环境影响源及影响因子识别表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29"/>
        <w:gridCol w:w="2129"/>
        <w:gridCol w:w="2129"/>
        <w:gridCol w:w="21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污染源</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污染工序</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污染途径</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污染因子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均质池</w:t>
            </w:r>
          </w:p>
        </w:tc>
        <w:tc>
          <w:tcPr>
            <w:tcW w:w="212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废水处理</w:t>
            </w:r>
          </w:p>
        </w:tc>
        <w:tc>
          <w:tcPr>
            <w:tcW w:w="212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垂直入渗</w:t>
            </w:r>
          </w:p>
        </w:tc>
        <w:tc>
          <w:tcPr>
            <w:tcW w:w="212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石油类、COD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预处理车间反应池</w:t>
            </w:r>
          </w:p>
        </w:tc>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p>
        </w:tc>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p>
        </w:tc>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储液池区域</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处理达标水暂存</w:t>
            </w:r>
          </w:p>
        </w:tc>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p>
        </w:tc>
        <w:tc>
          <w:tcPr>
            <w:tcW w:w="212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污油储罐</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污油暂存</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default" w:cs="Times New Roman"/>
                <w:color w:val="auto"/>
                <w:sz w:val="21"/>
                <w:szCs w:val="21"/>
                <w:highlight w:val="none"/>
                <w:vertAlign w:val="baseline"/>
                <w:lang w:val="en-US" w:eastAsia="zh-CN"/>
              </w:rPr>
              <w:t>垂直入渗</w:t>
            </w:r>
          </w:p>
        </w:tc>
        <w:tc>
          <w:tcPr>
            <w:tcW w:w="212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石油类</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5.2.6.2</w:t>
      </w:r>
      <w:r>
        <w:rPr>
          <w:rFonts w:hint="default" w:cs="Times New Roman"/>
          <w:caps w:val="0"/>
          <w:smallCaps w:val="0"/>
          <w:snapToGrid/>
          <w:color w:val="auto"/>
          <w:spacing w:val="0"/>
          <w:w w:val="100"/>
          <w:kern w:val="0"/>
          <w:sz w:val="24"/>
          <w:szCs w:val="24"/>
          <w:highlight w:val="none"/>
          <w:vertAlign w:val="baseline"/>
          <w:lang w:val="en-US" w:eastAsia="zh-CN" w:bidi="ar-SA"/>
        </w:rPr>
        <w:t>土壤环境影响分析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（1）</w:t>
      </w:r>
      <w:r>
        <w:rPr>
          <w:rFonts w:hint="default" w:cs="Times New Roman"/>
          <w:caps w:val="0"/>
          <w:smallCaps w:val="0"/>
          <w:snapToGrid/>
          <w:color w:val="auto"/>
          <w:spacing w:val="0"/>
          <w:w w:val="100"/>
          <w:kern w:val="0"/>
          <w:sz w:val="24"/>
          <w:szCs w:val="24"/>
          <w:highlight w:val="none"/>
          <w:vertAlign w:val="baseline"/>
          <w:lang w:val="en-US" w:eastAsia="zh-CN" w:bidi="ar-SA"/>
        </w:rPr>
        <w:t>预测评价时段</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本项目土壤环境影响主要在运</w:t>
      </w:r>
      <w:r>
        <w:rPr>
          <w:rFonts w:hint="eastAsia" w:cs="Times New Roman"/>
          <w:caps w:val="0"/>
          <w:smallCaps w:val="0"/>
          <w:snapToGrid/>
          <w:color w:val="auto"/>
          <w:spacing w:val="0"/>
          <w:w w:val="100"/>
          <w:kern w:val="0"/>
          <w:sz w:val="24"/>
          <w:szCs w:val="24"/>
          <w:highlight w:val="none"/>
          <w:vertAlign w:val="baseline"/>
          <w:lang w:val="en-US" w:eastAsia="zh-CN" w:bidi="ar-SA"/>
        </w:rPr>
        <w:t>行</w:t>
      </w:r>
      <w:r>
        <w:rPr>
          <w:rFonts w:hint="default" w:cs="Times New Roman"/>
          <w:caps w:val="0"/>
          <w:smallCaps w:val="0"/>
          <w:snapToGrid/>
          <w:color w:val="auto"/>
          <w:spacing w:val="0"/>
          <w:w w:val="100"/>
          <w:kern w:val="0"/>
          <w:sz w:val="24"/>
          <w:szCs w:val="24"/>
          <w:highlight w:val="none"/>
          <w:vertAlign w:val="baseline"/>
          <w:lang w:val="en-US" w:eastAsia="zh-CN" w:bidi="ar-SA"/>
        </w:rPr>
        <w:t>期，因此重点评价时段为运</w:t>
      </w:r>
      <w:r>
        <w:rPr>
          <w:rFonts w:hint="eastAsia" w:cs="Times New Roman"/>
          <w:caps w:val="0"/>
          <w:smallCaps w:val="0"/>
          <w:snapToGrid/>
          <w:color w:val="auto"/>
          <w:spacing w:val="0"/>
          <w:w w:val="100"/>
          <w:kern w:val="0"/>
          <w:sz w:val="24"/>
          <w:szCs w:val="24"/>
          <w:highlight w:val="none"/>
          <w:vertAlign w:val="baseline"/>
          <w:lang w:val="en-US" w:eastAsia="zh-CN" w:bidi="ar-SA"/>
        </w:rPr>
        <w:t>行</w:t>
      </w:r>
      <w:r>
        <w:rPr>
          <w:rFonts w:hint="default" w:cs="Times New Roman"/>
          <w:caps w:val="0"/>
          <w:smallCaps w:val="0"/>
          <w:snapToGrid/>
          <w:color w:val="auto"/>
          <w:spacing w:val="0"/>
          <w:w w:val="100"/>
          <w:kern w:val="0"/>
          <w:sz w:val="24"/>
          <w:szCs w:val="24"/>
          <w:highlight w:val="none"/>
          <w:vertAlign w:val="baseline"/>
          <w:lang w:val="en-US" w:eastAsia="zh-CN" w:bidi="ar-SA"/>
        </w:rPr>
        <w:t>期。</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default" w:cs="Times New Roman"/>
          <w:caps w:val="0"/>
          <w:smallCaps w:val="0"/>
          <w:snapToGrid/>
          <w:color w:val="auto"/>
          <w:spacing w:val="0"/>
          <w:w w:val="100"/>
          <w:kern w:val="0"/>
          <w:sz w:val="24"/>
          <w:szCs w:val="24"/>
          <w:highlight w:val="none"/>
          <w:vertAlign w:val="baseline"/>
          <w:lang w:val="en-US" w:eastAsia="zh-CN" w:bidi="ar-SA"/>
        </w:rPr>
        <w:t>正常情况下：本项目厂区各个区域均进行了</w:t>
      </w:r>
      <w:r>
        <w:rPr>
          <w:rFonts w:hint="eastAsia" w:cs="Times New Roman"/>
          <w:caps w:val="0"/>
          <w:smallCaps w:val="0"/>
          <w:snapToGrid/>
          <w:color w:val="auto"/>
          <w:spacing w:val="0"/>
          <w:w w:val="100"/>
          <w:kern w:val="0"/>
          <w:sz w:val="24"/>
          <w:szCs w:val="24"/>
          <w:highlight w:val="none"/>
          <w:vertAlign w:val="baseline"/>
          <w:lang w:val="en-US" w:eastAsia="zh-CN" w:bidi="ar-SA"/>
        </w:rPr>
        <w:t>防渗处置；其中卸车平台、预处理车间、危废暂存间、储液池区域及污油储罐区域进行重点防渗，站</w:t>
      </w:r>
      <w:r>
        <w:rPr>
          <w:rFonts w:hint="default" w:cs="Times New Roman"/>
          <w:caps w:val="0"/>
          <w:smallCaps w:val="0"/>
          <w:snapToGrid/>
          <w:color w:val="auto"/>
          <w:spacing w:val="0"/>
          <w:w w:val="100"/>
          <w:kern w:val="0"/>
          <w:sz w:val="24"/>
          <w:szCs w:val="24"/>
          <w:highlight w:val="none"/>
          <w:vertAlign w:val="baseline"/>
          <w:lang w:val="en-US" w:eastAsia="zh-CN" w:bidi="ar-SA"/>
        </w:rPr>
        <w:t>区采取雨污分流措施。污染物发生泄漏的可能性非常小。在采取源头控制和分区防控措施的基础上，正常状况下不应有污染物渗漏至地下的情景发生</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石油分子极易粘附于土粒表面，而粘附于土粒表面的石油类污染物会粘附更多的石油类污染物，阻塞土壤孔隙。根据王金成等人的研究结果：当土壤中石油烃含量增加，其饱和度较大时，土壤孔隙中水分含量较低，因而石油的强疏水性导致高含油率土壤的疏水性，使土壤含水率降低，土壤储水能力下降，并造成土壤盐分的积累，进而引起了土壤细菌及放线菌数量的上升，厌氧降解的过程产生的酸性物质使得土壤含水量及pH值下降，因此，泥浆岩屑产生的渗滤液泄漏会对土壤理化性质造成严重的影响。根据张海玲等人的研究结果：石油烃进入土壤后，固相组分的主要污染范围集中在地表之下0～40cm，并以0～5cm含量最高。</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项目在建设过程中，区域防渗严格按照相关设计进行施工，防渗性能符合《石油化工工程防渗技术规范》（GB/T50394-2013）、《环境影响评价技术导则-地下水环境》（HJ610-2016）及《地下工程防水技术规划》（GB50108-2008）相关要求。施工结束后，按照《给水排水构筑物工程施工和验收规范》（GB50141）等规范严格进行验收。项目运行期间定期对防渗层进行检查，减少物料泄漏发生情况。</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（2）土壤预测</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本项目土壤评价等级为二级评价，本次采用</w:t>
      </w:r>
      <w:r>
        <w:rPr>
          <w:rFonts w:hint="default" w:cs="Times New Roman"/>
          <w:caps w:val="0"/>
          <w:smallCaps w:val="0"/>
          <w:snapToGrid/>
          <w:color w:val="auto"/>
          <w:spacing w:val="0"/>
          <w:w w:val="100"/>
          <w:kern w:val="0"/>
          <w:sz w:val="24"/>
          <w:szCs w:val="24"/>
          <w:highlight w:val="none"/>
          <w:vertAlign w:val="baseline"/>
          <w:lang w:val="en-US" w:eastAsia="zh-CN" w:bidi="ar-SA"/>
        </w:rPr>
        <w:t>类比</w:t>
      </w:r>
      <w:r>
        <w:rPr>
          <w:rFonts w:hint="eastAsia" w:cs="Times New Roman"/>
          <w:caps w:val="0"/>
          <w:smallCaps w:val="0"/>
          <w:snapToGrid/>
          <w:color w:val="auto"/>
          <w:spacing w:val="0"/>
          <w:w w:val="100"/>
          <w:kern w:val="0"/>
          <w:sz w:val="24"/>
          <w:szCs w:val="24"/>
          <w:highlight w:val="none"/>
          <w:vertAlign w:val="baseline"/>
          <w:lang w:val="en-US" w:eastAsia="zh-CN" w:bidi="ar-SA"/>
        </w:rPr>
        <w:t>法进行</w:t>
      </w:r>
      <w:r>
        <w:rPr>
          <w:rFonts w:hint="default" w:cs="Times New Roman"/>
          <w:caps w:val="0"/>
          <w:smallCaps w:val="0"/>
          <w:snapToGrid/>
          <w:color w:val="auto"/>
          <w:spacing w:val="0"/>
          <w:w w:val="100"/>
          <w:kern w:val="0"/>
          <w:sz w:val="24"/>
          <w:szCs w:val="24"/>
          <w:highlight w:val="none"/>
          <w:vertAlign w:val="baseline"/>
          <w:lang w:val="en-US" w:eastAsia="zh-CN" w:bidi="ar-SA"/>
        </w:rPr>
        <w:t>分析</w:t>
      </w:r>
      <w:r>
        <w:rPr>
          <w:rFonts w:hint="eastAsia" w:cs="Times New Roman"/>
          <w:caps w:val="0"/>
          <w:smallCaps w:val="0"/>
          <w:snapToGrid/>
          <w:color w:val="auto"/>
          <w:spacing w:val="0"/>
          <w:w w:val="100"/>
          <w:kern w:val="0"/>
          <w:sz w:val="24"/>
          <w:szCs w:val="24"/>
          <w:highlight w:val="none"/>
          <w:vertAlign w:val="baseli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对照</w:t>
      </w:r>
      <w:r>
        <w:rPr>
          <w:rFonts w:hint="default" w:cs="Times New Roman"/>
          <w:caps w:val="0"/>
          <w:smallCaps w:val="0"/>
          <w:snapToGrid/>
          <w:color w:val="auto"/>
          <w:spacing w:val="0"/>
          <w:w w:val="100"/>
          <w:kern w:val="0"/>
          <w:sz w:val="24"/>
          <w:szCs w:val="24"/>
          <w:highlight w:val="none"/>
          <w:vertAlign w:val="baseline"/>
          <w:lang w:val="en-US" w:eastAsia="zh-CN" w:bidi="ar-SA"/>
        </w:rPr>
        <w:t>大庆油田有限责任公司第九采油厂于2017年</w:t>
      </w:r>
      <w:r>
        <w:rPr>
          <w:rFonts w:hint="eastAsia" w:cs="Times New Roman"/>
          <w:caps w:val="0"/>
          <w:smallCaps w:val="0"/>
          <w:snapToGrid/>
          <w:color w:val="auto"/>
          <w:spacing w:val="0"/>
          <w:w w:val="100"/>
          <w:kern w:val="0"/>
          <w:sz w:val="24"/>
          <w:szCs w:val="24"/>
          <w:highlight w:val="none"/>
          <w:vertAlign w:val="baseline"/>
          <w:lang w:val="en-US" w:eastAsia="zh-CN" w:bidi="ar-SA"/>
        </w:rPr>
        <w:t>9月</w:t>
      </w:r>
      <w:r>
        <w:rPr>
          <w:rFonts w:hint="default" w:cs="Times New Roman"/>
          <w:caps w:val="0"/>
          <w:smallCaps w:val="0"/>
          <w:snapToGrid/>
          <w:color w:val="auto"/>
          <w:spacing w:val="0"/>
          <w:w w:val="100"/>
          <w:kern w:val="0"/>
          <w:sz w:val="24"/>
          <w:szCs w:val="24"/>
          <w:highlight w:val="none"/>
          <w:vertAlign w:val="baseline"/>
          <w:lang w:val="en-US" w:eastAsia="zh-CN" w:bidi="ar-SA"/>
        </w:rPr>
        <w:t>建设了《工业废水预处理工程》</w:t>
      </w:r>
      <w:r>
        <w:rPr>
          <w:rFonts w:hint="eastAsia" w:cs="Times New Roman"/>
          <w:caps w:val="0"/>
          <w:smallCaps w:val="0"/>
          <w:snapToGrid/>
          <w:color w:val="auto"/>
          <w:spacing w:val="0"/>
          <w:w w:val="100"/>
          <w:kern w:val="0"/>
          <w:sz w:val="24"/>
          <w:szCs w:val="24"/>
          <w:highlight w:val="none"/>
          <w:vertAlign w:val="baseline"/>
          <w:lang w:val="en-US" w:eastAsia="zh-CN" w:bidi="ar-SA"/>
        </w:rPr>
        <w:t>，项目建设内容为</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建设1座1000m</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污水预处理池，配套建设固定式多功能处理设备1套，收集处理废压裂液、作业废水及干线冲洗水等油田废液，站内主要工艺流程为废液进入废液池初步油水分离后进入多功能处理设备，经多功能处理设备处理后外输至新一联含油污水处理站处理。</w:t>
      </w:r>
      <w:r>
        <w:rPr>
          <w:rFonts w:hint="eastAsia" w:cs="Times New Roman"/>
          <w:caps w:val="0"/>
          <w:smallCaps w:val="0"/>
          <w:snapToGrid/>
          <w:color w:val="auto"/>
          <w:spacing w:val="0"/>
          <w:w w:val="100"/>
          <w:kern w:val="0"/>
          <w:sz w:val="24"/>
          <w:szCs w:val="24"/>
          <w:highlight w:val="none"/>
          <w:lang w:val="en-US" w:eastAsia="zh-CN" w:bidi="ar-SA"/>
        </w:rPr>
        <w:t>该项目于2014年通过大庆市环境保护局审批（批复文号：庆环审[2014]135号），于2018年3月完成调试。</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w:t>
      </w:r>
      <w:r>
        <w:rPr>
          <w:rFonts w:hint="eastAsia" w:cs="Times New Roman"/>
          <w:caps w:val="0"/>
          <w:smallCaps w:val="0"/>
          <w:snapToGrid/>
          <w:color w:val="auto"/>
          <w:spacing w:val="0"/>
          <w:w w:val="100"/>
          <w:kern w:val="0"/>
          <w:sz w:val="24"/>
          <w:szCs w:val="24"/>
          <w:highlight w:val="none"/>
          <w:lang w:val="en-US" w:eastAsia="zh-CN" w:bidi="ar-SA"/>
        </w:rPr>
        <w:t>处理的废水为页岩油试验区产生的压裂返排液。本项目站内采取分区防渗措施：卸车平台、危废暂存间、预处理车间、污油储罐区、储液池区域、事故池、初期雨水收集池，采取重点防渗措施；危废暂存间防渗性能满足《危险废物贮存污染控制标准》（GB18597-2023）防渗要求，其余区域满足《环境影响评价技术导则 地下水环境》（HJ610-2018）重点防渗性能要求；库房、配电间、值班室、消防水罐区、办公用房采取一般防渗措施，满足《环境影</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响评价技术导则 地下水环境》（HJ610-2018）一般防渗性能要求；其他区域进行简单防渗，满足《环境影响评价技术导则 地下水环境》（HJ610-2018）简单防渗性能要求。同时污油储罐也采取相应的防渗、防腐措施。</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本项目采取</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防渗措施与第九采油厂《工业废水预处理工程》废液池</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的</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防渗措施相似，渗透系数均小于10</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-7</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cm/s，因此可与第九采油厂《工业废水预处理工程》进行类比分析。第九采油厂《工业废水预处理工程》于2020年通过自主验收，并对污水预处理池北侧及南侧土壤进行了监测，监测因子为pH、铅、汞、六价铬、砷及石油烃（C</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10</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-C</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40</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），其中石油烃（C</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10</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-C</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40</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）和六价铬均未检出，其余各项污染物数值均满足《土壤环境质量建设用地土壤污染风险管控标准（试行）》（GB15618-2018）中第二类用地风险筛选值，评价指数均＜1，说明第九采油厂工业废水预处理工程运</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行</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未对项目所在区域土壤环境造成不良影响，说明池体采取的防渗措施有效</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vertAlign w:val="baseline"/>
          <w:lang w:val="en-US" w:eastAsia="zh-CN" w:bidi="ar-SA"/>
        </w:rPr>
        <w:t>5.2.6.3</w:t>
      </w:r>
      <w:r>
        <w:rPr>
          <w:rFonts w:hint="default" w:cs="Times New Roman"/>
          <w:caps w:val="0"/>
          <w:smallCaps w:val="0"/>
          <w:snapToGrid/>
          <w:color w:val="auto"/>
          <w:spacing w:val="0"/>
          <w:w w:val="100"/>
          <w:kern w:val="0"/>
          <w:sz w:val="24"/>
          <w:szCs w:val="24"/>
          <w:highlight w:val="none"/>
          <w:vertAlign w:val="baseline"/>
          <w:lang w:val="en-US" w:eastAsia="zh-CN" w:bidi="ar-SA"/>
        </w:rPr>
        <w:t>土壤环境影响分析</w:t>
      </w:r>
      <w:r>
        <w:rPr>
          <w:rFonts w:hint="eastAsia" w:cs="Times New Roman"/>
          <w:caps w:val="0"/>
          <w:smallCaps w:val="0"/>
          <w:snapToGrid/>
          <w:color w:val="auto"/>
          <w:spacing w:val="0"/>
          <w:w w:val="100"/>
          <w:kern w:val="0"/>
          <w:sz w:val="24"/>
          <w:szCs w:val="24"/>
          <w:highlight w:val="none"/>
          <w:vertAlign w:val="baseline"/>
          <w:lang w:val="en-US" w:eastAsia="zh-CN" w:bidi="ar-SA"/>
        </w:rPr>
        <w:t>评价结论</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本项目采取防渗措施与第九采油厂工业废水预处理工程防渗措施相同，并将废</w:t>
      </w:r>
      <w:r>
        <w:rPr>
          <w:rFonts w:hint="eastAsia" w:cs="Times New Roman"/>
          <w:caps w:val="0"/>
          <w:smallCaps w:val="0"/>
          <w:snapToGrid/>
          <w:color w:val="auto"/>
          <w:spacing w:val="0"/>
          <w:w w:val="100"/>
          <w:kern w:val="0"/>
          <w:sz w:val="24"/>
          <w:szCs w:val="24"/>
          <w:highlight w:val="none"/>
          <w:lang w:val="en-US" w:eastAsia="zh-CN" w:bidi="ar-SA"/>
        </w:rPr>
        <w:t>水预处理工段及处理达标水体储池暂存区进行</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重点防渗区域（渗透系数小于10</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-7</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cm/s），各类污染物均能够有效处置，因此本项目运</w:t>
      </w:r>
      <w:r>
        <w:rPr>
          <w:rFonts w:hint="eastAsia" w:cs="Times New Roman"/>
          <w:caps w:val="0"/>
          <w:smallCaps w:val="0"/>
          <w:snapToGrid/>
          <w:color w:val="auto"/>
          <w:spacing w:val="0"/>
          <w:w w:val="100"/>
          <w:kern w:val="0"/>
          <w:sz w:val="24"/>
          <w:szCs w:val="24"/>
          <w:highlight w:val="none"/>
          <w:lang w:val="en-US" w:eastAsia="zh-CN" w:bidi="ar-SA"/>
        </w:rPr>
        <w:t>行</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期在采取提出的环保措施后，对土壤环境影响较小</w:t>
      </w:r>
      <w:r>
        <w:rPr>
          <w:rFonts w:hint="eastAsia" w:cs="Times New Roman"/>
          <w:caps w:val="0"/>
          <w:smallCaps w:val="0"/>
          <w:snapToGrid/>
          <w:color w:val="auto"/>
          <w:spacing w:val="0"/>
          <w:w w:val="100"/>
          <w:kern w:val="0"/>
          <w:sz w:val="24"/>
          <w:szCs w:val="24"/>
          <w:highlight w:val="none"/>
          <w:lang w:val="en-US" w:eastAsia="zh-CN" w:bidi="ar-SA"/>
        </w:rPr>
        <w:t>，可被接受。</w:t>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07" w:name="_Toc10049"/>
      <w:r>
        <w:rPr>
          <w:rFonts w:hint="default" w:ascii="Times New Roman" w:hAnsi="Times New Roman" w:eastAsia="宋体" w:cs="Times New Roman"/>
          <w:snapToGrid/>
          <w:color w:val="auto"/>
          <w:sz w:val="32"/>
          <w:highlight w:val="none"/>
          <w:lang w:val="en-US" w:eastAsia="zh-CN" w:bidi="ar-SA"/>
        </w:rPr>
        <w:t>5.</w:t>
      </w:r>
      <w:r>
        <w:rPr>
          <w:rFonts w:hint="eastAsia" w:ascii="Times New Roman" w:hAnsi="Times New Roman" w:eastAsia="宋体" w:cs="Times New Roman"/>
          <w:snapToGrid/>
          <w:color w:val="auto"/>
          <w:sz w:val="32"/>
          <w:highlight w:val="none"/>
          <w:lang w:val="en-US" w:eastAsia="zh-CN" w:bidi="ar-SA"/>
        </w:rPr>
        <w:t>3生态环境影响</w:t>
      </w:r>
      <w:bookmarkEnd w:id="1207"/>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项目在施工期对生态环境的影响主要体现在</w:t>
      </w:r>
      <w:r>
        <w:rPr>
          <w:rFonts w:hint="eastAsia" w:cs="Times New Roman"/>
          <w:caps w:val="0"/>
          <w:smallCaps w:val="0"/>
          <w:snapToGrid/>
          <w:color w:val="auto"/>
          <w:spacing w:val="0"/>
          <w:w w:val="100"/>
          <w:kern w:val="0"/>
          <w:sz w:val="24"/>
          <w:szCs w:val="24"/>
          <w:highlight w:val="none"/>
          <w:lang w:val="en-US" w:eastAsia="zh-CN" w:bidi="ar-SA"/>
        </w:rPr>
        <w:t>服务站站址建设、管道施工的临时占</w:t>
      </w:r>
      <w:r>
        <w:rPr>
          <w:rFonts w:hint="eastAsia" w:eastAsia="宋体" w:cs="Times New Roman"/>
          <w:caps w:val="0"/>
          <w:smallCaps w:val="0"/>
          <w:snapToGrid/>
          <w:color w:val="auto"/>
          <w:spacing w:val="0"/>
          <w:w w:val="100"/>
          <w:kern w:val="0"/>
          <w:sz w:val="24"/>
          <w:szCs w:val="24"/>
          <w:highlight w:val="none"/>
          <w:lang w:val="en-US" w:eastAsia="zh-CN" w:bidi="ar-SA"/>
        </w:rPr>
        <w:t>地对土地的占用，对植被的碾压、挖掘等活动，会引起土壤理化性质的改变、肥力降低等。</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（1）服务站站址永久占地</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根据建设单位提供资料，本项目新建3#服务站站址占地类型为</w:t>
      </w:r>
      <w:r>
        <w:rPr>
          <w:rFonts w:hint="eastAsia" w:cs="Times New Roman"/>
          <w:caps w:val="0"/>
          <w:smallCaps w:val="0"/>
          <w:snapToGrid/>
          <w:color w:val="auto"/>
          <w:spacing w:val="0"/>
          <w:w w:val="100"/>
          <w:kern w:val="0"/>
          <w:sz w:val="24"/>
          <w:szCs w:val="24"/>
          <w:highlight w:val="none"/>
          <w:lang w:val="en-US" w:eastAsia="zh-CN" w:bidi="ar-SA"/>
        </w:rPr>
        <w:t>其他草地、坑塘水面及沟渠。站址施工建设对土地的直接占用，对草地地表植被进行清除；大型、重</w:t>
      </w:r>
      <w:r>
        <w:rPr>
          <w:rFonts w:hint="eastAsia" w:eastAsia="宋体" w:cs="Times New Roman"/>
          <w:caps w:val="0"/>
          <w:smallCaps w:val="0"/>
          <w:snapToGrid/>
          <w:color w:val="auto"/>
          <w:spacing w:val="0"/>
          <w:w w:val="100"/>
          <w:kern w:val="0"/>
          <w:sz w:val="24"/>
          <w:szCs w:val="24"/>
          <w:highlight w:val="none"/>
          <w:lang w:val="en-US" w:eastAsia="zh-CN" w:bidi="ar-SA"/>
        </w:rPr>
        <w:t>型机械设备的碾压，施工人员的践踏等使土壤紧实度增高，造成局部大片裸地出现，容易引起土壤风蚀和水土流失，特别是风蚀。</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同时项目站址在运行期间处理页岩油试验区储层改造作业产生的压裂返排液；其中</w:t>
      </w:r>
      <w:r>
        <w:rPr>
          <w:rFonts w:hint="default" w:eastAsia="宋体" w:cs="Times New Roman"/>
          <w:caps w:val="0"/>
          <w:smallCaps w:val="0"/>
          <w:snapToGrid/>
          <w:color w:val="auto"/>
          <w:spacing w:val="0"/>
          <w:w w:val="100"/>
          <w:kern w:val="0"/>
          <w:sz w:val="24"/>
          <w:szCs w:val="24"/>
          <w:highlight w:val="none"/>
          <w:lang w:val="en-US" w:eastAsia="zh-CN" w:bidi="ar-SA"/>
        </w:rPr>
        <w:t>压裂过程使用压裂液，其主要成分是改性胍胶、润湿改进剂、高温交联剂等，压裂返排液泄漏可能会污染土壤</w:t>
      </w:r>
      <w:r>
        <w:rPr>
          <w:rFonts w:hint="eastAsia" w:cs="Times New Roman"/>
          <w:caps w:val="0"/>
          <w:smallCaps w:val="0"/>
          <w:snapToGrid/>
          <w:color w:val="auto"/>
          <w:spacing w:val="0"/>
          <w:w w:val="100"/>
          <w:kern w:val="0"/>
          <w:sz w:val="24"/>
          <w:szCs w:val="24"/>
          <w:highlight w:val="none"/>
          <w:lang w:val="en-US" w:eastAsia="zh-CN" w:bidi="ar-SA"/>
        </w:rPr>
        <w:t>。</w:t>
      </w:r>
      <w:r>
        <w:rPr>
          <w:rFonts w:hint="eastAsia" w:eastAsia="宋体" w:cs="Times New Roman"/>
          <w:caps w:val="0"/>
          <w:smallCaps w:val="0"/>
          <w:snapToGrid/>
          <w:color w:val="auto"/>
          <w:spacing w:val="0"/>
          <w:w w:val="100"/>
          <w:kern w:val="0"/>
          <w:sz w:val="24"/>
          <w:szCs w:val="24"/>
          <w:highlight w:val="none"/>
          <w:lang w:val="en-US" w:eastAsia="zh-CN" w:bidi="ar-SA"/>
        </w:rPr>
        <w:t>若发生废水</w:t>
      </w:r>
      <w:r>
        <w:rPr>
          <w:rFonts w:hint="eastAsia" w:cs="Times New Roman"/>
          <w:caps w:val="0"/>
          <w:smallCaps w:val="0"/>
          <w:snapToGrid/>
          <w:color w:val="auto"/>
          <w:spacing w:val="0"/>
          <w:w w:val="100"/>
          <w:kern w:val="0"/>
          <w:sz w:val="24"/>
          <w:szCs w:val="24"/>
          <w:highlight w:val="none"/>
          <w:lang w:val="en-US" w:eastAsia="zh-CN" w:bidi="ar-SA"/>
        </w:rPr>
        <w:t>泄漏</w:t>
      </w:r>
      <w:r>
        <w:rPr>
          <w:rFonts w:hint="eastAsia" w:eastAsia="宋体" w:cs="Times New Roman"/>
          <w:caps w:val="0"/>
          <w:smallCaps w:val="0"/>
          <w:snapToGrid/>
          <w:color w:val="auto"/>
          <w:spacing w:val="0"/>
          <w:w w:val="100"/>
          <w:kern w:val="0"/>
          <w:sz w:val="24"/>
          <w:szCs w:val="24"/>
          <w:highlight w:val="none"/>
          <w:lang w:val="en-US" w:eastAsia="zh-CN" w:bidi="ar-SA"/>
        </w:rPr>
        <w:t>，废水中的油类物质覆于地表会使土壤透气性下降，降低土壤肥力；同时油类物质附着在植物根系，形成粘膜，阻碍根系的呼吸与吸收，引起根系腐烂，影响作物根系的生长，甚至造成作物的死亡。</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（2）管道铺设施工</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本项目管道</w:t>
      </w:r>
      <w:r>
        <w:rPr>
          <w:rFonts w:hint="eastAsia" w:cs="Times New Roman"/>
          <w:caps w:val="0"/>
          <w:smallCaps w:val="0"/>
          <w:snapToGrid/>
          <w:color w:val="auto"/>
          <w:spacing w:val="0"/>
          <w:w w:val="100"/>
          <w:kern w:val="0"/>
          <w:sz w:val="24"/>
          <w:szCs w:val="24"/>
          <w:highlight w:val="none"/>
          <w:lang w:val="en-US" w:eastAsia="zh-CN" w:bidi="ar-SA"/>
        </w:rPr>
        <w:t>施工临时占用大量永久基本农田；区域永久基本农田表层土壤主要为肥力优越的暗黑色腐殖质土；</w:t>
      </w:r>
      <w:r>
        <w:rPr>
          <w:rFonts w:hint="eastAsia" w:eastAsia="宋体" w:cs="Times New Roman"/>
          <w:caps w:val="0"/>
          <w:smallCaps w:val="0"/>
          <w:snapToGrid/>
          <w:color w:val="auto"/>
          <w:spacing w:val="0"/>
          <w:w w:val="100"/>
          <w:kern w:val="0"/>
          <w:sz w:val="24"/>
          <w:szCs w:val="24"/>
          <w:highlight w:val="none"/>
          <w:lang w:val="en-US" w:eastAsia="zh-CN" w:bidi="ar-SA"/>
        </w:rPr>
        <w:t>建设时施工人员将会对管沟开挖上方的地表植被进行清理，对</w:t>
      </w:r>
      <w:r>
        <w:rPr>
          <w:rFonts w:hint="eastAsia" w:cs="Times New Roman"/>
          <w:caps w:val="0"/>
          <w:smallCaps w:val="0"/>
          <w:snapToGrid/>
          <w:color w:val="auto"/>
          <w:spacing w:val="0"/>
          <w:w w:val="100"/>
          <w:kern w:val="0"/>
          <w:sz w:val="24"/>
          <w:szCs w:val="24"/>
          <w:highlight w:val="none"/>
          <w:lang w:val="en-US" w:eastAsia="zh-CN" w:bidi="ar-SA"/>
        </w:rPr>
        <w:t>农作物</w:t>
      </w:r>
      <w:r>
        <w:rPr>
          <w:rFonts w:hint="eastAsia" w:eastAsia="宋体" w:cs="Times New Roman"/>
          <w:caps w:val="0"/>
          <w:smallCaps w:val="0"/>
          <w:snapToGrid/>
          <w:color w:val="auto"/>
          <w:spacing w:val="0"/>
          <w:w w:val="100"/>
          <w:kern w:val="0"/>
          <w:sz w:val="24"/>
          <w:szCs w:val="24"/>
          <w:highlight w:val="none"/>
          <w:lang w:val="en-US" w:eastAsia="zh-CN" w:bidi="ar-SA"/>
        </w:rPr>
        <w:t>造成破坏</w:t>
      </w:r>
      <w:r>
        <w:rPr>
          <w:rFonts w:hint="eastAsia" w:cs="Times New Roman"/>
          <w:caps w:val="0"/>
          <w:smallCaps w:val="0"/>
          <w:snapToGrid/>
          <w:color w:val="auto"/>
          <w:spacing w:val="0"/>
          <w:w w:val="100"/>
          <w:kern w:val="0"/>
          <w:sz w:val="24"/>
          <w:szCs w:val="24"/>
          <w:highlight w:val="none"/>
          <w:lang w:val="en-US" w:eastAsia="zh-CN" w:bidi="ar-SA"/>
        </w:rPr>
        <w:t>。同时</w:t>
      </w:r>
      <w:r>
        <w:rPr>
          <w:rFonts w:hint="eastAsia" w:eastAsia="宋体" w:cs="Times New Roman"/>
          <w:caps w:val="0"/>
          <w:smallCaps w:val="0"/>
          <w:snapToGrid/>
          <w:color w:val="auto"/>
          <w:spacing w:val="0"/>
          <w:w w:val="100"/>
          <w:kern w:val="0"/>
          <w:sz w:val="24"/>
          <w:szCs w:val="24"/>
          <w:highlight w:val="none"/>
          <w:lang w:val="en-US" w:eastAsia="zh-CN" w:bidi="ar-SA"/>
        </w:rPr>
        <w:t>管沟清挖，破坏土层结构，使土壤变得疏松，产生一定面积的裸露地面，造成新增土壤侵蚀。施工结束后对施工占地地表植被进行恢复，可有效减轻管道建设过程中对土壤环境的影响。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①破坏土壤结构</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土壤结构的形成需要漫长的时间，在开挖和填埋时，必将破坏土壤结构，干扰了团粒结构的自然形成过程。作为土壤质量重要指标的团粒结构一旦遭到破坏，需要经过较长的时间才能恢复。</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②混合土壤层次，改变土壤质地</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土壤表层质地与底层的质地截然不同，施工作业土壤开挖与回填，会</w:t>
      </w:r>
      <w:r>
        <w:rPr>
          <w:rFonts w:hint="eastAsia" w:cs="Times New Roman"/>
          <w:caps w:val="0"/>
          <w:smallCaps w:val="0"/>
          <w:snapToGrid/>
          <w:color w:val="auto"/>
          <w:spacing w:val="0"/>
          <w:w w:val="100"/>
          <w:kern w:val="0"/>
          <w:sz w:val="24"/>
          <w:szCs w:val="24"/>
          <w:highlight w:val="none"/>
          <w:lang w:val="en-US" w:eastAsia="zh-CN" w:bidi="ar-SA"/>
        </w:rPr>
        <w:t>混合</w:t>
      </w:r>
      <w:r>
        <w:rPr>
          <w:rFonts w:hint="eastAsia" w:eastAsia="宋体" w:cs="Times New Roman"/>
          <w:caps w:val="0"/>
          <w:smallCaps w:val="0"/>
          <w:snapToGrid/>
          <w:color w:val="auto"/>
          <w:spacing w:val="0"/>
          <w:w w:val="100"/>
          <w:kern w:val="0"/>
          <w:sz w:val="24"/>
          <w:szCs w:val="24"/>
          <w:highlight w:val="none"/>
          <w:lang w:val="en-US" w:eastAsia="zh-CN" w:bidi="ar-SA"/>
        </w:rPr>
        <w:t>原有的土壤层次，降低土壤的蓄水保肥能力，易受风蚀，从而影响土壤的发育、植被的恢复。</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③土壤养分流失</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不同土层的特征及理化性质差异较大，就养分状况而言，表土层（腐殖质层、耕作层）较心土层土壤远，其有机质、全氮、全磷均较其他层次高。施工作业对原有的土体构型产生扰动，使土壤性质发生变化，土壤养分流失，从而影响植物的生长。</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管道施工前进行表土剥离，土壤分层开挖，不同土层分别堆放，表土表面覆盖水土保持毯，定期洒水，防止土壤肥力降低。施工结束后，土壤分层回填，表土回填至表面，土壤记性压实，翻松，植被恢复。采取以上措施，可减少管道施工对土壤环境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输液管道施工期间，为常温输送，不会对管道进行加热；无热辐射产生，运行期间对地表的植物及植被不会产生影响，不会影响农作物的生长、发育及产量。</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5.</w:t>
      </w:r>
      <w:r>
        <w:rPr>
          <w:rFonts w:hint="eastAsia" w:cs="Times New Roman"/>
          <w:caps w:val="0"/>
          <w:smallCaps w:val="0"/>
          <w:snapToGrid/>
          <w:color w:val="auto"/>
          <w:spacing w:val="0"/>
          <w:w w:val="100"/>
          <w:kern w:val="0"/>
          <w:sz w:val="24"/>
          <w:szCs w:val="24"/>
          <w:highlight w:val="none"/>
          <w:lang w:val="en-US" w:eastAsia="zh-CN" w:bidi="ar-SA"/>
        </w:rPr>
        <w:t>3.1</w:t>
      </w:r>
      <w:r>
        <w:rPr>
          <w:rFonts w:hint="eastAsia" w:eastAsia="宋体" w:cs="Times New Roman"/>
          <w:caps w:val="0"/>
          <w:smallCaps w:val="0"/>
          <w:snapToGrid/>
          <w:color w:val="auto"/>
          <w:spacing w:val="0"/>
          <w:w w:val="100"/>
          <w:kern w:val="0"/>
          <w:sz w:val="24"/>
          <w:szCs w:val="24"/>
          <w:highlight w:val="none"/>
          <w:lang w:val="en-US" w:eastAsia="zh-CN" w:bidi="ar-SA"/>
        </w:rPr>
        <w:t>对土地利用的影响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（1）土地利用方式影响分析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本项目永久占地为</w:t>
      </w:r>
      <w:r>
        <w:rPr>
          <w:rFonts w:hint="eastAsia" w:cs="Times New Roman"/>
          <w:caps w:val="0"/>
          <w:smallCaps w:val="0"/>
          <w:snapToGrid/>
          <w:color w:val="auto"/>
          <w:spacing w:val="0"/>
          <w:w w:val="100"/>
          <w:kern w:val="0"/>
          <w:sz w:val="24"/>
          <w:szCs w:val="24"/>
          <w:highlight w:val="none"/>
          <w:lang w:val="en-US" w:eastAsia="zh-CN" w:bidi="ar-SA"/>
        </w:rPr>
        <w:t>3#服务站站址建设，永久占地类型为其他草地、坑塘水面及沟渠；管道施工建设为临时占地，不设置保护桩、里程桩等标志桩，无永久占地产生，管道施工临时占地占用耕地（水田+永久基本农田+一般耕地）、农村道路、坑塘水面及沟渠。项目永久占地改变土地利用的结构和功能。</w:t>
      </w:r>
    </w:p>
    <w:p>
      <w:pPr>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br w:type="page"/>
      </w:r>
    </w:p>
    <w:p>
      <w:pPr>
        <w:pStyle w:val="11"/>
        <w:ind w:left="0" w:leftChars="0" w:firstLine="0" w:firstLineChars="0"/>
        <w:jc w:val="cente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pStyle w:val="11"/>
        <w:ind w:left="0" w:leftChars="0" w:firstLine="0" w:firstLineChars="0"/>
        <w:jc w:val="center"/>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ascii="Times New Roman" w:eastAsia="宋体" w:cs="Times New Roman"/>
          <w:b/>
          <w:bCs/>
          <w:caps w:val="0"/>
          <w:smallCaps w:val="0"/>
          <w:snapToGrid/>
          <w:color w:val="auto"/>
          <w:spacing w:val="0"/>
          <w:w w:val="100"/>
          <w:kern w:val="0"/>
          <w:sz w:val="21"/>
          <w:szCs w:val="21"/>
          <w:highlight w:val="none"/>
          <w:lang w:val="en-US" w:eastAsia="zh-CN" w:bidi="ar-SA"/>
        </w:rPr>
        <w:t>5.3-1</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工程占地一览表 单位：m</w:t>
      </w:r>
      <w:r>
        <w:rPr>
          <w:rFonts w:hint="eastAsia" w:ascii="Times New Roman" w:hAnsi="Times New Roman" w:eastAsia="宋体" w:cs="Times New Roman"/>
          <w:b/>
          <w:bCs/>
          <w:caps w:val="0"/>
          <w:smallCaps w:val="0"/>
          <w:snapToGrid/>
          <w:color w:val="auto"/>
          <w:spacing w:val="0"/>
          <w:w w:val="100"/>
          <w:kern w:val="0"/>
          <w:sz w:val="21"/>
          <w:szCs w:val="21"/>
          <w:highlight w:val="none"/>
          <w:vertAlign w:val="superscript"/>
          <w:lang w:val="en-US" w:eastAsia="zh-CN" w:bidi="ar-SA"/>
        </w:rPr>
        <w:t>2</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80"/>
        <w:gridCol w:w="1606"/>
        <w:gridCol w:w="1194"/>
        <w:gridCol w:w="1194"/>
        <w:gridCol w:w="1196"/>
        <w:gridCol w:w="1553"/>
        <w:gridCol w:w="1288"/>
        <w:gridCol w:w="1075"/>
        <w:gridCol w:w="1086"/>
        <w:gridCol w:w="1127"/>
        <w:gridCol w:w="1036"/>
        <w:gridCol w:w="103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8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序号</w:t>
            </w:r>
          </w:p>
        </w:tc>
        <w:tc>
          <w:tcPr>
            <w:tcW w:w="160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工程组成</w:t>
            </w:r>
          </w:p>
        </w:tc>
        <w:tc>
          <w:tcPr>
            <w:tcW w:w="3584"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永久占地</w:t>
            </w:r>
          </w:p>
        </w:tc>
        <w:tc>
          <w:tcPr>
            <w:tcW w:w="7165"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临时占地</w:t>
            </w:r>
          </w:p>
        </w:tc>
        <w:tc>
          <w:tcPr>
            <w:tcW w:w="103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80"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p>
        </w:tc>
        <w:tc>
          <w:tcPr>
            <w:tcW w:w="160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p>
        </w:tc>
        <w:tc>
          <w:tcPr>
            <w:tcW w:w="119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其他草地</w:t>
            </w:r>
          </w:p>
        </w:tc>
        <w:tc>
          <w:tcPr>
            <w:tcW w:w="119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坑塘水面</w:t>
            </w:r>
          </w:p>
        </w:tc>
        <w:tc>
          <w:tcPr>
            <w:tcW w:w="11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沟渠</w:t>
            </w:r>
          </w:p>
        </w:tc>
        <w:tc>
          <w:tcPr>
            <w:tcW w:w="15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永久基本农田</w:t>
            </w:r>
          </w:p>
        </w:tc>
        <w:tc>
          <w:tcPr>
            <w:tcW w:w="12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一般耕地</w:t>
            </w:r>
          </w:p>
        </w:tc>
        <w:tc>
          <w:tcPr>
            <w:tcW w:w="10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bidi="ar-SA"/>
              </w:rPr>
            </w:pPr>
            <w:r>
              <w:rPr>
                <w:rFonts w:hint="eastAsia" w:eastAsia="Arial" w:cs="Times New Roman"/>
                <w:snapToGrid w:val="0"/>
                <w:color w:val="auto"/>
                <w:kern w:val="0"/>
                <w:sz w:val="21"/>
                <w:szCs w:val="21"/>
                <w:highlight w:val="none"/>
                <w:vertAlign w:val="baseline"/>
                <w:lang w:val="en-US" w:eastAsia="zh-CN" w:bidi="ar-SA"/>
              </w:rPr>
              <w:t>水田</w:t>
            </w:r>
          </w:p>
        </w:tc>
        <w:tc>
          <w:tcPr>
            <w:tcW w:w="10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bidi="ar-SA"/>
              </w:rPr>
            </w:pPr>
            <w:r>
              <w:rPr>
                <w:rFonts w:hint="eastAsia" w:eastAsia="Arial" w:cs="Times New Roman"/>
                <w:snapToGrid w:val="0"/>
                <w:color w:val="auto"/>
                <w:kern w:val="0"/>
                <w:sz w:val="21"/>
                <w:szCs w:val="21"/>
                <w:highlight w:val="none"/>
                <w:vertAlign w:val="baseline"/>
                <w:lang w:val="en-US" w:eastAsia="zh-CN"/>
              </w:rPr>
              <w:t>坑塘水面</w:t>
            </w:r>
          </w:p>
        </w:tc>
        <w:tc>
          <w:tcPr>
            <w:tcW w:w="112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bidi="ar-SA"/>
              </w:rPr>
            </w:pPr>
            <w:r>
              <w:rPr>
                <w:rFonts w:hint="eastAsia" w:eastAsia="Arial" w:cs="Times New Roman"/>
                <w:snapToGrid w:val="0"/>
                <w:color w:val="auto"/>
                <w:kern w:val="0"/>
                <w:sz w:val="21"/>
                <w:szCs w:val="21"/>
                <w:highlight w:val="none"/>
                <w:vertAlign w:val="baseline"/>
                <w:lang w:val="en-US" w:eastAsia="zh-CN"/>
              </w:rPr>
              <w:t>沟渠</w:t>
            </w: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bidi="ar-SA"/>
              </w:rPr>
            </w:pPr>
            <w:r>
              <w:rPr>
                <w:rFonts w:hint="eastAsia" w:ascii="Times New Roman" w:hAnsi="Times New Roman" w:eastAsia="Arial" w:cs="Times New Roman"/>
                <w:snapToGrid w:val="0"/>
                <w:color w:val="auto"/>
                <w:kern w:val="0"/>
                <w:sz w:val="21"/>
                <w:szCs w:val="21"/>
                <w:highlight w:val="none"/>
                <w:vertAlign w:val="baseline"/>
                <w:lang w:val="en-US" w:eastAsia="zh-CN"/>
              </w:rPr>
              <w:t>农村道路</w:t>
            </w:r>
          </w:p>
        </w:tc>
        <w:tc>
          <w:tcPr>
            <w:tcW w:w="103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1" w:hRule="atLeast"/>
        </w:trPr>
        <w:tc>
          <w:tcPr>
            <w:tcW w:w="7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1</w:t>
            </w:r>
          </w:p>
        </w:tc>
        <w:tc>
          <w:tcPr>
            <w:tcW w:w="160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3#服务站站址</w:t>
            </w:r>
          </w:p>
        </w:tc>
        <w:tc>
          <w:tcPr>
            <w:tcW w:w="119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103492</w:t>
            </w:r>
          </w:p>
        </w:tc>
        <w:tc>
          <w:tcPr>
            <w:tcW w:w="119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2826</w:t>
            </w:r>
          </w:p>
        </w:tc>
        <w:tc>
          <w:tcPr>
            <w:tcW w:w="11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4977</w:t>
            </w:r>
          </w:p>
        </w:tc>
        <w:tc>
          <w:tcPr>
            <w:tcW w:w="15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w:t>
            </w:r>
          </w:p>
        </w:tc>
        <w:tc>
          <w:tcPr>
            <w:tcW w:w="12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w:t>
            </w:r>
          </w:p>
        </w:tc>
        <w:tc>
          <w:tcPr>
            <w:tcW w:w="10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w:t>
            </w:r>
          </w:p>
        </w:tc>
        <w:tc>
          <w:tcPr>
            <w:tcW w:w="10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bidi="ar-SA"/>
              </w:rPr>
            </w:pPr>
            <w:r>
              <w:rPr>
                <w:rFonts w:hint="eastAsia" w:eastAsia="Arial" w:cs="Times New Roman"/>
                <w:snapToGrid w:val="0"/>
                <w:color w:val="auto"/>
                <w:kern w:val="0"/>
                <w:sz w:val="21"/>
                <w:szCs w:val="21"/>
                <w:highlight w:val="none"/>
                <w:vertAlign w:val="baseline"/>
                <w:lang w:val="en-US" w:eastAsia="zh-CN"/>
              </w:rPr>
              <w:t>/</w:t>
            </w:r>
          </w:p>
        </w:tc>
        <w:tc>
          <w:tcPr>
            <w:tcW w:w="112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bidi="ar-SA"/>
              </w:rPr>
            </w:pPr>
            <w:r>
              <w:rPr>
                <w:rFonts w:hint="eastAsia" w:eastAsia="Arial" w:cs="Times New Roman"/>
                <w:snapToGrid w:val="0"/>
                <w:color w:val="auto"/>
                <w:kern w:val="0"/>
                <w:sz w:val="21"/>
                <w:szCs w:val="21"/>
                <w:highlight w:val="none"/>
                <w:vertAlign w:val="baseline"/>
                <w:lang w:val="en-US" w:eastAsia="zh-CN"/>
              </w:rPr>
              <w:t>/</w:t>
            </w: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bidi="ar-SA"/>
              </w:rPr>
            </w:pPr>
            <w:r>
              <w:rPr>
                <w:rFonts w:hint="eastAsia" w:eastAsia="Arial" w:cs="Times New Roman"/>
                <w:snapToGrid w:val="0"/>
                <w:color w:val="auto"/>
                <w:kern w:val="0"/>
                <w:sz w:val="21"/>
                <w:szCs w:val="21"/>
                <w:highlight w:val="none"/>
                <w:vertAlign w:val="baseline"/>
                <w:lang w:val="en-US" w:eastAsia="zh-CN"/>
              </w:rPr>
              <w:t>/</w:t>
            </w: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2</w:t>
            </w:r>
          </w:p>
        </w:tc>
        <w:tc>
          <w:tcPr>
            <w:tcW w:w="160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管道铺设</w:t>
            </w:r>
          </w:p>
        </w:tc>
        <w:tc>
          <w:tcPr>
            <w:tcW w:w="119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w:t>
            </w:r>
          </w:p>
        </w:tc>
        <w:tc>
          <w:tcPr>
            <w:tcW w:w="119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w:t>
            </w:r>
          </w:p>
        </w:tc>
        <w:tc>
          <w:tcPr>
            <w:tcW w:w="11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w:t>
            </w:r>
          </w:p>
        </w:tc>
        <w:tc>
          <w:tcPr>
            <w:tcW w:w="15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169093</w:t>
            </w:r>
          </w:p>
        </w:tc>
        <w:tc>
          <w:tcPr>
            <w:tcW w:w="12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bidi="ar-SA"/>
              </w:rPr>
            </w:pPr>
            <w:r>
              <w:rPr>
                <w:rFonts w:hint="eastAsia" w:ascii="Times New Roman" w:hAnsi="Times New Roman" w:eastAsia="宋体" w:cs="Times New Roman"/>
                <w:color w:val="auto"/>
                <w:highlight w:val="none"/>
                <w:vertAlign w:val="baseline"/>
                <w:lang w:val="en-US" w:eastAsia="zh-CN"/>
              </w:rPr>
              <w:t>6378</w:t>
            </w:r>
          </w:p>
        </w:tc>
        <w:tc>
          <w:tcPr>
            <w:tcW w:w="10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bidi="ar-SA"/>
              </w:rPr>
            </w:pPr>
            <w:r>
              <w:rPr>
                <w:rFonts w:hint="eastAsia" w:ascii="Times New Roman" w:hAnsi="Times New Roman" w:eastAsia="Arial" w:cs="Times New Roman"/>
                <w:snapToGrid w:val="0"/>
                <w:color w:val="auto"/>
                <w:kern w:val="0"/>
                <w:sz w:val="21"/>
                <w:szCs w:val="21"/>
                <w:highlight w:val="none"/>
                <w:vertAlign w:val="baseline"/>
                <w:lang w:val="en-US" w:eastAsia="zh-CN"/>
              </w:rPr>
              <w:t>1963</w:t>
            </w:r>
          </w:p>
        </w:tc>
        <w:tc>
          <w:tcPr>
            <w:tcW w:w="10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bidi="ar-SA"/>
              </w:rPr>
            </w:pPr>
            <w:r>
              <w:rPr>
                <w:rFonts w:hint="eastAsia" w:ascii="Times New Roman" w:hAnsi="Times New Roman" w:eastAsia="Arial" w:cs="Times New Roman"/>
                <w:snapToGrid w:val="0"/>
                <w:color w:val="auto"/>
                <w:kern w:val="0"/>
                <w:sz w:val="21"/>
                <w:szCs w:val="21"/>
                <w:highlight w:val="none"/>
                <w:vertAlign w:val="baseline"/>
                <w:lang w:val="en-US" w:eastAsia="zh-CN" w:bidi="ar-SA"/>
              </w:rPr>
              <w:t>1943</w:t>
            </w:r>
          </w:p>
        </w:tc>
        <w:tc>
          <w:tcPr>
            <w:tcW w:w="112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bidi="ar-SA"/>
              </w:rPr>
            </w:pPr>
            <w:r>
              <w:rPr>
                <w:rFonts w:hint="eastAsia" w:ascii="Times New Roman" w:hAnsi="Times New Roman" w:eastAsia="Arial" w:cs="Times New Roman"/>
                <w:snapToGrid w:val="0"/>
                <w:color w:val="auto"/>
                <w:kern w:val="0"/>
                <w:sz w:val="21"/>
                <w:szCs w:val="21"/>
                <w:highlight w:val="none"/>
                <w:vertAlign w:val="baseline"/>
                <w:lang w:val="en-US" w:eastAsia="zh-CN" w:bidi="ar-SA"/>
              </w:rPr>
              <w:t>1217</w:t>
            </w: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bidi="ar-SA"/>
              </w:rPr>
            </w:pPr>
            <w:r>
              <w:rPr>
                <w:rFonts w:hint="eastAsia" w:ascii="Times New Roman" w:hAnsi="Times New Roman" w:eastAsia="Arial" w:cs="Times New Roman"/>
                <w:snapToGrid w:val="0"/>
                <w:color w:val="auto"/>
                <w:kern w:val="0"/>
                <w:sz w:val="21"/>
                <w:szCs w:val="21"/>
                <w:highlight w:val="none"/>
                <w:vertAlign w:val="baseline"/>
                <w:lang w:val="en-US" w:eastAsia="zh-CN"/>
              </w:rPr>
              <w:t>4345</w:t>
            </w: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不设置保护桩、里程桩等标志桩，无永久占地产生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1" w:hRule="atLeast"/>
        </w:trPr>
        <w:tc>
          <w:tcPr>
            <w:tcW w:w="2386"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小计</w:t>
            </w:r>
          </w:p>
        </w:tc>
        <w:tc>
          <w:tcPr>
            <w:tcW w:w="3584"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111295</w:t>
            </w:r>
          </w:p>
        </w:tc>
        <w:tc>
          <w:tcPr>
            <w:tcW w:w="7165" w:type="dxa"/>
            <w:gridSpan w:val="6"/>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184939</w:t>
            </w: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386"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总计</w:t>
            </w:r>
          </w:p>
        </w:tc>
        <w:tc>
          <w:tcPr>
            <w:tcW w:w="10749" w:type="dxa"/>
            <w:gridSpan w:val="9"/>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296234</w:t>
            </w: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386"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占比（%）</w:t>
            </w:r>
          </w:p>
        </w:tc>
        <w:tc>
          <w:tcPr>
            <w:tcW w:w="119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34.94</w:t>
            </w:r>
          </w:p>
        </w:tc>
        <w:tc>
          <w:tcPr>
            <w:tcW w:w="119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0.95</w:t>
            </w:r>
          </w:p>
        </w:tc>
        <w:tc>
          <w:tcPr>
            <w:tcW w:w="119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1.68</w:t>
            </w:r>
          </w:p>
        </w:tc>
        <w:tc>
          <w:tcPr>
            <w:tcW w:w="15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57.08</w:t>
            </w:r>
          </w:p>
        </w:tc>
        <w:tc>
          <w:tcPr>
            <w:tcW w:w="12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2.15</w:t>
            </w:r>
          </w:p>
        </w:tc>
        <w:tc>
          <w:tcPr>
            <w:tcW w:w="10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0.66</w:t>
            </w:r>
          </w:p>
        </w:tc>
        <w:tc>
          <w:tcPr>
            <w:tcW w:w="10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0.66</w:t>
            </w:r>
          </w:p>
        </w:tc>
        <w:tc>
          <w:tcPr>
            <w:tcW w:w="112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0.41</w:t>
            </w: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1.47</w:t>
            </w:r>
          </w:p>
        </w:tc>
        <w:tc>
          <w:tcPr>
            <w:tcW w:w="10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w:t>
            </w:r>
          </w:p>
        </w:tc>
      </w:tr>
    </w:tbl>
    <w:p>
      <w:pPr>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br w:type="page"/>
      </w:r>
    </w:p>
    <w:p>
      <w:pPr>
        <w:pStyle w:val="11"/>
        <w:rPr>
          <w:rFonts w:hint="eastAsia"/>
          <w:color w:val="auto"/>
          <w:highlight w:val="none"/>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由上表可知：项目总占地296234m</w:t>
      </w:r>
      <w:r>
        <w:rPr>
          <w:rFonts w:hint="eastAsia"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eastAsia="宋体" w:cs="Times New Roman"/>
          <w:caps w:val="0"/>
          <w:smallCaps w:val="0"/>
          <w:snapToGrid/>
          <w:color w:val="auto"/>
          <w:spacing w:val="0"/>
          <w:w w:val="100"/>
          <w:kern w:val="0"/>
          <w:sz w:val="24"/>
          <w:szCs w:val="24"/>
          <w:highlight w:val="none"/>
          <w:lang w:val="en-US" w:eastAsia="zh-CN" w:bidi="ar-SA"/>
        </w:rPr>
        <w:t>，其中临时占地为184939m</w:t>
      </w:r>
      <w:r>
        <w:rPr>
          <w:rFonts w:hint="eastAsia"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eastAsia="宋体" w:cs="Times New Roman"/>
          <w:caps w:val="0"/>
          <w:smallCaps w:val="0"/>
          <w:snapToGrid/>
          <w:color w:val="auto"/>
          <w:spacing w:val="0"/>
          <w:w w:val="100"/>
          <w:kern w:val="0"/>
          <w:sz w:val="24"/>
          <w:szCs w:val="24"/>
          <w:highlight w:val="none"/>
          <w:lang w:val="en-US" w:eastAsia="zh-CN" w:bidi="ar-SA"/>
        </w:rPr>
        <w:t>，占总占地比例的</w:t>
      </w:r>
      <w:r>
        <w:rPr>
          <w:rFonts w:hint="eastAsia" w:cs="Times New Roman"/>
          <w:caps w:val="0"/>
          <w:smallCaps w:val="0"/>
          <w:snapToGrid/>
          <w:color w:val="auto"/>
          <w:spacing w:val="0"/>
          <w:w w:val="100"/>
          <w:kern w:val="0"/>
          <w:sz w:val="24"/>
          <w:szCs w:val="24"/>
          <w:highlight w:val="none"/>
          <w:lang w:val="en-US" w:eastAsia="zh-CN" w:bidi="ar-SA"/>
        </w:rPr>
        <w:t>62.43</w:t>
      </w:r>
      <w:r>
        <w:rPr>
          <w:rFonts w:hint="eastAsia" w:eastAsia="宋体" w:cs="Times New Roman"/>
          <w:caps w:val="0"/>
          <w:smallCaps w:val="0"/>
          <w:snapToGrid/>
          <w:color w:val="auto"/>
          <w:spacing w:val="0"/>
          <w:w w:val="100"/>
          <w:kern w:val="0"/>
          <w:sz w:val="24"/>
          <w:szCs w:val="24"/>
          <w:highlight w:val="none"/>
          <w:lang w:val="en-US" w:eastAsia="zh-CN" w:bidi="ar-SA"/>
        </w:rPr>
        <w:t>%；永久占地为111295m</w:t>
      </w:r>
      <w:r>
        <w:rPr>
          <w:rFonts w:hint="eastAsia"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eastAsia="宋体" w:cs="Times New Roman"/>
          <w:caps w:val="0"/>
          <w:smallCaps w:val="0"/>
          <w:snapToGrid/>
          <w:color w:val="auto"/>
          <w:spacing w:val="0"/>
          <w:w w:val="100"/>
          <w:kern w:val="0"/>
          <w:sz w:val="24"/>
          <w:szCs w:val="24"/>
          <w:highlight w:val="none"/>
          <w:lang w:val="en-US" w:eastAsia="zh-CN" w:bidi="ar-SA"/>
        </w:rPr>
        <w:t>，占总占地的</w:t>
      </w:r>
      <w:r>
        <w:rPr>
          <w:rFonts w:hint="eastAsia" w:cs="Times New Roman"/>
          <w:caps w:val="0"/>
          <w:smallCaps w:val="0"/>
          <w:snapToGrid/>
          <w:color w:val="auto"/>
          <w:spacing w:val="0"/>
          <w:w w:val="100"/>
          <w:kern w:val="0"/>
          <w:sz w:val="24"/>
          <w:szCs w:val="24"/>
          <w:highlight w:val="none"/>
          <w:lang w:val="en-US" w:eastAsia="zh-CN" w:bidi="ar-SA"/>
        </w:rPr>
        <w:t>37.57</w:t>
      </w:r>
      <w:r>
        <w:rPr>
          <w:rFonts w:hint="eastAsia"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①临时占地</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本</w:t>
      </w:r>
      <w:r>
        <w:rPr>
          <w:rFonts w:hint="eastAsia" w:cs="Times New Roman"/>
          <w:caps w:val="0"/>
          <w:smallCaps w:val="0"/>
          <w:snapToGrid/>
          <w:color w:val="auto"/>
          <w:spacing w:val="0"/>
          <w:w w:val="100"/>
          <w:kern w:val="0"/>
          <w:sz w:val="24"/>
          <w:szCs w:val="24"/>
          <w:highlight w:val="none"/>
          <w:lang w:val="en-US" w:eastAsia="zh-CN" w:bidi="ar-SA"/>
        </w:rPr>
        <w:t>项目</w:t>
      </w:r>
      <w:r>
        <w:rPr>
          <w:rFonts w:hint="eastAsia" w:eastAsia="宋体" w:cs="Times New Roman"/>
          <w:caps w:val="0"/>
          <w:smallCaps w:val="0"/>
          <w:snapToGrid/>
          <w:color w:val="auto"/>
          <w:spacing w:val="0"/>
          <w:w w:val="100"/>
          <w:kern w:val="0"/>
          <w:sz w:val="24"/>
          <w:szCs w:val="24"/>
          <w:highlight w:val="none"/>
          <w:lang w:val="en-US" w:eastAsia="zh-CN" w:bidi="ar-SA"/>
        </w:rPr>
        <w:t>临时性占地为184939m</w:t>
      </w:r>
      <w:r>
        <w:rPr>
          <w:rFonts w:hint="eastAsia"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eastAsia="宋体" w:cs="Times New Roman"/>
          <w:caps w:val="0"/>
          <w:smallCaps w:val="0"/>
          <w:snapToGrid/>
          <w:color w:val="auto"/>
          <w:spacing w:val="0"/>
          <w:w w:val="100"/>
          <w:kern w:val="0"/>
          <w:sz w:val="24"/>
          <w:szCs w:val="24"/>
          <w:highlight w:val="none"/>
          <w:lang w:val="en-US" w:eastAsia="zh-CN" w:bidi="ar-SA"/>
        </w:rPr>
        <w:t>，</w:t>
      </w:r>
      <w:r>
        <w:rPr>
          <w:rFonts w:hint="eastAsia" w:cs="Times New Roman"/>
          <w:caps w:val="0"/>
          <w:smallCaps w:val="0"/>
          <w:snapToGrid/>
          <w:color w:val="auto"/>
          <w:spacing w:val="0"/>
          <w:w w:val="100"/>
          <w:kern w:val="0"/>
          <w:sz w:val="24"/>
          <w:szCs w:val="24"/>
          <w:highlight w:val="none"/>
          <w:lang w:val="en-US" w:eastAsia="zh-CN" w:bidi="ar-SA"/>
        </w:rPr>
        <w:t>均为管道铺设临时施工作业占地；管道计划施工时长为5个月，本次评价要求，尽量避开植被生长旺盛季节。分区域</w:t>
      </w:r>
      <w:r>
        <w:rPr>
          <w:rFonts w:hint="eastAsia" w:eastAsia="宋体" w:cs="Times New Roman"/>
          <w:caps w:val="0"/>
          <w:smallCaps w:val="0"/>
          <w:snapToGrid/>
          <w:color w:val="auto"/>
          <w:spacing w:val="0"/>
          <w:w w:val="100"/>
          <w:kern w:val="0"/>
          <w:sz w:val="24"/>
          <w:szCs w:val="24"/>
          <w:highlight w:val="none"/>
          <w:lang w:val="en-US" w:eastAsia="zh-CN" w:bidi="ar-SA"/>
        </w:rPr>
        <w:t>阶段施工</w:t>
      </w:r>
      <w:r>
        <w:rPr>
          <w:rFonts w:hint="eastAsia" w:cs="Times New Roman"/>
          <w:caps w:val="0"/>
          <w:smallCaps w:val="0"/>
          <w:snapToGrid/>
          <w:color w:val="auto"/>
          <w:spacing w:val="0"/>
          <w:w w:val="100"/>
          <w:kern w:val="0"/>
          <w:sz w:val="24"/>
          <w:szCs w:val="24"/>
          <w:highlight w:val="none"/>
          <w:lang w:val="en-US" w:eastAsia="zh-CN" w:bidi="ar-SA"/>
        </w:rPr>
        <w:t>；</w:t>
      </w:r>
      <w:r>
        <w:rPr>
          <w:rFonts w:hint="eastAsia" w:eastAsia="宋体" w:cs="Times New Roman"/>
          <w:caps w:val="0"/>
          <w:smallCaps w:val="0"/>
          <w:snapToGrid/>
          <w:color w:val="auto"/>
          <w:spacing w:val="0"/>
          <w:w w:val="100"/>
          <w:kern w:val="0"/>
          <w:sz w:val="24"/>
          <w:szCs w:val="24"/>
          <w:highlight w:val="none"/>
          <w:lang w:val="en-US" w:eastAsia="zh-CN" w:bidi="ar-SA"/>
        </w:rPr>
        <w:t>施工结束后，分区域</w:t>
      </w:r>
      <w:r>
        <w:rPr>
          <w:rFonts w:hint="eastAsia" w:cs="Times New Roman"/>
          <w:caps w:val="0"/>
          <w:smallCaps w:val="0"/>
          <w:snapToGrid/>
          <w:color w:val="auto"/>
          <w:spacing w:val="0"/>
          <w:w w:val="100"/>
          <w:kern w:val="0"/>
          <w:sz w:val="24"/>
          <w:szCs w:val="24"/>
          <w:highlight w:val="none"/>
          <w:lang w:val="en-US" w:eastAsia="zh-CN" w:bidi="ar-SA"/>
        </w:rPr>
        <w:t>、</w:t>
      </w:r>
      <w:r>
        <w:rPr>
          <w:rFonts w:hint="eastAsia" w:eastAsia="宋体" w:cs="Times New Roman"/>
          <w:caps w:val="0"/>
          <w:smallCaps w:val="0"/>
          <w:snapToGrid/>
          <w:color w:val="auto"/>
          <w:spacing w:val="0"/>
          <w:w w:val="100"/>
          <w:kern w:val="0"/>
          <w:sz w:val="24"/>
          <w:szCs w:val="24"/>
          <w:highlight w:val="none"/>
          <w:lang w:val="en-US" w:eastAsia="zh-CN" w:bidi="ar-SA"/>
        </w:rPr>
        <w:t>分阶段进行植被恢复。</w:t>
      </w:r>
      <w:r>
        <w:rPr>
          <w:rFonts w:hint="eastAsia" w:cs="Times New Roman"/>
          <w:caps w:val="0"/>
          <w:smallCaps w:val="0"/>
          <w:snapToGrid/>
          <w:color w:val="auto"/>
          <w:spacing w:val="0"/>
          <w:w w:val="100"/>
          <w:kern w:val="0"/>
          <w:sz w:val="24"/>
          <w:szCs w:val="24"/>
          <w:highlight w:val="none"/>
          <w:lang w:val="en-US" w:eastAsia="zh-CN" w:bidi="ar-SA"/>
        </w:rPr>
        <w:t>根据</w:t>
      </w:r>
      <w:r>
        <w:rPr>
          <w:rFonts w:hint="eastAsia" w:eastAsia="宋体" w:cs="Times New Roman"/>
          <w:caps w:val="0"/>
          <w:smallCaps w:val="0"/>
          <w:snapToGrid/>
          <w:color w:val="auto"/>
          <w:spacing w:val="0"/>
          <w:w w:val="100"/>
          <w:kern w:val="0"/>
          <w:sz w:val="24"/>
          <w:szCs w:val="24"/>
          <w:highlight w:val="none"/>
          <w:lang w:val="en-US" w:eastAsia="zh-CN" w:bidi="ar-SA"/>
        </w:rPr>
        <w:t>本项目</w:t>
      </w:r>
      <w:r>
        <w:rPr>
          <w:rFonts w:hint="eastAsia" w:cs="Times New Roman"/>
          <w:caps w:val="0"/>
          <w:smallCaps w:val="0"/>
          <w:snapToGrid/>
          <w:color w:val="auto"/>
          <w:spacing w:val="0"/>
          <w:w w:val="100"/>
          <w:kern w:val="0"/>
          <w:sz w:val="24"/>
          <w:szCs w:val="24"/>
          <w:highlight w:val="none"/>
          <w:lang w:val="en-US" w:eastAsia="zh-CN" w:bidi="ar-SA"/>
        </w:rPr>
        <w:t>所在区域</w:t>
      </w:r>
      <w:r>
        <w:rPr>
          <w:rFonts w:hint="eastAsia" w:eastAsia="宋体" w:cs="Times New Roman"/>
          <w:caps w:val="0"/>
          <w:smallCaps w:val="0"/>
          <w:snapToGrid/>
          <w:color w:val="auto"/>
          <w:spacing w:val="0"/>
          <w:w w:val="100"/>
          <w:kern w:val="0"/>
          <w:sz w:val="24"/>
          <w:szCs w:val="24"/>
          <w:highlight w:val="none"/>
          <w:lang w:val="en-US" w:eastAsia="zh-CN" w:bidi="ar-SA"/>
        </w:rPr>
        <w:t>气候环境及植物生长特性，临时占地对土地利用的影响时间涉及</w:t>
      </w:r>
      <w:r>
        <w:rPr>
          <w:rFonts w:hint="eastAsia" w:cs="Times New Roman"/>
          <w:caps w:val="0"/>
          <w:smallCaps w:val="0"/>
          <w:snapToGrid/>
          <w:color w:val="auto"/>
          <w:spacing w:val="0"/>
          <w:w w:val="100"/>
          <w:kern w:val="0"/>
          <w:sz w:val="24"/>
          <w:szCs w:val="24"/>
          <w:highlight w:val="none"/>
          <w:lang w:val="en-US" w:eastAsia="zh-CN" w:bidi="ar-SA"/>
        </w:rPr>
        <w:t>1</w:t>
      </w:r>
      <w:r>
        <w:rPr>
          <w:rFonts w:hint="eastAsia" w:eastAsia="宋体" w:cs="Times New Roman"/>
          <w:caps w:val="0"/>
          <w:smallCaps w:val="0"/>
          <w:snapToGrid/>
          <w:color w:val="auto"/>
          <w:spacing w:val="0"/>
          <w:w w:val="100"/>
          <w:kern w:val="0"/>
          <w:sz w:val="24"/>
          <w:szCs w:val="24"/>
          <w:highlight w:val="none"/>
          <w:lang w:val="en-US" w:eastAsia="zh-CN" w:bidi="ar-SA"/>
        </w:rPr>
        <w:t>个植被生长季节，</w:t>
      </w:r>
      <w:r>
        <w:rPr>
          <w:rFonts w:hint="eastAsia" w:cs="Times New Roman"/>
          <w:caps w:val="0"/>
          <w:smallCaps w:val="0"/>
          <w:snapToGrid/>
          <w:color w:val="auto"/>
          <w:spacing w:val="0"/>
          <w:w w:val="100"/>
          <w:kern w:val="0"/>
          <w:sz w:val="24"/>
          <w:szCs w:val="24"/>
          <w:highlight w:val="none"/>
          <w:lang w:val="en-US" w:eastAsia="zh-CN" w:bidi="ar-SA"/>
        </w:rPr>
        <w:t>1</w:t>
      </w:r>
      <w:r>
        <w:rPr>
          <w:rFonts w:hint="eastAsia" w:eastAsia="宋体" w:cs="Times New Roman"/>
          <w:caps w:val="0"/>
          <w:smallCaps w:val="0"/>
          <w:snapToGrid/>
          <w:color w:val="auto"/>
          <w:spacing w:val="0"/>
          <w:w w:val="100"/>
          <w:kern w:val="0"/>
          <w:sz w:val="24"/>
          <w:szCs w:val="24"/>
          <w:highlight w:val="none"/>
          <w:lang w:val="en-US" w:eastAsia="zh-CN" w:bidi="ar-SA"/>
        </w:rPr>
        <w:t>个农作物种植季节。施工结束后，对临时占用</w:t>
      </w:r>
      <w:r>
        <w:rPr>
          <w:rFonts w:hint="eastAsia" w:cs="Times New Roman"/>
          <w:caps w:val="0"/>
          <w:smallCaps w:val="0"/>
          <w:snapToGrid/>
          <w:color w:val="auto"/>
          <w:spacing w:val="0"/>
          <w:w w:val="100"/>
          <w:kern w:val="0"/>
          <w:sz w:val="24"/>
          <w:szCs w:val="24"/>
          <w:highlight w:val="none"/>
          <w:lang w:val="en-US" w:eastAsia="zh-CN" w:bidi="ar-SA"/>
        </w:rPr>
        <w:t>耕地进行复垦；制定耕地复垦方案，复垦率为100%，复垦质量满足《土地复垦质量控制标准》（TD/T1036-2013）中规定的要求，要求临时占用的耕地内农作物生产能力恢复至施工前原有水平。</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②永久占地</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本工程永久性占地面积为111295m</w:t>
      </w:r>
      <w:r>
        <w:rPr>
          <w:rFonts w:hint="eastAsia"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eastAsia="宋体" w:cs="Times New Roman"/>
          <w:caps w:val="0"/>
          <w:smallCaps w:val="0"/>
          <w:snapToGrid/>
          <w:color w:val="auto"/>
          <w:spacing w:val="0"/>
          <w:w w:val="100"/>
          <w:kern w:val="0"/>
          <w:sz w:val="24"/>
          <w:szCs w:val="24"/>
          <w:highlight w:val="none"/>
          <w:lang w:val="en-US" w:eastAsia="zh-CN" w:bidi="ar-SA"/>
        </w:rPr>
        <w:t>，永久占地虽然改变了土地的原有类型，将原有的未利用地（其他草地）</w:t>
      </w:r>
      <w:r>
        <w:rPr>
          <w:rFonts w:hint="eastAsia" w:cs="Times New Roman"/>
          <w:caps w:val="0"/>
          <w:smallCaps w:val="0"/>
          <w:snapToGrid/>
          <w:color w:val="auto"/>
          <w:spacing w:val="0"/>
          <w:w w:val="100"/>
          <w:kern w:val="0"/>
          <w:sz w:val="24"/>
          <w:szCs w:val="24"/>
          <w:highlight w:val="none"/>
          <w:lang w:val="en-US" w:eastAsia="zh-CN" w:bidi="ar-SA"/>
        </w:rPr>
        <w:t>及少量农用地（坑塘水面及沟渠）</w:t>
      </w:r>
      <w:r>
        <w:rPr>
          <w:rFonts w:hint="eastAsia" w:eastAsia="宋体" w:cs="Times New Roman"/>
          <w:caps w:val="0"/>
          <w:smallCaps w:val="0"/>
          <w:snapToGrid/>
          <w:color w:val="auto"/>
          <w:spacing w:val="0"/>
          <w:w w:val="100"/>
          <w:kern w:val="0"/>
          <w:sz w:val="24"/>
          <w:szCs w:val="24"/>
          <w:highlight w:val="none"/>
          <w:lang w:val="en-US" w:eastAsia="zh-CN" w:bidi="ar-SA"/>
        </w:rPr>
        <w:t>变为工矿用地，</w:t>
      </w:r>
      <w:r>
        <w:rPr>
          <w:rFonts w:hint="eastAsia" w:cs="Times New Roman"/>
          <w:caps w:val="0"/>
          <w:smallCaps w:val="0"/>
          <w:snapToGrid/>
          <w:color w:val="auto"/>
          <w:spacing w:val="0"/>
          <w:w w:val="100"/>
          <w:kern w:val="0"/>
          <w:sz w:val="24"/>
          <w:szCs w:val="24"/>
          <w:highlight w:val="none"/>
          <w:lang w:val="en-US" w:eastAsia="zh-CN" w:bidi="ar-SA"/>
        </w:rPr>
        <w:t>项目永久占地不占用耕地，不会造成区域农作物减产，不会</w:t>
      </w:r>
      <w:r>
        <w:rPr>
          <w:rFonts w:hint="eastAsia" w:eastAsia="宋体" w:cs="Times New Roman"/>
          <w:caps w:val="0"/>
          <w:smallCaps w:val="0"/>
          <w:snapToGrid/>
          <w:color w:val="auto"/>
          <w:spacing w:val="0"/>
          <w:w w:val="100"/>
          <w:kern w:val="0"/>
          <w:sz w:val="24"/>
          <w:szCs w:val="24"/>
          <w:highlight w:val="none"/>
          <w:lang w:val="en-US" w:eastAsia="zh-CN" w:bidi="ar-SA"/>
        </w:rPr>
        <w:t>降低土地的第一生产力</w:t>
      </w:r>
      <w:r>
        <w:rPr>
          <w:rFonts w:hint="eastAsia" w:cs="Times New Roman"/>
          <w:caps w:val="0"/>
          <w:smallCaps w:val="0"/>
          <w:snapToGrid/>
          <w:color w:val="auto"/>
          <w:spacing w:val="0"/>
          <w:w w:val="100"/>
          <w:kern w:val="0"/>
          <w:sz w:val="24"/>
          <w:szCs w:val="24"/>
          <w:highlight w:val="none"/>
          <w:lang w:val="en-US" w:eastAsia="zh-CN" w:bidi="ar-SA"/>
        </w:rPr>
        <w:t>。同时</w:t>
      </w:r>
      <w:r>
        <w:rPr>
          <w:rFonts w:hint="eastAsia" w:eastAsia="宋体" w:cs="Times New Roman"/>
          <w:caps w:val="0"/>
          <w:smallCaps w:val="0"/>
          <w:snapToGrid/>
          <w:color w:val="auto"/>
          <w:spacing w:val="0"/>
          <w:w w:val="100"/>
          <w:kern w:val="0"/>
          <w:sz w:val="24"/>
          <w:szCs w:val="24"/>
          <w:highlight w:val="none"/>
          <w:lang w:val="en-US" w:eastAsia="zh-CN" w:bidi="ar-SA"/>
        </w:rPr>
        <w:t>从宏观角度分析，</w:t>
      </w:r>
      <w:r>
        <w:rPr>
          <w:rFonts w:hint="eastAsia" w:cs="Times New Roman"/>
          <w:caps w:val="0"/>
          <w:smallCaps w:val="0"/>
          <w:snapToGrid/>
          <w:color w:val="auto"/>
          <w:spacing w:val="0"/>
          <w:w w:val="100"/>
          <w:kern w:val="0"/>
          <w:sz w:val="24"/>
          <w:szCs w:val="24"/>
          <w:highlight w:val="none"/>
          <w:lang w:val="en-US" w:eastAsia="zh-CN" w:bidi="ar-SA"/>
        </w:rPr>
        <w:t>项目永久占地与</w:t>
      </w:r>
      <w:r>
        <w:rPr>
          <w:rFonts w:hint="eastAsia" w:eastAsia="宋体" w:cs="Times New Roman"/>
          <w:caps w:val="0"/>
          <w:smallCaps w:val="0"/>
          <w:snapToGrid/>
          <w:color w:val="auto"/>
          <w:spacing w:val="0"/>
          <w:w w:val="100"/>
          <w:kern w:val="0"/>
          <w:sz w:val="24"/>
          <w:szCs w:val="24"/>
          <w:highlight w:val="none"/>
          <w:lang w:val="en-US" w:eastAsia="zh-CN" w:bidi="ar-SA"/>
        </w:rPr>
        <w:t>评价区域</w:t>
      </w:r>
      <w:r>
        <w:rPr>
          <w:rFonts w:hint="eastAsia" w:cs="Times New Roman"/>
          <w:caps w:val="0"/>
          <w:smallCaps w:val="0"/>
          <w:snapToGrid/>
          <w:color w:val="auto"/>
          <w:spacing w:val="0"/>
          <w:w w:val="100"/>
          <w:kern w:val="0"/>
          <w:sz w:val="24"/>
          <w:szCs w:val="24"/>
          <w:highlight w:val="none"/>
          <w:lang w:val="en-US" w:eastAsia="zh-CN" w:bidi="ar-SA"/>
        </w:rPr>
        <w:t>面积占比较小，且主要占用</w:t>
      </w:r>
      <w:r>
        <w:rPr>
          <w:rFonts w:hint="eastAsia" w:eastAsia="宋体" w:cs="Times New Roman"/>
          <w:caps w:val="0"/>
          <w:smallCaps w:val="0"/>
          <w:snapToGrid/>
          <w:color w:val="auto"/>
          <w:spacing w:val="0"/>
          <w:w w:val="100"/>
          <w:kern w:val="0"/>
          <w:sz w:val="24"/>
          <w:szCs w:val="24"/>
          <w:highlight w:val="none"/>
          <w:lang w:val="en-US" w:eastAsia="zh-CN" w:bidi="ar-SA"/>
        </w:rPr>
        <w:t>未利用地</w:t>
      </w:r>
      <w:r>
        <w:rPr>
          <w:rFonts w:hint="eastAsia" w:cs="Times New Roman"/>
          <w:caps w:val="0"/>
          <w:smallCaps w:val="0"/>
          <w:snapToGrid/>
          <w:color w:val="auto"/>
          <w:spacing w:val="0"/>
          <w:w w:val="100"/>
          <w:kern w:val="0"/>
          <w:sz w:val="24"/>
          <w:szCs w:val="24"/>
          <w:highlight w:val="none"/>
          <w:lang w:val="en-US" w:eastAsia="zh-CN" w:bidi="ar-SA"/>
        </w:rPr>
        <w:t>，为闲置区域，</w:t>
      </w:r>
      <w:r>
        <w:rPr>
          <w:rFonts w:hint="eastAsia" w:eastAsia="宋体" w:cs="Times New Roman"/>
          <w:caps w:val="0"/>
          <w:smallCaps w:val="0"/>
          <w:snapToGrid/>
          <w:color w:val="auto"/>
          <w:spacing w:val="0"/>
          <w:w w:val="100"/>
          <w:kern w:val="0"/>
          <w:sz w:val="24"/>
          <w:szCs w:val="24"/>
          <w:highlight w:val="none"/>
          <w:lang w:val="en-US" w:eastAsia="zh-CN" w:bidi="ar-SA"/>
        </w:rPr>
        <w:t>不会对评价区内的土地利用结构产生明显影响。</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（2）土地利用格局影响分析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项目所在区域为典型农村地区，该区域属于典型的乡村生态景观格局，空间结构主要为块状的平原、村舍房屋、村舍外防风林带等构成。</w:t>
      </w:r>
      <w:r>
        <w:rPr>
          <w:rFonts w:hint="eastAsia" w:cs="Times New Roman"/>
          <w:caps w:val="0"/>
          <w:smallCaps w:val="0"/>
          <w:snapToGrid/>
          <w:color w:val="auto"/>
          <w:spacing w:val="0"/>
          <w:w w:val="100"/>
          <w:kern w:val="0"/>
          <w:sz w:val="24"/>
          <w:szCs w:val="24"/>
          <w:highlight w:val="none"/>
          <w:lang w:val="en-US" w:eastAsia="zh-CN" w:bidi="ar-SA"/>
        </w:rPr>
        <w:t>主要由耕地、</w:t>
      </w:r>
      <w:r>
        <w:rPr>
          <w:rFonts w:hint="eastAsia" w:eastAsia="宋体" w:cs="Times New Roman"/>
          <w:caps w:val="0"/>
          <w:smallCaps w:val="0"/>
          <w:snapToGrid/>
          <w:color w:val="auto"/>
          <w:spacing w:val="0"/>
          <w:w w:val="100"/>
          <w:kern w:val="0"/>
          <w:sz w:val="24"/>
          <w:szCs w:val="24"/>
          <w:highlight w:val="none"/>
          <w:lang w:val="en-US" w:eastAsia="zh-CN" w:bidi="ar-SA"/>
        </w:rPr>
        <w:t>农村宅基地</w:t>
      </w:r>
      <w:r>
        <w:rPr>
          <w:rFonts w:hint="eastAsia" w:cs="Times New Roman"/>
          <w:caps w:val="0"/>
          <w:smallCaps w:val="0"/>
          <w:snapToGrid/>
          <w:color w:val="auto"/>
          <w:spacing w:val="0"/>
          <w:w w:val="100"/>
          <w:kern w:val="0"/>
          <w:sz w:val="24"/>
          <w:szCs w:val="24"/>
          <w:highlight w:val="none"/>
          <w:lang w:val="en-US" w:eastAsia="zh-CN" w:bidi="ar-SA"/>
        </w:rPr>
        <w:t>及林地</w:t>
      </w:r>
      <w:r>
        <w:rPr>
          <w:rFonts w:hint="eastAsia" w:eastAsia="宋体" w:cs="Times New Roman"/>
          <w:caps w:val="0"/>
          <w:smallCaps w:val="0"/>
          <w:snapToGrid/>
          <w:color w:val="auto"/>
          <w:spacing w:val="0"/>
          <w:w w:val="100"/>
          <w:kern w:val="0"/>
          <w:sz w:val="24"/>
          <w:szCs w:val="24"/>
          <w:highlight w:val="none"/>
          <w:lang w:val="en-US" w:eastAsia="zh-CN" w:bidi="ar-SA"/>
        </w:rPr>
        <w:t>等土地利用类型构成，项目</w:t>
      </w:r>
      <w:r>
        <w:rPr>
          <w:rFonts w:hint="eastAsia" w:cs="Times New Roman"/>
          <w:caps w:val="0"/>
          <w:smallCaps w:val="0"/>
          <w:snapToGrid/>
          <w:color w:val="auto"/>
          <w:spacing w:val="0"/>
          <w:w w:val="100"/>
          <w:kern w:val="0"/>
          <w:sz w:val="24"/>
          <w:szCs w:val="24"/>
          <w:highlight w:val="none"/>
          <w:lang w:val="en-US" w:eastAsia="zh-CN" w:bidi="ar-SA"/>
        </w:rPr>
        <w:t>主要</w:t>
      </w:r>
      <w:r>
        <w:rPr>
          <w:rFonts w:hint="eastAsia" w:eastAsia="宋体" w:cs="Times New Roman"/>
          <w:caps w:val="0"/>
          <w:smallCaps w:val="0"/>
          <w:snapToGrid/>
          <w:color w:val="auto"/>
          <w:spacing w:val="0"/>
          <w:w w:val="100"/>
          <w:kern w:val="0"/>
          <w:sz w:val="24"/>
          <w:szCs w:val="24"/>
          <w:highlight w:val="none"/>
          <w:lang w:val="en-US" w:eastAsia="zh-CN" w:bidi="ar-SA"/>
        </w:rPr>
        <w:t>占用</w:t>
      </w:r>
      <w:r>
        <w:rPr>
          <w:rFonts w:hint="eastAsia" w:cs="Times New Roman"/>
          <w:caps w:val="0"/>
          <w:smallCaps w:val="0"/>
          <w:snapToGrid/>
          <w:color w:val="auto"/>
          <w:spacing w:val="0"/>
          <w:w w:val="100"/>
          <w:kern w:val="0"/>
          <w:sz w:val="24"/>
          <w:szCs w:val="24"/>
          <w:highlight w:val="none"/>
          <w:lang w:val="en-US" w:eastAsia="zh-CN" w:bidi="ar-SA"/>
        </w:rPr>
        <w:t>未利用地及农用地。</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项目施工建设，造成地表植被的破坏，形成与原始生态景观不协调的裸露斑块。永久占地将形成新的景观斑块而增加斑块的数量，在一定程度上增大了景观的破碎度。</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根据本</w:t>
      </w:r>
      <w:r>
        <w:rPr>
          <w:rFonts w:hint="eastAsia" w:cs="Times New Roman"/>
          <w:caps w:val="0"/>
          <w:smallCaps w:val="0"/>
          <w:snapToGrid/>
          <w:color w:val="auto"/>
          <w:spacing w:val="0"/>
          <w:w w:val="100"/>
          <w:kern w:val="0"/>
          <w:sz w:val="24"/>
          <w:szCs w:val="24"/>
          <w:highlight w:val="none"/>
          <w:lang w:val="en-US" w:eastAsia="zh-CN" w:bidi="ar-SA"/>
        </w:rPr>
        <w:t>项目永久占地及管道铺设临时占地的分布特点，本项目站址建设呈块状占地，管道占地呈条状沿村屯周边铺设，穿越村屯外围农田块。</w:t>
      </w:r>
      <w:r>
        <w:rPr>
          <w:rFonts w:hint="eastAsia" w:eastAsia="宋体" w:cs="Times New Roman"/>
          <w:caps w:val="0"/>
          <w:smallCaps w:val="0"/>
          <w:snapToGrid/>
          <w:color w:val="auto"/>
          <w:spacing w:val="0"/>
          <w:w w:val="100"/>
          <w:kern w:val="0"/>
          <w:sz w:val="24"/>
          <w:szCs w:val="24"/>
          <w:highlight w:val="none"/>
          <w:lang w:val="en-US" w:eastAsia="zh-CN" w:bidi="ar-SA"/>
        </w:rPr>
        <w:t>其对土地利用格局的影响主要为</w:t>
      </w:r>
      <w:r>
        <w:rPr>
          <w:rFonts w:hint="eastAsia" w:cs="Times New Roman"/>
          <w:caps w:val="0"/>
          <w:smallCaps w:val="0"/>
          <w:snapToGrid/>
          <w:color w:val="auto"/>
          <w:spacing w:val="0"/>
          <w:w w:val="100"/>
          <w:kern w:val="0"/>
          <w:sz w:val="24"/>
          <w:szCs w:val="24"/>
          <w:highlight w:val="none"/>
          <w:lang w:val="en-US" w:eastAsia="zh-CN" w:bidi="ar-SA"/>
        </w:rPr>
        <w:t>块</w:t>
      </w:r>
      <w:r>
        <w:rPr>
          <w:rFonts w:hint="eastAsia" w:eastAsia="宋体" w:cs="Times New Roman"/>
          <w:caps w:val="0"/>
          <w:smallCaps w:val="0"/>
          <w:snapToGrid/>
          <w:color w:val="auto"/>
          <w:spacing w:val="0"/>
          <w:w w:val="100"/>
          <w:kern w:val="0"/>
          <w:sz w:val="24"/>
          <w:szCs w:val="24"/>
          <w:highlight w:val="none"/>
          <w:lang w:val="en-US" w:eastAsia="zh-CN" w:bidi="ar-SA"/>
        </w:rPr>
        <w:t>状干扰和线状隔离。一般情况下除永久占地外，对周围土地利用格局影响较小。</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（3）对永久基本农田的影响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项目</w:t>
      </w:r>
      <w:r>
        <w:rPr>
          <w:rFonts w:hint="eastAsia" w:cs="Times New Roman"/>
          <w:caps w:val="0"/>
          <w:smallCaps w:val="0"/>
          <w:snapToGrid/>
          <w:color w:val="auto"/>
          <w:spacing w:val="0"/>
          <w:w w:val="100"/>
          <w:kern w:val="0"/>
          <w:sz w:val="24"/>
          <w:szCs w:val="24"/>
          <w:highlight w:val="none"/>
          <w:lang w:val="en-US" w:eastAsia="zh-CN" w:bidi="ar-SA"/>
        </w:rPr>
        <w:t>临时</w:t>
      </w:r>
      <w:r>
        <w:rPr>
          <w:rFonts w:hint="eastAsia" w:eastAsia="宋体" w:cs="Times New Roman"/>
          <w:caps w:val="0"/>
          <w:smallCaps w:val="0"/>
          <w:snapToGrid/>
          <w:color w:val="auto"/>
          <w:spacing w:val="0"/>
          <w:w w:val="100"/>
          <w:kern w:val="0"/>
          <w:sz w:val="24"/>
          <w:szCs w:val="24"/>
          <w:highlight w:val="none"/>
          <w:lang w:val="en-US" w:eastAsia="zh-CN" w:bidi="ar-SA"/>
        </w:rPr>
        <w:t>占用永久基本农田</w:t>
      </w:r>
      <w:r>
        <w:rPr>
          <w:rFonts w:hint="eastAsia" w:cs="Times New Roman"/>
          <w:caps w:val="0"/>
          <w:smallCaps w:val="0"/>
          <w:snapToGrid/>
          <w:color w:val="auto"/>
          <w:spacing w:val="0"/>
          <w:w w:val="100"/>
          <w:kern w:val="0"/>
          <w:sz w:val="24"/>
          <w:szCs w:val="24"/>
          <w:highlight w:val="none"/>
          <w:lang w:val="en-US" w:eastAsia="zh-CN" w:bidi="ar-SA"/>
        </w:rPr>
        <w:t>；管道临时施工期间</w:t>
      </w:r>
      <w:r>
        <w:rPr>
          <w:rFonts w:hint="eastAsia" w:eastAsia="宋体" w:cs="Times New Roman"/>
          <w:caps w:val="0"/>
          <w:smallCaps w:val="0"/>
          <w:snapToGrid/>
          <w:color w:val="auto"/>
          <w:spacing w:val="0"/>
          <w:w w:val="100"/>
          <w:kern w:val="0"/>
          <w:sz w:val="24"/>
          <w:szCs w:val="24"/>
          <w:highlight w:val="none"/>
          <w:lang w:val="en-US" w:eastAsia="zh-CN" w:bidi="ar-SA"/>
        </w:rPr>
        <w:t>会造成农作物减产，土壤肥力下降，若施工过程中，不采取相应的</w:t>
      </w:r>
      <w:r>
        <w:rPr>
          <w:rFonts w:hint="eastAsia" w:cs="Times New Roman"/>
          <w:caps w:val="0"/>
          <w:smallCaps w:val="0"/>
          <w:snapToGrid/>
          <w:color w:val="auto"/>
          <w:spacing w:val="0"/>
          <w:w w:val="100"/>
          <w:kern w:val="0"/>
          <w:sz w:val="24"/>
          <w:szCs w:val="24"/>
          <w:highlight w:val="none"/>
          <w:lang w:val="en-US" w:eastAsia="zh-CN" w:bidi="ar-SA"/>
        </w:rPr>
        <w:t>表土保护、</w:t>
      </w:r>
      <w:r>
        <w:rPr>
          <w:rFonts w:hint="eastAsia" w:eastAsia="宋体" w:cs="Times New Roman"/>
          <w:caps w:val="0"/>
          <w:smallCaps w:val="0"/>
          <w:snapToGrid/>
          <w:color w:val="auto"/>
          <w:spacing w:val="0"/>
          <w:w w:val="100"/>
          <w:kern w:val="0"/>
          <w:sz w:val="24"/>
          <w:szCs w:val="24"/>
          <w:highlight w:val="none"/>
          <w:lang w:val="en-US" w:eastAsia="zh-CN" w:bidi="ar-SA"/>
        </w:rPr>
        <w:t>水土保持措施，容易造成</w:t>
      </w:r>
      <w:r>
        <w:rPr>
          <w:rFonts w:hint="eastAsia" w:cs="Times New Roman"/>
          <w:caps w:val="0"/>
          <w:smallCaps w:val="0"/>
          <w:snapToGrid/>
          <w:color w:val="auto"/>
          <w:spacing w:val="0"/>
          <w:w w:val="100"/>
          <w:kern w:val="0"/>
          <w:sz w:val="24"/>
          <w:szCs w:val="24"/>
          <w:highlight w:val="none"/>
          <w:lang w:val="en-US" w:eastAsia="zh-CN" w:bidi="ar-SA"/>
        </w:rPr>
        <w:t>肥力优越的土壤流失，地表裸露，</w:t>
      </w:r>
      <w:r>
        <w:rPr>
          <w:rFonts w:hint="eastAsia" w:eastAsia="宋体" w:cs="Times New Roman"/>
          <w:caps w:val="0"/>
          <w:smallCaps w:val="0"/>
          <w:snapToGrid/>
          <w:color w:val="auto"/>
          <w:spacing w:val="0"/>
          <w:w w:val="100"/>
          <w:kern w:val="0"/>
          <w:sz w:val="24"/>
          <w:szCs w:val="24"/>
          <w:highlight w:val="none"/>
          <w:lang w:val="en-US" w:eastAsia="zh-CN" w:bidi="ar-SA"/>
        </w:rPr>
        <w:t>水土流失，耕地面积减少，侵蚀和破坏耕地土层，使土壤肥力日益枯竭，造成表土裸露，土地逐步沙漠化。影响周围永久基本农田，造成该区域永久基本农田的面积减少。</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（4）对黑土地的影响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项目施工建设对黑土地的扰动及占用，破坏土壤的腐殖质，减低土壤肥力。若不对腐殖质土壤进行保护，会减少黑土地厚度，施工场地开挖会破坏土层的土层结构。若不采取相应防护措施，会扰乱土层，施工结束后，土层若未分层回填，会导致地层土或中心层土覆盖至表面，该层土壤中养分较低，场地植被恢复困难，造成大面积土壤裸露，易形成风化地带，造成水土流失。</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5.</w:t>
      </w:r>
      <w:r>
        <w:rPr>
          <w:rFonts w:hint="eastAsia" w:cs="Times New Roman"/>
          <w:caps w:val="0"/>
          <w:smallCaps w:val="0"/>
          <w:snapToGrid/>
          <w:color w:val="auto"/>
          <w:spacing w:val="0"/>
          <w:w w:val="100"/>
          <w:kern w:val="0"/>
          <w:sz w:val="24"/>
          <w:szCs w:val="24"/>
          <w:highlight w:val="none"/>
          <w:lang w:val="en-US" w:eastAsia="zh-CN" w:bidi="ar-SA"/>
        </w:rPr>
        <w:t>3.2</w:t>
      </w:r>
      <w:r>
        <w:rPr>
          <w:rFonts w:hint="eastAsia" w:eastAsia="宋体" w:cs="Times New Roman"/>
          <w:caps w:val="0"/>
          <w:smallCaps w:val="0"/>
          <w:snapToGrid/>
          <w:color w:val="auto"/>
          <w:spacing w:val="0"/>
          <w:w w:val="100"/>
          <w:kern w:val="0"/>
          <w:sz w:val="24"/>
          <w:szCs w:val="24"/>
          <w:highlight w:val="none"/>
          <w:lang w:val="en-US" w:eastAsia="zh-CN" w:bidi="ar-SA"/>
        </w:rPr>
        <w:t>对植物及植被影响分析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根据该项目的特点，主要为工程占地对地表植被的清除，人为践踏及不同时段的工程事故等影响。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为了降低工程建设对植被生物量的损失，</w:t>
      </w:r>
      <w:r>
        <w:rPr>
          <w:rFonts w:hint="eastAsia" w:cs="Times New Roman"/>
          <w:caps w:val="0"/>
          <w:smallCaps w:val="0"/>
          <w:snapToGrid/>
          <w:color w:val="auto"/>
          <w:spacing w:val="0"/>
          <w:w w:val="100"/>
          <w:kern w:val="0"/>
          <w:sz w:val="24"/>
          <w:szCs w:val="24"/>
          <w:highlight w:val="none"/>
          <w:lang w:val="en-US" w:eastAsia="zh-CN" w:bidi="ar-SA"/>
        </w:rPr>
        <w:t>本项目在站址选址上选址占用未利用地，同时在站址各构建物之间距离满足《建筑设计防火规范》（GB50016-2014）（2018年版）及《石油化工企业设计防火标准》（GB50160-2008）（2018修订）的要求下，严格控制施工占地，</w:t>
      </w:r>
      <w:r>
        <w:rPr>
          <w:rFonts w:hint="eastAsia" w:eastAsia="宋体" w:cs="Times New Roman"/>
          <w:caps w:val="0"/>
          <w:smallCaps w:val="0"/>
          <w:snapToGrid/>
          <w:color w:val="auto"/>
          <w:spacing w:val="0"/>
          <w:w w:val="100"/>
          <w:kern w:val="0"/>
          <w:sz w:val="24"/>
          <w:szCs w:val="24"/>
          <w:highlight w:val="none"/>
          <w:lang w:val="en-US" w:eastAsia="zh-CN" w:bidi="ar-SA"/>
        </w:rPr>
        <w:t>尽可能减少了对生态空间的占用。</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管</w:t>
      </w:r>
      <w:r>
        <w:rPr>
          <w:rFonts w:hint="eastAsia" w:cs="Times New Roman"/>
          <w:caps w:val="0"/>
          <w:smallCaps w:val="0"/>
          <w:snapToGrid/>
          <w:color w:val="auto"/>
          <w:spacing w:val="0"/>
          <w:w w:val="100"/>
          <w:kern w:val="0"/>
          <w:sz w:val="24"/>
          <w:szCs w:val="24"/>
          <w:highlight w:val="none"/>
          <w:lang w:val="en-US" w:eastAsia="zh-CN" w:bidi="ar-SA"/>
        </w:rPr>
        <w:t>道</w:t>
      </w:r>
      <w:r>
        <w:rPr>
          <w:rFonts w:hint="eastAsia" w:eastAsia="宋体" w:cs="Times New Roman"/>
          <w:caps w:val="0"/>
          <w:smallCaps w:val="0"/>
          <w:snapToGrid/>
          <w:color w:val="auto"/>
          <w:spacing w:val="0"/>
          <w:w w:val="100"/>
          <w:kern w:val="0"/>
          <w:sz w:val="24"/>
          <w:szCs w:val="24"/>
          <w:highlight w:val="none"/>
          <w:lang w:val="en-US" w:eastAsia="zh-CN" w:bidi="ar-SA"/>
        </w:rPr>
        <w:t>施工过程，为减少对林木的砍伐</w:t>
      </w:r>
      <w:r>
        <w:rPr>
          <w:rFonts w:hint="eastAsia" w:cs="Times New Roman"/>
          <w:caps w:val="0"/>
          <w:smallCaps w:val="0"/>
          <w:snapToGrid/>
          <w:color w:val="auto"/>
          <w:spacing w:val="0"/>
          <w:w w:val="100"/>
          <w:kern w:val="0"/>
          <w:sz w:val="24"/>
          <w:szCs w:val="24"/>
          <w:highlight w:val="none"/>
          <w:lang w:val="en-US" w:eastAsia="zh-CN" w:bidi="ar-SA"/>
        </w:rPr>
        <w:t>及移栽</w:t>
      </w:r>
      <w:r>
        <w:rPr>
          <w:rFonts w:hint="eastAsia" w:eastAsia="宋体" w:cs="Times New Roman"/>
          <w:caps w:val="0"/>
          <w:smallCaps w:val="0"/>
          <w:snapToGrid/>
          <w:color w:val="auto"/>
          <w:spacing w:val="0"/>
          <w:w w:val="100"/>
          <w:kern w:val="0"/>
          <w:sz w:val="24"/>
          <w:szCs w:val="24"/>
          <w:highlight w:val="none"/>
          <w:lang w:val="en-US" w:eastAsia="zh-CN" w:bidi="ar-SA"/>
        </w:rPr>
        <w:t>，管</w:t>
      </w:r>
      <w:r>
        <w:rPr>
          <w:rFonts w:hint="eastAsia" w:cs="Times New Roman"/>
          <w:caps w:val="0"/>
          <w:smallCaps w:val="0"/>
          <w:snapToGrid/>
          <w:color w:val="auto"/>
          <w:spacing w:val="0"/>
          <w:w w:val="100"/>
          <w:kern w:val="0"/>
          <w:sz w:val="24"/>
          <w:szCs w:val="24"/>
          <w:highlight w:val="none"/>
          <w:lang w:val="en-US" w:eastAsia="zh-CN" w:bidi="ar-SA"/>
        </w:rPr>
        <w:t>道</w:t>
      </w:r>
      <w:r>
        <w:rPr>
          <w:rFonts w:hint="eastAsia" w:eastAsia="宋体" w:cs="Times New Roman"/>
          <w:caps w:val="0"/>
          <w:smallCaps w:val="0"/>
          <w:snapToGrid/>
          <w:color w:val="auto"/>
          <w:spacing w:val="0"/>
          <w:w w:val="100"/>
          <w:kern w:val="0"/>
          <w:sz w:val="24"/>
          <w:szCs w:val="24"/>
          <w:highlight w:val="none"/>
          <w:lang w:val="en-US" w:eastAsia="zh-CN" w:bidi="ar-SA"/>
        </w:rPr>
        <w:t>在途径鸭木蛋格</w:t>
      </w:r>
      <w:r>
        <w:rPr>
          <w:rFonts w:hint="eastAsia" w:cs="Times New Roman"/>
          <w:caps w:val="0"/>
          <w:smallCaps w:val="0"/>
          <w:snapToGrid/>
          <w:color w:val="auto"/>
          <w:spacing w:val="0"/>
          <w:w w:val="100"/>
          <w:kern w:val="0"/>
          <w:sz w:val="24"/>
          <w:szCs w:val="24"/>
          <w:highlight w:val="none"/>
          <w:lang w:val="en-US" w:eastAsia="zh-CN" w:bidi="ar-SA"/>
        </w:rPr>
        <w:t>屯西南侧林地处，采取定向穿越的施工方式。林带两侧泥浆坑不设置在林地处。同时在施</w:t>
      </w:r>
      <w:r>
        <w:rPr>
          <w:rFonts w:hint="eastAsia" w:eastAsia="宋体" w:cs="Times New Roman"/>
          <w:caps w:val="0"/>
          <w:smallCaps w:val="0"/>
          <w:snapToGrid/>
          <w:color w:val="auto"/>
          <w:spacing w:val="0"/>
          <w:w w:val="100"/>
          <w:kern w:val="0"/>
          <w:sz w:val="24"/>
          <w:szCs w:val="24"/>
          <w:highlight w:val="none"/>
          <w:lang w:val="en-US" w:eastAsia="zh-CN" w:bidi="ar-SA"/>
        </w:rPr>
        <w:t>工前，对林地较近施工区域，采取人工挖掘的方式，尽量减少大型机械进场。</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管道施工占用大量耕地，对</w:t>
      </w:r>
      <w:r>
        <w:rPr>
          <w:rFonts w:hint="eastAsia" w:cs="Times New Roman"/>
          <w:caps w:val="0"/>
          <w:smallCaps w:val="0"/>
          <w:snapToGrid/>
          <w:color w:val="auto"/>
          <w:spacing w:val="0"/>
          <w:w w:val="100"/>
          <w:kern w:val="0"/>
          <w:sz w:val="24"/>
          <w:szCs w:val="24"/>
          <w:highlight w:val="none"/>
          <w:lang w:val="en-US" w:eastAsia="zh-CN" w:bidi="ar-SA"/>
        </w:rPr>
        <w:t>农田</w:t>
      </w:r>
      <w:r>
        <w:rPr>
          <w:rFonts w:hint="eastAsia" w:eastAsia="宋体" w:cs="Times New Roman"/>
          <w:caps w:val="0"/>
          <w:smallCaps w:val="0"/>
          <w:snapToGrid/>
          <w:color w:val="auto"/>
          <w:spacing w:val="0"/>
          <w:w w:val="100"/>
          <w:kern w:val="0"/>
          <w:sz w:val="24"/>
          <w:szCs w:val="24"/>
          <w:highlight w:val="none"/>
          <w:lang w:val="en-US" w:eastAsia="zh-CN" w:bidi="ar-SA"/>
        </w:rPr>
        <w:t>植被的影响主要是施工占地对</w:t>
      </w:r>
      <w:r>
        <w:rPr>
          <w:rFonts w:hint="eastAsia" w:cs="Times New Roman"/>
          <w:caps w:val="0"/>
          <w:smallCaps w:val="0"/>
          <w:snapToGrid/>
          <w:color w:val="auto"/>
          <w:spacing w:val="0"/>
          <w:w w:val="100"/>
          <w:kern w:val="0"/>
          <w:sz w:val="24"/>
          <w:szCs w:val="24"/>
          <w:highlight w:val="none"/>
          <w:lang w:val="en-US" w:eastAsia="zh-CN" w:bidi="ar-SA"/>
        </w:rPr>
        <w:t>农作物生产力</w:t>
      </w:r>
      <w:r>
        <w:rPr>
          <w:rFonts w:hint="eastAsia" w:eastAsia="宋体" w:cs="Times New Roman"/>
          <w:caps w:val="0"/>
          <w:smallCaps w:val="0"/>
          <w:snapToGrid/>
          <w:color w:val="auto"/>
          <w:spacing w:val="0"/>
          <w:w w:val="100"/>
          <w:kern w:val="0"/>
          <w:sz w:val="24"/>
          <w:szCs w:val="24"/>
          <w:highlight w:val="none"/>
          <w:lang w:val="en-US" w:eastAsia="zh-CN" w:bidi="ar-SA"/>
        </w:rPr>
        <w:t>和多样性的影响。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农田生态系统多样性具有重要的生态价值：</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①维持农田生态系统的平衡，控制病虫害的发生，减少农药使用，提高农作物的自然抗性，增加农田的生产力；</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②农田生物多样性提供许多重要的生态服务功能，如水源涵养、水质净化、土壤保持和固碳等，对维持地球的生态平衡起到重要作用；</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③</w:t>
      </w:r>
      <w:r>
        <w:rPr>
          <w:rFonts w:hint="eastAsia" w:cs="Times New Roman"/>
          <w:caps w:val="0"/>
          <w:smallCaps w:val="0"/>
          <w:snapToGrid/>
          <w:color w:val="auto"/>
          <w:spacing w:val="0"/>
          <w:w w:val="100"/>
          <w:kern w:val="0"/>
          <w:sz w:val="24"/>
          <w:szCs w:val="24"/>
          <w:highlight w:val="none"/>
          <w:lang w:val="en-US" w:eastAsia="zh-CN" w:bidi="ar-SA"/>
        </w:rPr>
        <w:t>通过农田</w:t>
      </w:r>
      <w:r>
        <w:rPr>
          <w:rFonts w:hint="eastAsia" w:eastAsia="宋体" w:cs="Times New Roman"/>
          <w:caps w:val="0"/>
          <w:smallCaps w:val="0"/>
          <w:snapToGrid/>
          <w:color w:val="auto"/>
          <w:spacing w:val="0"/>
          <w:w w:val="100"/>
          <w:kern w:val="0"/>
          <w:sz w:val="24"/>
          <w:szCs w:val="24"/>
          <w:highlight w:val="none"/>
          <w:lang w:val="en-US" w:eastAsia="zh-CN" w:bidi="ar-SA"/>
        </w:rPr>
        <w:t>生态系统的循环，农作物循环种植、土壤养分循环利用以及垃圾资源化等方式，实现资源的最大化利用和循环利用。</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eastAsia="宋体" w:cs="Times New Roman"/>
          <w:caps w:val="0"/>
          <w:smallCaps w:val="0"/>
          <w:snapToGrid/>
          <w:color w:val="auto"/>
          <w:spacing w:val="0"/>
          <w:w w:val="100"/>
          <w:kern w:val="0"/>
          <w:sz w:val="24"/>
          <w:szCs w:val="24"/>
          <w:highlight w:val="none"/>
          <w:lang w:val="en-US" w:eastAsia="zh-CN" w:bidi="ar-SA"/>
        </w:rPr>
      </w:pPr>
      <w:r>
        <w:rPr>
          <w:rFonts w:hint="eastAsia" w:eastAsia="宋体" w:cs="Times New Roman"/>
          <w:caps w:val="0"/>
          <w:smallCaps w:val="0"/>
          <w:snapToGrid/>
          <w:color w:val="auto"/>
          <w:spacing w:val="0"/>
          <w:w w:val="100"/>
          <w:kern w:val="0"/>
          <w:sz w:val="24"/>
          <w:szCs w:val="24"/>
          <w:highlight w:val="none"/>
          <w:lang w:val="en-US" w:eastAsia="zh-CN" w:bidi="ar-SA"/>
        </w:rPr>
        <w:t>本次评价项目建设对</w:t>
      </w:r>
      <w:r>
        <w:rPr>
          <w:rFonts w:hint="default" w:eastAsia="宋体" w:cs="Times New Roman"/>
          <w:caps w:val="0"/>
          <w:smallCaps w:val="0"/>
          <w:snapToGrid/>
          <w:color w:val="auto"/>
          <w:spacing w:val="0"/>
          <w:w w:val="100"/>
          <w:kern w:val="0"/>
          <w:sz w:val="24"/>
          <w:szCs w:val="24"/>
          <w:highlight w:val="none"/>
          <w:lang w:val="en-US" w:eastAsia="zh-CN" w:bidi="ar-SA"/>
        </w:rPr>
        <w:t>占地植被生物量的计算影响采用生物量及净第一性生产力（NPP）指标来评价，该指标是评价植被变化的重要依据。群落类型不同，其生物量测定的方法也有所不同，各种自然植被生物量的计算结果依据对该研究区域的文献的成果值作为参数计算。植被生物量损失可按下式计算，临时、永久占地引起的生物量损失见表</w:t>
      </w:r>
      <w:r>
        <w:rPr>
          <w:rFonts w:hint="eastAsia" w:cs="Times New Roman"/>
          <w:caps w:val="0"/>
          <w:smallCaps w:val="0"/>
          <w:snapToGrid/>
          <w:color w:val="auto"/>
          <w:spacing w:val="0"/>
          <w:w w:val="100"/>
          <w:kern w:val="0"/>
          <w:sz w:val="24"/>
          <w:szCs w:val="24"/>
          <w:highlight w:val="none"/>
          <w:lang w:val="en-US" w:eastAsia="zh-CN" w:bidi="ar-SA"/>
        </w:rPr>
        <w:t>5.3-2</w:t>
      </w:r>
      <w:r>
        <w:rPr>
          <w:rFonts w:hint="default"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240" w:lineRule="auto"/>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drawing>
          <wp:inline distT="0" distB="0" distL="114300" distR="114300">
            <wp:extent cx="1228725" cy="323850"/>
            <wp:effectExtent l="0" t="0" r="9525" b="0"/>
            <wp:docPr id="37" name="图片 37" descr="生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生1"/>
                    <pic:cNvPicPr>
                      <a:picLocks noChangeAspect="1"/>
                    </pic:cNvPicPr>
                  </pic:nvPicPr>
                  <pic:blipFill>
                    <a:blip r:embed="rId56"/>
                    <a:stretch>
                      <a:fillRect/>
                    </a:stretch>
                  </pic:blipFill>
                  <pic:spPr>
                    <a:xfrm>
                      <a:off x="0" y="0"/>
                      <a:ext cx="1228725" cy="32385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式中：C损—生物量损失，kg；</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Qi</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—第i种植被生物生产量，t/hm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1200" w:firstLineChars="500"/>
        <w:jc w:val="both"/>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Si—占用第i种植被的土地面积，hm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22" w:firstLineChars="200"/>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5.3-2项目占地植被生物量损失量估算</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15"/>
        <w:gridCol w:w="1162"/>
        <w:gridCol w:w="1083"/>
        <w:gridCol w:w="1063"/>
        <w:gridCol w:w="1055"/>
        <w:gridCol w:w="1237"/>
        <w:gridCol w:w="949"/>
        <w:gridCol w:w="105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1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工程项目</w:t>
            </w:r>
          </w:p>
        </w:tc>
        <w:tc>
          <w:tcPr>
            <w:tcW w:w="1162"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占地类型</w:t>
            </w:r>
          </w:p>
        </w:tc>
        <w:tc>
          <w:tcPr>
            <w:tcW w:w="108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植被类型</w:t>
            </w:r>
          </w:p>
        </w:tc>
        <w:tc>
          <w:tcPr>
            <w:tcW w:w="2118"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占地面积（hm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vertAlign w:val="baseline"/>
                <w:lang w:val="en-US" w:eastAsia="zh-CN"/>
              </w:rPr>
              <w:t>）</w:t>
            </w:r>
          </w:p>
        </w:tc>
        <w:tc>
          <w:tcPr>
            <w:tcW w:w="123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单位面积生物量（t/hm</w:t>
            </w:r>
            <w:r>
              <w:rPr>
                <w:rFonts w:hint="eastAsia" w:ascii="Times New Roman" w:hAnsi="Times New Roman" w:cs="Times New Roman"/>
                <w:color w:val="auto"/>
                <w:sz w:val="21"/>
                <w:szCs w:val="21"/>
                <w:highlight w:val="none"/>
                <w:vertAlign w:val="superscript"/>
                <w:lang w:val="en-US" w:eastAsia="zh-CN"/>
              </w:rPr>
              <w:t>2</w:t>
            </w:r>
            <w:r>
              <w:rPr>
                <w:rFonts w:hint="eastAsia" w:ascii="Times New Roman" w:hAnsi="Times New Roman" w:cs="Times New Roman"/>
                <w:color w:val="auto"/>
                <w:sz w:val="21"/>
                <w:szCs w:val="21"/>
                <w:highlight w:val="none"/>
                <w:vertAlign w:val="baseline"/>
                <w:lang w:val="en-US" w:eastAsia="zh-CN"/>
              </w:rPr>
              <w:t>）</w:t>
            </w:r>
          </w:p>
        </w:tc>
        <w:tc>
          <w:tcPr>
            <w:tcW w:w="2001"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损失生物量（t/a）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1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6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08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06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永久</w:t>
            </w:r>
          </w:p>
        </w:tc>
        <w:tc>
          <w:tcPr>
            <w:tcW w:w="10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临时</w:t>
            </w:r>
          </w:p>
        </w:tc>
        <w:tc>
          <w:tcPr>
            <w:tcW w:w="12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94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永久</w:t>
            </w:r>
          </w:p>
        </w:tc>
        <w:tc>
          <w:tcPr>
            <w:tcW w:w="105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临时</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1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3#服务站站址</w:t>
            </w:r>
          </w:p>
        </w:tc>
        <w:tc>
          <w:tcPr>
            <w:tcW w:w="116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其他草地</w:t>
            </w:r>
          </w:p>
        </w:tc>
        <w:tc>
          <w:tcPr>
            <w:tcW w:w="10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狗尾草、碱草、碱蒿</w:t>
            </w:r>
          </w:p>
        </w:tc>
        <w:tc>
          <w:tcPr>
            <w:tcW w:w="106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10.35</w:t>
            </w:r>
          </w:p>
        </w:tc>
        <w:tc>
          <w:tcPr>
            <w:tcW w:w="10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3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0.82</w:t>
            </w:r>
          </w:p>
        </w:tc>
        <w:tc>
          <w:tcPr>
            <w:tcW w:w="94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8.49</w:t>
            </w:r>
          </w:p>
        </w:tc>
        <w:tc>
          <w:tcPr>
            <w:tcW w:w="105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1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管</w:t>
            </w:r>
            <w:r>
              <w:rPr>
                <w:rFonts w:hint="eastAsia" w:cs="Times New Roman"/>
                <w:color w:val="auto"/>
                <w:sz w:val="21"/>
                <w:szCs w:val="21"/>
                <w:highlight w:val="none"/>
                <w:vertAlign w:val="baseline"/>
                <w:lang w:val="en-US" w:eastAsia="zh-CN"/>
              </w:rPr>
              <w:t>道</w:t>
            </w:r>
            <w:r>
              <w:rPr>
                <w:rFonts w:hint="eastAsia" w:ascii="Times New Roman" w:hAnsi="Times New Roman" w:cs="Times New Roman"/>
                <w:color w:val="auto"/>
                <w:sz w:val="21"/>
                <w:szCs w:val="21"/>
                <w:highlight w:val="none"/>
                <w:vertAlign w:val="baseline"/>
                <w:lang w:val="en-US" w:eastAsia="zh-CN"/>
              </w:rPr>
              <w:t>工程</w:t>
            </w:r>
          </w:p>
        </w:tc>
        <w:tc>
          <w:tcPr>
            <w:tcW w:w="116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耕地</w:t>
            </w:r>
          </w:p>
        </w:tc>
        <w:tc>
          <w:tcPr>
            <w:tcW w:w="108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玉米</w:t>
            </w:r>
          </w:p>
        </w:tc>
        <w:tc>
          <w:tcPr>
            <w:tcW w:w="106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0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17.7434</w:t>
            </w:r>
          </w:p>
        </w:tc>
        <w:tc>
          <w:tcPr>
            <w:tcW w:w="123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7.5</w:t>
            </w:r>
          </w:p>
        </w:tc>
        <w:tc>
          <w:tcPr>
            <w:tcW w:w="94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05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133.1</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永久占地为不可逆影响，临时占地为可逆影响，施工结束后对临时占地进行植被恢复。本项目永久占地占用其他草地，草地植被主要为狗尾草、碱草、碱蒿，这些植被均有繁殖力强特性，非濒危种及特有种，且广泛分布于项目所在区域的农田边及村屯住宅内，项目建设不会降低整个区域的植被生物量与植物多样性，不会造成整个群落结构的根本改变。</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管道施工结束后，分区域、分阶段及时进行地表植被恢复，农作物复垦，区域植被覆盖度逐步恢复。制定耕地复垦方案，复垦率为100%，复垦质量满足《土地复垦质量控制标准》（TD/T1036-2013）中规定的要求，要求临时占用的耕地内农作物生产能力恢复至施工前原有水平。</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5.</w:t>
      </w:r>
      <w:r>
        <w:rPr>
          <w:rFonts w:hint="eastAsia" w:cs="Times New Roman"/>
          <w:caps w:val="0"/>
          <w:smallCaps w:val="0"/>
          <w:snapToGrid/>
          <w:color w:val="auto"/>
          <w:spacing w:val="0"/>
          <w:w w:val="100"/>
          <w:kern w:val="0"/>
          <w:sz w:val="24"/>
          <w:szCs w:val="24"/>
          <w:highlight w:val="none"/>
          <w:lang w:val="en-US" w:eastAsia="zh-CN" w:bidi="ar-SA"/>
        </w:rPr>
        <w:t>3.3动物影响分析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（1）对动物栖息地的影响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项目建设占地，将剥离、清理地表植被，直接导致动物栖息地的消失。随着开发规模的扩大，将会增加和扩大对野生动物栖息地的干扰程度和范围，使部分野生动物失去栖息场所。</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根据现场勘查，项目所在区域野生动物多为啮齿类动物，如田鼠、野兔，无濒危及特有种，且田鼠及野兔具有食杂、繁殖能力强等特性，施工建设临时侵占他们的栖息地。合理安排施工进度，夜间不施工，减少灯光对野生动物的影响。施工结束后，施工人员撤离场地，对场地进行清理，无固体废物残留，对啮齿类干扰消失，同时也避免啮齿类动物因生活垃圾造成数量激增，区域野生动物可快速恢复至施工前原有水平，不会对区域生态环境造成负荷。</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（2）施工机械噪声对动物干扰</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施工期人为活动和施工噪声将对施工区及周围一定范围内的野生动物的活动和栖息造成一定程度的干扰，迫使动物离开服务站站址及管道铺设区域。同时本项目施工期较短，对野生动物影响是短暂的、临时的影响，随着施工期的结束，施工机械噪声及振动对动物的影响将消失。</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此外，施工过程中，施工人员滥捕、滥猎等人为干扰，也将影响该区域某些野生动物种群的数量，可通过加强对施工人员的宣传教育和管理得到消除。项目建设不会使所在地区野生动物物种数发生变化，其种群数量也不会发生变化，工程建设对动物影响的范围和程度有限。</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（3）对鸟类的影响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施工期间对鸟类的影响主要体现在2个方面，即施工占地对鸟类觅食区域的直接破坏、施工噪声产生的干扰。为减少施工建设对鸟类的影响，管道铺设对区域林带提出了减缓措施；对林带提出了定向穿越的施工方式，不涉及乔木林砍伐及移栽；同时管道施工不占用矮小的灌木丛，不会对鸟类栖息地造成破坏。</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同时管道铺设区域集中大量的耕地，管道临时施工的占地站耕地总面积极小，鸟类可转移至其他农田块进行觅食。鸟类活动范围广泛，所栖息的环境多种多样，像林地、草地、村庄等都是它们的活动和栖息场所，它们的食物也丰富多彩，动物尸体、小动物、昆虫、植物枝叶、种子、果实等都是它们的食物。项目施工区域只占鸟类活动和栖息场所的很小一部分，对大多数鸟类的栖息环境和食物数量不会产生明显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鸟类对声音极其敏感，施工期间的噪声影响包括施工人员噪声及机械噪声影响，这些噪声会导致鸟类觅食、活动时避开施工区域，转移到其他区域范围内活动。项目施工期合理安排施工进度，夜间不施工，减少灯光的照射对夜行性鸟类的活动，避免给它们带来不利影响。施工期间采取固定机械安装减振垫、文明施工、加强管理、运输车辆限速禁鸣等措施。因此，项目建设对鸟类影响较小。</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5.</w:t>
      </w:r>
      <w:r>
        <w:rPr>
          <w:rFonts w:hint="eastAsia" w:cs="Times New Roman"/>
          <w:caps w:val="0"/>
          <w:smallCaps w:val="0"/>
          <w:snapToGrid/>
          <w:color w:val="auto"/>
          <w:spacing w:val="0"/>
          <w:w w:val="100"/>
          <w:kern w:val="0"/>
          <w:sz w:val="24"/>
          <w:szCs w:val="24"/>
          <w:highlight w:val="none"/>
          <w:lang w:val="en-US" w:eastAsia="zh-CN" w:bidi="ar-SA"/>
        </w:rPr>
        <w:t>3.4水生动植物影响分析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项目穿越坑塘水面及沟渠采取定向穿越的施工方式，两侧泥浆坑在坑塘及沟渠两侧堤坝安全范围外设置，减少对干渠两岸的水力侵蚀影响，避免出现塌方现象。项目不进行涉水施工，不会造成坑塘及沟渠内水体扰动，不会对水生生物及鱼类产生直接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根据调查，本项目管道铺设穿越的坑塘为养殖坑塘，主要饲养鲫鱼及草鱼，属于经济类鱼种，无濒危及特有种，同时本项目涉及的沟渠也不属于产卵场、索饵场、越冬场等重要生境。项目在地表水体附近施工时，沿岸设置围挡，防止施工扬尘飘落至干渠内。合理安排施工时段，尽量在枯水期进行施工建设，本次穿越坑塘及沟渠水面宽度短，施工作业时间短，施工前加强对施工人员教育，禁止往水体中倾倒废水，固废；施工作业时，项目施工建设对水生动植物影响可被接受。</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5.</w:t>
      </w:r>
      <w:r>
        <w:rPr>
          <w:rFonts w:hint="eastAsia" w:cs="Times New Roman"/>
          <w:caps w:val="0"/>
          <w:smallCaps w:val="0"/>
          <w:snapToGrid/>
          <w:color w:val="auto"/>
          <w:spacing w:val="0"/>
          <w:w w:val="100"/>
          <w:kern w:val="0"/>
          <w:sz w:val="24"/>
          <w:szCs w:val="24"/>
          <w:highlight w:val="none"/>
          <w:lang w:val="en-US" w:eastAsia="zh-CN" w:bidi="ar-SA"/>
        </w:rPr>
        <w:t>3.5景观影响分析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根据现场调查，项目评价范围内景观体系主要为耕地景观、草地景观、水域景观及林地景观等组成。</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（1）对耕地景观影响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由于人为干扰，在评价范围上内，评价范围农田景观具有较好的结构连接度。施工期临时性占地对农田景观产生的影响属于短期不利影响，这种影响是可逆的，不会改变评价范围农业生产结构，工程结束后不利影响会很快消失。</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项目区农业生产历史久远，景观生态类型呈明显人工和半人工特点。从整个评价范围来看，无论是景观比例，还是景观优势度，占据重要位置的景观类型还是人工栽培植被景观，也是受工程建设影响最大的景观。因此，根据项目特点及区域景观类型组成，施工不会影响评价范围优势景观类型，对区域农田景观格局影响很小，对景观功能影响也很小。</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（2）对草原景观影响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本项目位于松嫩平原中部，区域景观除耕地景观外，主要为草原景观，该区域草原景观为自然景观。项目施工建设直接造成植被覆盖度降低，减少植被种类及生态量，进而改变自然景观。</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同时施工扬尘随风飘附在植物叶片、嫩枝、树干等上面，堵塞气孔、皮孔，影响气体交换，水分蒸腾，提高叶片温度，破坏正常的光合作用，甚至伤害组织，进而影响植物的的正常生理活动和生长发育。使草原植被种群总体处于退化演替过程中。项目服务站站址建设永久占用其他草地，对地表植被进行清除；在施工过程中，施工区域设置围挡，减少扬尘对占地外草地植被的影响。施工结束后，可对场界周围进行绿化，与周围草地植被进行自然衔接。</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（3）对林地景观的影响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输液管道定向穿越鸭木蛋格屯西南侧林带；管道施工不涉及乔木林砍伐。管道在林地边界进行施工，此处林带紧邻G232国道，国道上原有的行驶车辆噪声及振动对边缘林木本身具有干扰，林带边缘本身不具有小型野生动物或鸟类栖息地的优势，出现概率小，小型野生动物或鸟类栖息地会往林带深处进行繁殖。森林微生境基本不会收到影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且管道定向穿越在地下施工，不会对地上林带产生割据效应，增加了景观的不连续性和破碎化，项目施工对林带的影响可被接受。</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（4）对水域景观的影响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管道铺设区域涉及的水域为坑塘水面及沟渠。管道采取定向穿越施工方式，不进行涉水施工，不会造成水体阻断，水体浑浊，不会对水域景观造成阻隔效应。本次评价要求，管道定向穿越水域施工尽量在枯水期进行。根据建设单位提供资料，本次穿越水体宽度较短，施工作业时间短，随着穿越施工活动的结束，对水域景观的影响也随之消失。</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5.</w:t>
      </w:r>
      <w:r>
        <w:rPr>
          <w:rFonts w:hint="eastAsia" w:cs="Times New Roman"/>
          <w:caps w:val="0"/>
          <w:smallCaps w:val="0"/>
          <w:snapToGrid/>
          <w:color w:val="auto"/>
          <w:spacing w:val="0"/>
          <w:w w:val="100"/>
          <w:kern w:val="0"/>
          <w:sz w:val="24"/>
          <w:szCs w:val="24"/>
          <w:highlight w:val="none"/>
          <w:lang w:val="en-US" w:eastAsia="zh-CN" w:bidi="ar-SA"/>
        </w:rPr>
        <w:t>3.6防沙治沙区的影响分析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位于大庆市肇源县境内。《关于印发&lt;关于贯彻落实《沙化土地封禁保护修复制度方案》的实施意见&gt;的通知》，大庆市让胡路区、红岗区、大同区、肇源县、杜尔伯特蒙古族自治县属于沙化土地所在县（区）。</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根据现场调查，本项目所在区域基本无大面积地表裸露，周围分布大量集中的农田块。项目施工建设，破坏地表植被，造成松软表土裸露，管沟开挖，使下层土裸露，在大风天，土壤无植被根系固定，会产生扬尘。施工现场临时堆放的土方也会有流失情况。随风飘扬的土粒飘附在附近区域植物叶片、嫩枝、树干等上面，堵塞气孔、皮孔，影响气体交换，水分蒸腾，提高叶片温度，破坏正常的光合作用，造成植被死亡，土壤无地表植被覆盖，形成新的沙化区域。</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项目在施工过程中，严格控制施工占地，禁止对占地外植被的破坏，土壤的碾压；物料的运输利用现有公路，严禁开辟新的道路，造成地表植被的破坏，造成土壤裸露。同时项目在施工过程中采取一些水土保持措施，避免项目建设加剧区域土壤沙漠化情况。</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5.</w:t>
      </w:r>
      <w:r>
        <w:rPr>
          <w:rFonts w:hint="eastAsia" w:cs="Times New Roman"/>
          <w:caps w:val="0"/>
          <w:smallCaps w:val="0"/>
          <w:snapToGrid/>
          <w:color w:val="auto"/>
          <w:spacing w:val="0"/>
          <w:w w:val="100"/>
          <w:kern w:val="0"/>
          <w:sz w:val="24"/>
          <w:szCs w:val="24"/>
          <w:highlight w:val="none"/>
          <w:lang w:val="en-US" w:eastAsia="zh-CN" w:bidi="ar-SA"/>
        </w:rPr>
        <w:t>3.7水土流失的影响分析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根据《大庆市水土保持规划（2015~2030年）》，本项目位于重点治理区内；项目服务站站址的建设及管道施工时车辆对地表植被的直接破坏，土壤的碾压，人员对土壤的践踏，将改变原地表地貌状况，扰动原地貌，改变原地貌的状况和性质。</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对地表植被的直接清除，使占地内地貌失去植物根系的固土作用。降雨期，雨水形成地表径流，往低洼地带汇集，容积形成新的水土侵蚀。同时，施工现场如果未做好排水工作，雨水直接冲刷疏松、裸露的地表土，易造成水土流失；施工过程中，开挖回填后产生的弃渣松散堆积，结构疏松，胶结力差，抗侵蚀能力极低，遇暴雨产生径流，加大水土流失。</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综上，项目建设对周边水土保持带来一些不利影响，本项目计划在施工期间，采取一些水土保持措施；如在站址施工场界周围修建排水沟，做好基面及基坑排水工作，管道施工尽量选在枯水期及非降雨期，减少降雨期间的地表径流对裸露土壤的冲刷，减少施工建设引发区域水土流失的隐患。</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5.</w:t>
      </w:r>
      <w:r>
        <w:rPr>
          <w:rFonts w:hint="eastAsia" w:cs="Times New Roman"/>
          <w:caps w:val="0"/>
          <w:smallCaps w:val="0"/>
          <w:snapToGrid/>
          <w:color w:val="auto"/>
          <w:spacing w:val="0"/>
          <w:w w:val="100"/>
          <w:kern w:val="0"/>
          <w:sz w:val="24"/>
          <w:szCs w:val="24"/>
          <w:highlight w:val="none"/>
          <w:lang w:val="en-US" w:eastAsia="zh-CN" w:bidi="ar-SA"/>
        </w:rPr>
        <w:t>3.8生态</w:t>
      </w:r>
      <w:r>
        <w:rPr>
          <w:rFonts w:hint="default" w:cs="Times New Roman"/>
          <w:caps w:val="0"/>
          <w:smallCaps w:val="0"/>
          <w:snapToGrid/>
          <w:color w:val="auto"/>
          <w:spacing w:val="0"/>
          <w:w w:val="100"/>
          <w:kern w:val="0"/>
          <w:sz w:val="24"/>
          <w:szCs w:val="24"/>
          <w:highlight w:val="none"/>
          <w:lang w:val="en-US" w:eastAsia="zh-CN" w:bidi="ar-SA"/>
        </w:rPr>
        <w:t>环境影响分析</w:t>
      </w:r>
      <w:r>
        <w:rPr>
          <w:rFonts w:hint="eastAsia" w:cs="Times New Roman"/>
          <w:caps w:val="0"/>
          <w:smallCaps w:val="0"/>
          <w:snapToGrid/>
          <w:color w:val="auto"/>
          <w:spacing w:val="0"/>
          <w:w w:val="100"/>
          <w:kern w:val="0"/>
          <w:sz w:val="24"/>
          <w:szCs w:val="24"/>
          <w:highlight w:val="none"/>
          <w:lang w:val="en-US" w:eastAsia="zh-CN" w:bidi="ar-SA"/>
        </w:rPr>
        <w:t>评价结论</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建设过程中，采取了一些列的生态减缓、修复、补偿及监测措施；项目输液管道在设计阶段，为减少对区域集中、成块的永久基本农田的占用，管道路径设计大部分区域沿已建公路进行铺设，同时建设单位制定表土剥离、土壤复垦方案，对临时占用的耕地就行植被恢复；在途径林带、坑塘水面及沟渠时，为减少管沟开挖对乔木对砍伐、项目建设对坑塘水面及沟渠区域的侵蚀影响，项目采取定向穿越的施工方式，减少对林地及水面的扰动。同时严格控制施工占地，合理安排施工时间，项目建设对生态环境的影响可被接受。</w:t>
      </w:r>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1208" w:name="_Toc30614"/>
      <w:r>
        <w:rPr>
          <w:rFonts w:hint="eastAsia" w:ascii="Times New Roman" w:hAnsi="Times New Roman" w:eastAsia="宋体" w:cs="Times New Roman"/>
          <w:snapToGrid/>
          <w:color w:val="auto"/>
          <w:sz w:val="32"/>
          <w:highlight w:val="none"/>
          <w:lang w:val="en-US" w:eastAsia="zh-CN" w:bidi="ar-SA"/>
        </w:rPr>
        <w:t>5.4环境风险分析</w:t>
      </w:r>
      <w:bookmarkEnd w:id="1208"/>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5.4.1</w:t>
      </w:r>
      <w:r>
        <w:rPr>
          <w:rFonts w:hint="default" w:cs="Times New Roman"/>
          <w:caps w:val="0"/>
          <w:smallCaps w:val="0"/>
          <w:snapToGrid/>
          <w:color w:val="auto"/>
          <w:spacing w:val="0"/>
          <w:w w:val="100"/>
          <w:kern w:val="0"/>
          <w:sz w:val="24"/>
          <w:szCs w:val="24"/>
          <w:highlight w:val="none"/>
          <w:lang w:val="en-US" w:eastAsia="zh-CN" w:bidi="ar-SA"/>
        </w:rPr>
        <w:t>风险调查</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w:t>
      </w:r>
      <w:r>
        <w:rPr>
          <w:rFonts w:hint="default" w:cs="Times New Roman"/>
          <w:caps w:val="0"/>
          <w:smallCaps w:val="0"/>
          <w:snapToGrid/>
          <w:color w:val="auto"/>
          <w:spacing w:val="0"/>
          <w:w w:val="100"/>
          <w:kern w:val="0"/>
          <w:sz w:val="24"/>
          <w:szCs w:val="24"/>
          <w:highlight w:val="none"/>
          <w:lang w:val="en-US" w:eastAsia="zh-CN" w:bidi="ar-SA"/>
        </w:rPr>
        <w:t>危险物质数量、分布情况</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本项目为</w:t>
      </w:r>
      <w:r>
        <w:rPr>
          <w:rFonts w:hint="eastAsia" w:cs="Times New Roman"/>
          <w:caps w:val="0"/>
          <w:smallCaps w:val="0"/>
          <w:snapToGrid/>
          <w:color w:val="auto"/>
          <w:spacing w:val="0"/>
          <w:w w:val="100"/>
          <w:kern w:val="0"/>
          <w:sz w:val="24"/>
          <w:szCs w:val="24"/>
          <w:highlight w:val="none"/>
          <w:lang w:val="en-US" w:eastAsia="zh-CN" w:bidi="ar-SA"/>
        </w:rPr>
        <w:t>油田开采废水处理项目；本次新建服务站接收的废水为压裂返排液，废水处理过程中使用PAM、PAC及除硬剂药剂，对废水中的固体悬浮物进行去除，废水处理过程中会产生胶状固体物质、污泥及污油，站内设备运行维护会有废机油及罐底油泥产生。</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根据《建设项目环境风险评价技术导则》（HJ169-2018）中“危险物质”，项目涉及的危险物质主要为工艺过程中产生的污油和废机油，经调查，项目涉及危险物质数量、分布等情况见表5.4-1。</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5.4-1项目涉及危险物质数量、分布情况等情况</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44"/>
        <w:gridCol w:w="1587"/>
        <w:gridCol w:w="1216"/>
        <w:gridCol w:w="1216"/>
        <w:gridCol w:w="1217"/>
        <w:gridCol w:w="1217"/>
        <w:gridCol w:w="12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序号</w:t>
            </w:r>
          </w:p>
        </w:tc>
        <w:tc>
          <w:tcPr>
            <w:tcW w:w="15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危险物质名称</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CAS号</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分布情况</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产生量（t/a）</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贮存能力</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最大存储量t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4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c>
          <w:tcPr>
            <w:tcW w:w="15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污油储罐</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121</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200m</w:t>
            </w:r>
            <w:r>
              <w:rPr>
                <w:rFonts w:hint="eastAsia" w:cs="Times New Roman"/>
                <w:color w:val="auto"/>
                <w:sz w:val="21"/>
                <w:szCs w:val="21"/>
                <w:highlight w:val="none"/>
                <w:vertAlign w:val="superscript"/>
                <w:lang w:val="en-US" w:eastAsia="zh-CN"/>
              </w:rPr>
              <w:t>3</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4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w:t>
            </w:r>
          </w:p>
        </w:tc>
        <w:tc>
          <w:tcPr>
            <w:tcW w:w="15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废机油</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21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危废暂存间</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200L</w:t>
            </w:r>
          </w:p>
        </w:tc>
        <w:tc>
          <w:tcPr>
            <w:tcW w:w="121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0.186</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注：本项目产生的污油主要为废水处置分离的原油，密度以0.79t/m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计；废矿物油密度以0.93g/ml计。</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（2）危险物质理化性质</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5.4-2理化性质一览表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37"/>
        <w:gridCol w:w="1177"/>
        <w:gridCol w:w="2167"/>
        <w:gridCol w:w="2167"/>
        <w:gridCol w:w="216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理化常数</w:t>
            </w:r>
          </w:p>
        </w:tc>
        <w:tc>
          <w:tcPr>
            <w:tcW w:w="1177" w:type="dxa"/>
            <w:tcBorders>
              <w:tl2br w:val="nil"/>
              <w:tr2bl w:val="nil"/>
            </w:tcBorders>
            <w:vAlign w:val="center"/>
          </w:tcPr>
          <w:p>
            <w:pPr>
              <w:pStyle w:val="34"/>
              <w:keepNext w:val="0"/>
              <w:keepLines w:val="0"/>
              <w:pageBreakBefore w:val="0"/>
              <w:widowControl/>
              <w:suppressLineNumbers w:val="0"/>
              <w:kinsoku/>
              <w:overflowPunct w:val="0"/>
              <w:bidi w:val="0"/>
              <w:spacing w:before="0" w:beforeAutospacing="0" w:after="0" w:afterAutospacing="0" w:line="360" w:lineRule="exact"/>
              <w:ind w:left="0" w:leftChars="0" w:right="0" w:rightChars="0" w:firstLine="0" w:firstLine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highlight w:val="none"/>
              </w:rPr>
              <w:t>序号</w:t>
            </w:r>
          </w:p>
        </w:tc>
        <w:tc>
          <w:tcPr>
            <w:tcW w:w="6502" w:type="dxa"/>
            <w:gridSpan w:val="3"/>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1967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7" w:type="dxa"/>
            <w:tcBorders>
              <w:tl2br w:val="nil"/>
              <w:tr2bl w:val="nil"/>
            </w:tcBorders>
            <w:vAlign w:val="center"/>
          </w:tcPr>
          <w:p>
            <w:pPr>
              <w:pStyle w:val="34"/>
              <w:keepNext w:val="0"/>
              <w:keepLines w:val="0"/>
              <w:pageBreakBefore w:val="0"/>
              <w:widowControl/>
              <w:suppressLineNumbers w:val="0"/>
              <w:kinsoku/>
              <w:overflowPunct w:val="0"/>
              <w:bidi w:val="0"/>
              <w:spacing w:before="0" w:beforeAutospacing="0" w:after="0" w:afterAutospacing="0" w:line="360" w:lineRule="exact"/>
              <w:ind w:left="0" w:leftChars="0" w:right="0" w:rightChars="0" w:firstLine="0" w:firstLine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highlight w:val="none"/>
              </w:rPr>
              <w:t>CAS号</w:t>
            </w:r>
          </w:p>
        </w:tc>
        <w:tc>
          <w:tcPr>
            <w:tcW w:w="6502" w:type="dxa"/>
            <w:gridSpan w:val="3"/>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中文名称</w:t>
            </w:r>
          </w:p>
        </w:tc>
        <w:tc>
          <w:tcPr>
            <w:tcW w:w="6502" w:type="dxa"/>
            <w:gridSpan w:val="3"/>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default"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原油</w:t>
            </w:r>
            <w:r>
              <w:rPr>
                <w:rFonts w:hint="eastAsia" w:cs="Times New Roman"/>
                <w:caps w:val="0"/>
                <w:smallCaps w:val="0"/>
                <w:color w:val="auto"/>
                <w:spacing w:val="0"/>
                <w:w w:val="100"/>
                <w:sz w:val="21"/>
                <w:szCs w:val="21"/>
                <w:highlight w:val="none"/>
                <w:lang w:val="en-US" w:eastAsia="zh-CN"/>
              </w:rPr>
              <w:t>/矿物油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英文名称</w:t>
            </w:r>
          </w:p>
        </w:tc>
        <w:tc>
          <w:tcPr>
            <w:tcW w:w="6502" w:type="dxa"/>
            <w:gridSpan w:val="3"/>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CrudeoU；Petrolemn</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别名</w:t>
            </w:r>
          </w:p>
        </w:tc>
        <w:tc>
          <w:tcPr>
            <w:tcW w:w="6502" w:type="dxa"/>
            <w:gridSpan w:val="3"/>
            <w:tcBorders>
              <w:tl2br w:val="nil"/>
              <w:tr2bl w:val="nil"/>
            </w:tcBorders>
            <w:vAlign w:val="center"/>
          </w:tcPr>
          <w:p>
            <w:pPr>
              <w:pStyle w:val="35"/>
              <w:keepNext w:val="0"/>
              <w:keepLines w:val="0"/>
              <w:pageBreakBefore w:val="0"/>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szCs w:val="21"/>
                <w:highlight w:val="none"/>
              </w:rPr>
              <w:t>石油</w:t>
            </w:r>
            <w:r>
              <w:rPr>
                <w:rFonts w:hint="eastAsia" w:cs="Times New Roman"/>
                <w:caps w:val="0"/>
                <w:smallCaps w:val="0"/>
                <w:color w:val="auto"/>
                <w:spacing w:val="0"/>
                <w:w w:val="100"/>
                <w:sz w:val="21"/>
                <w:szCs w:val="21"/>
                <w:highlight w:val="none"/>
                <w:lang w:val="en-US" w:eastAsia="zh-CN"/>
              </w:rPr>
              <w:t>/矿物油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7" w:type="dxa"/>
            <w:tcBorders>
              <w:tl2br w:val="nil"/>
              <w:tr2bl w:val="nil"/>
            </w:tcBorders>
            <w:vAlign w:val="center"/>
          </w:tcPr>
          <w:p>
            <w:pPr>
              <w:pStyle w:val="36"/>
              <w:keepNext w:val="0"/>
              <w:keepLines w:val="0"/>
              <w:pageBreakBefore w:val="0"/>
              <w:suppressLineNumbers w:val="0"/>
              <w:tabs>
                <w:tab w:val="clear" w:pos="1134"/>
              </w:tabs>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szCs w:val="21"/>
                <w:highlight w:val="none"/>
              </w:rPr>
              <w:t>外观与性状</w:t>
            </w:r>
          </w:p>
        </w:tc>
        <w:tc>
          <w:tcPr>
            <w:tcW w:w="6502" w:type="dxa"/>
            <w:gridSpan w:val="3"/>
            <w:tcBorders>
              <w:tl2br w:val="nil"/>
              <w:tr2bl w:val="nil"/>
            </w:tcBorders>
            <w:vAlign w:val="center"/>
          </w:tcPr>
          <w:p>
            <w:pPr>
              <w:pStyle w:val="36"/>
              <w:keepNext w:val="0"/>
              <w:keepLines w:val="0"/>
              <w:pageBreakBefore w:val="0"/>
              <w:suppressLineNumbers w:val="0"/>
              <w:tabs>
                <w:tab w:val="clear" w:pos="1134"/>
              </w:tabs>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Cs w:val="21"/>
                <w:highlight w:val="none"/>
              </w:rPr>
              <w:t>黑色的可燃性黏稠液体</w:t>
            </w:r>
            <w:r>
              <w:rPr>
                <w:rFonts w:hint="eastAsia" w:cs="Times New Roman"/>
                <w:caps w:val="0"/>
                <w:smallCaps w:val="0"/>
                <w:color w:val="auto"/>
                <w:spacing w:val="0"/>
                <w:w w:val="100"/>
                <w:szCs w:val="21"/>
                <w:highlight w:val="none"/>
                <w:lang w:eastAsia="zh-CN"/>
              </w:rPr>
              <w:t>；无色半透明油状液体，无或几乎无荧光，冷时无臭、无味，加热时略有石油气味，不溶于水、乙醇，溶于挥发油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闪点</w:t>
            </w:r>
          </w:p>
        </w:tc>
        <w:tc>
          <w:tcPr>
            <w:tcW w:w="6502" w:type="dxa"/>
            <w:gridSpan w:val="3"/>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&lt;28℃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凝固点</w:t>
            </w:r>
          </w:p>
        </w:tc>
        <w:tc>
          <w:tcPr>
            <w:tcW w:w="216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18.3～19℃</w:t>
            </w:r>
          </w:p>
        </w:tc>
        <w:tc>
          <w:tcPr>
            <w:tcW w:w="2167" w:type="dxa"/>
            <w:tcBorders>
              <w:tl2br w:val="nil"/>
              <w:tr2bl w:val="nil"/>
            </w:tcBorders>
            <w:vAlign w:val="center"/>
          </w:tcPr>
          <w:p>
            <w:pPr>
              <w:pStyle w:val="36"/>
              <w:keepNext w:val="0"/>
              <w:keepLines w:val="0"/>
              <w:pageBreakBefore w:val="0"/>
              <w:suppressLineNumbers w:val="0"/>
              <w:tabs>
                <w:tab w:val="clear" w:pos="1134"/>
              </w:tabs>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szCs w:val="21"/>
                <w:highlight w:val="none"/>
              </w:rPr>
              <w:t>溶解性</w:t>
            </w:r>
          </w:p>
        </w:tc>
        <w:tc>
          <w:tcPr>
            <w:tcW w:w="2168"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不溶于水，溶于苯、乙醚、三氯甲烷、四氯化碳等有机溶剂。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default" w:ascii="Times New Roman" w:hAnsi="Times New Roman" w:eastAsia="宋体" w:cs="Times New Roman"/>
                <w:caps w:val="0"/>
                <w:smallCaps w:val="0"/>
                <w:color w:val="auto"/>
                <w:spacing w:val="0"/>
                <w:w w:val="100"/>
                <w:sz w:val="21"/>
                <w:szCs w:val="21"/>
                <w:highlight w:val="none"/>
              </w:rPr>
            </w:pPr>
            <w:r>
              <w:rPr>
                <w:rFonts w:hint="default" w:ascii="Times New Roman" w:hAnsi="Times New Roman" w:eastAsia="宋体" w:cs="Times New Roman"/>
                <w:caps w:val="0"/>
                <w:smallCaps w:val="0"/>
                <w:color w:val="auto"/>
                <w:spacing w:val="0"/>
                <w:w w:val="100"/>
                <w:sz w:val="21"/>
                <w:szCs w:val="21"/>
                <w:highlight w:val="none"/>
              </w:rPr>
              <w:t>密度</w:t>
            </w:r>
          </w:p>
        </w:tc>
        <w:tc>
          <w:tcPr>
            <w:tcW w:w="216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default" w:ascii="Times New Roman" w:hAnsi="Times New Roman" w:eastAsia="宋体" w:cs="Times New Roman"/>
                <w:caps w:val="0"/>
                <w:smallCaps w:val="0"/>
                <w:color w:val="auto"/>
                <w:spacing w:val="0"/>
                <w:w w:val="10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相对密度（水=1）0.</w:t>
            </w:r>
            <w:r>
              <w:rPr>
                <w:rFonts w:hint="eastAsia" w:cs="Times New Roman"/>
                <w:caps w:val="0"/>
                <w:smallCaps w:val="0"/>
                <w:color w:val="auto"/>
                <w:spacing w:val="0"/>
                <w:w w:val="100"/>
                <w:sz w:val="21"/>
                <w:szCs w:val="21"/>
                <w:highlight w:val="none"/>
                <w:lang w:val="en-US" w:eastAsia="zh-CN"/>
              </w:rPr>
              <w:t>79</w:t>
            </w:r>
            <w:r>
              <w:rPr>
                <w:rFonts w:hint="default" w:ascii="Times New Roman" w:hAnsi="Times New Roman" w:eastAsia="宋体" w:cs="Times New Roman"/>
                <w:caps w:val="0"/>
                <w:smallCaps w:val="0"/>
                <w:color w:val="auto"/>
                <w:spacing w:val="0"/>
                <w:w w:val="100"/>
                <w:sz w:val="21"/>
                <w:szCs w:val="21"/>
                <w:highlight w:val="none"/>
              </w:rPr>
              <w:t>～0.</w:t>
            </w:r>
            <w:r>
              <w:rPr>
                <w:rFonts w:hint="eastAsia" w:cs="Times New Roman"/>
                <w:caps w:val="0"/>
                <w:smallCaps w:val="0"/>
                <w:color w:val="auto"/>
                <w:spacing w:val="0"/>
                <w:w w:val="100"/>
                <w:sz w:val="21"/>
                <w:szCs w:val="21"/>
                <w:highlight w:val="none"/>
                <w:lang w:val="en-US" w:eastAsia="zh-CN"/>
              </w:rPr>
              <w:t>93</w:t>
            </w:r>
          </w:p>
        </w:tc>
        <w:tc>
          <w:tcPr>
            <w:tcW w:w="216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default" w:ascii="Times New Roman" w:hAnsi="Times New Roman" w:eastAsia="宋体" w:cs="Times New Roman"/>
                <w:caps w:val="0"/>
                <w:smallCaps w:val="0"/>
                <w:color w:val="auto"/>
                <w:spacing w:val="0"/>
                <w:w w:val="100"/>
                <w:kern w:val="0"/>
                <w:szCs w:val="21"/>
                <w:highlight w:val="none"/>
              </w:rPr>
            </w:pPr>
            <w:r>
              <w:rPr>
                <w:rFonts w:hint="default" w:ascii="Times New Roman" w:hAnsi="Times New Roman" w:eastAsia="宋体" w:cs="Times New Roman"/>
                <w:caps w:val="0"/>
                <w:smallCaps w:val="0"/>
                <w:color w:val="auto"/>
                <w:spacing w:val="0"/>
                <w:w w:val="100"/>
                <w:sz w:val="21"/>
                <w:szCs w:val="21"/>
                <w:highlight w:val="none"/>
              </w:rPr>
              <w:t>稳定性</w:t>
            </w:r>
          </w:p>
        </w:tc>
        <w:tc>
          <w:tcPr>
            <w:tcW w:w="2168"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default" w:ascii="Times New Roman" w:hAnsi="Times New Roman" w:eastAsia="宋体" w:cs="Times New Roman"/>
                <w:caps w:val="0"/>
                <w:smallCaps w:val="0"/>
                <w:color w:val="auto"/>
                <w:spacing w:val="0"/>
                <w:w w:val="100"/>
                <w:sz w:val="21"/>
                <w:szCs w:val="21"/>
                <w:highlight w:val="none"/>
              </w:rPr>
            </w:pPr>
            <w:r>
              <w:rPr>
                <w:rFonts w:hint="default" w:ascii="Times New Roman" w:hAnsi="Times New Roman" w:eastAsia="宋体" w:cs="Times New Roman"/>
                <w:caps w:val="0"/>
                <w:smallCaps w:val="0"/>
                <w:color w:val="auto"/>
                <w:spacing w:val="0"/>
                <w:w w:val="100"/>
                <w:sz w:val="21"/>
                <w:szCs w:val="21"/>
                <w:highlight w:val="none"/>
              </w:rPr>
              <w:t>稳定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17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default" w:ascii="Times New Roman" w:hAnsi="Times New Roman" w:eastAsia="宋体" w:cs="Times New Roman"/>
                <w:caps w:val="0"/>
                <w:smallCaps w:val="0"/>
                <w:color w:val="auto"/>
                <w:spacing w:val="0"/>
                <w:w w:val="100"/>
                <w:sz w:val="21"/>
                <w:szCs w:val="21"/>
                <w:highlight w:val="none"/>
              </w:rPr>
            </w:pPr>
            <w:r>
              <w:rPr>
                <w:rFonts w:hint="default" w:ascii="Times New Roman" w:hAnsi="Times New Roman" w:eastAsia="宋体" w:cs="Times New Roman"/>
                <w:caps w:val="0"/>
                <w:smallCaps w:val="0"/>
                <w:color w:val="auto"/>
                <w:spacing w:val="0"/>
                <w:w w:val="100"/>
                <w:sz w:val="21"/>
                <w:szCs w:val="21"/>
                <w:highlight w:val="none"/>
              </w:rPr>
              <w:t>爆炸极限</w:t>
            </w:r>
          </w:p>
        </w:tc>
        <w:tc>
          <w:tcPr>
            <w:tcW w:w="216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default" w:ascii="Times New Roman" w:hAnsi="Times New Roman" w:eastAsia="宋体" w:cs="Times New Roman"/>
                <w:caps w:val="0"/>
                <w:smallCaps w:val="0"/>
                <w:color w:val="auto"/>
                <w:spacing w:val="0"/>
                <w:w w:val="100"/>
                <w:sz w:val="21"/>
                <w:szCs w:val="21"/>
                <w:highlight w:val="none"/>
              </w:rPr>
            </w:pPr>
            <w:r>
              <w:rPr>
                <w:rFonts w:hint="default" w:ascii="Times New Roman" w:hAnsi="Times New Roman" w:eastAsia="宋体" w:cs="Times New Roman"/>
                <w:caps w:val="0"/>
                <w:smallCaps w:val="0"/>
                <w:color w:val="auto"/>
                <w:spacing w:val="0"/>
                <w:w w:val="100"/>
                <w:sz w:val="21"/>
                <w:szCs w:val="21"/>
                <w:highlight w:val="none"/>
              </w:rPr>
              <w:t>1.1％～8.7％（体积）</w:t>
            </w:r>
          </w:p>
        </w:tc>
        <w:tc>
          <w:tcPr>
            <w:tcW w:w="216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default" w:ascii="Times New Roman" w:hAnsi="Times New Roman" w:eastAsia="宋体" w:cs="Times New Roman"/>
                <w:caps w:val="0"/>
                <w:smallCaps w:val="0"/>
                <w:color w:val="auto"/>
                <w:spacing w:val="0"/>
                <w:w w:val="100"/>
                <w:kern w:val="0"/>
                <w:szCs w:val="21"/>
                <w:highlight w:val="none"/>
              </w:rPr>
            </w:pPr>
            <w:r>
              <w:rPr>
                <w:rFonts w:hint="default" w:ascii="Times New Roman" w:hAnsi="Times New Roman" w:eastAsia="宋体" w:cs="Times New Roman"/>
                <w:caps w:val="0"/>
                <w:smallCaps w:val="0"/>
                <w:color w:val="auto"/>
                <w:spacing w:val="0"/>
                <w:w w:val="100"/>
                <w:sz w:val="21"/>
                <w:szCs w:val="21"/>
                <w:highlight w:val="none"/>
              </w:rPr>
              <w:t>自燃温度</w:t>
            </w:r>
          </w:p>
        </w:tc>
        <w:tc>
          <w:tcPr>
            <w:tcW w:w="2168"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default" w:ascii="Times New Roman" w:hAnsi="Times New Roman" w:eastAsia="宋体" w:cs="Times New Roman"/>
                <w:caps w:val="0"/>
                <w:smallCaps w:val="0"/>
                <w:color w:val="auto"/>
                <w:spacing w:val="0"/>
                <w:w w:val="100"/>
                <w:sz w:val="21"/>
                <w:szCs w:val="21"/>
                <w:highlight w:val="none"/>
              </w:rPr>
            </w:pPr>
            <w:r>
              <w:rPr>
                <w:rFonts w:hint="default" w:ascii="Times New Roman" w:hAnsi="Times New Roman" w:eastAsia="宋体" w:cs="Times New Roman"/>
                <w:caps w:val="0"/>
                <w:smallCaps w:val="0"/>
                <w:color w:val="auto"/>
                <w:spacing w:val="0"/>
                <w:w w:val="100"/>
                <w:sz w:val="21"/>
                <w:szCs w:val="21"/>
                <w:highlight w:val="none"/>
              </w:rPr>
              <w:t>280℃～380℃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right="0"/>
              <w:jc w:val="center"/>
              <w:rPr>
                <w:rFonts w:hint="default" w:ascii="Times New Roman" w:hAnsi="Times New Roman" w:eastAsia="宋体" w:cs="Times New Roman"/>
                <w:caps w:val="0"/>
                <w:smallCaps w:val="0"/>
                <w:color w:val="auto"/>
                <w:spacing w:val="0"/>
                <w:w w:val="100"/>
                <w:sz w:val="21"/>
                <w:szCs w:val="21"/>
                <w:highlight w:val="none"/>
              </w:rPr>
            </w:pPr>
            <w:r>
              <w:rPr>
                <w:rFonts w:hint="default" w:ascii="Times New Roman" w:hAnsi="Times New Roman" w:eastAsia="宋体" w:cs="Times New Roman"/>
                <w:caps w:val="0"/>
                <w:smallCaps w:val="0"/>
                <w:color w:val="auto"/>
                <w:spacing w:val="0"/>
                <w:w w:val="100"/>
                <w:sz w:val="21"/>
                <w:szCs w:val="21"/>
                <w:highlight w:val="none"/>
              </w:rPr>
              <w:t>主要</w:t>
            </w:r>
          </w:p>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用途</w:t>
            </w:r>
          </w:p>
        </w:tc>
        <w:tc>
          <w:tcPr>
            <w:tcW w:w="7679" w:type="dxa"/>
            <w:gridSpan w:val="4"/>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主要用于生产汽油、航空煤油、柴油等发动机燃料以及液化气、石脑油、润滑油、石蜡、沥青、石油焦等，通过其馏分的高温热解，还用于生产乙烯、丙烯、丁烯等基本有机化工原料。</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right="0"/>
              <w:jc w:val="center"/>
              <w:rPr>
                <w:rFonts w:hint="default" w:ascii="Times New Roman" w:hAnsi="Times New Roman" w:eastAsia="宋体" w:cs="Times New Roman"/>
                <w:caps w:val="0"/>
                <w:smallCaps w:val="0"/>
                <w:color w:val="auto"/>
                <w:spacing w:val="0"/>
                <w:w w:val="100"/>
                <w:sz w:val="21"/>
                <w:szCs w:val="21"/>
                <w:highlight w:val="none"/>
              </w:rPr>
            </w:pPr>
            <w:r>
              <w:rPr>
                <w:rFonts w:hint="default" w:ascii="Times New Roman" w:hAnsi="Times New Roman" w:eastAsia="宋体" w:cs="Times New Roman"/>
                <w:caps w:val="0"/>
                <w:smallCaps w:val="0"/>
                <w:color w:val="auto"/>
                <w:spacing w:val="0"/>
                <w:w w:val="100"/>
                <w:sz w:val="21"/>
                <w:szCs w:val="21"/>
                <w:highlight w:val="none"/>
              </w:rPr>
              <w:t>危险</w:t>
            </w:r>
          </w:p>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特性</w:t>
            </w:r>
          </w:p>
        </w:tc>
        <w:tc>
          <w:tcPr>
            <w:tcW w:w="7679" w:type="dxa"/>
            <w:gridSpan w:val="4"/>
            <w:tcBorders>
              <w:tl2br w:val="nil"/>
              <w:tr2bl w:val="nil"/>
            </w:tcBorders>
            <w:vAlign w:val="center"/>
          </w:tcPr>
          <w:p>
            <w:pPr>
              <w:pStyle w:val="36"/>
              <w:keepNext w:val="0"/>
              <w:keepLines w:val="0"/>
              <w:pageBreakBefore w:val="0"/>
              <w:suppressLineNumbers w:val="0"/>
              <w:tabs>
                <w:tab w:val="clear" w:pos="1134"/>
              </w:tabs>
              <w:kinsoku/>
              <w:overflowPunct w:val="0"/>
              <w:bidi w:val="0"/>
              <w:spacing w:before="0" w:beforeAutospacing="0" w:after="0" w:afterAutospacing="0" w:line="360" w:lineRule="exact"/>
              <w:ind w:left="0" w:leftChars="0" w:right="0" w:rightChars="0"/>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Cs w:val="21"/>
                <w:highlight w:val="none"/>
              </w:rPr>
              <w:t>易燃，蒸气与空气能形成爆炸性混合物，遇明火、高热能引起燃烧爆炸。与硝酸、浓硫酸、高锰酸钾、重铬酸盐等强氧化剂接触会剧烈反应，甚至发生燃烧爆炸。</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right="0"/>
              <w:jc w:val="center"/>
              <w:rPr>
                <w:rFonts w:hint="default" w:ascii="Times New Roman" w:hAnsi="Times New Roman" w:eastAsia="宋体" w:cs="Times New Roman"/>
                <w:caps w:val="0"/>
                <w:smallCaps w:val="0"/>
                <w:color w:val="auto"/>
                <w:spacing w:val="0"/>
                <w:w w:val="100"/>
                <w:sz w:val="21"/>
                <w:szCs w:val="21"/>
                <w:highlight w:val="none"/>
              </w:rPr>
            </w:pPr>
            <w:r>
              <w:rPr>
                <w:rFonts w:hint="default" w:ascii="Times New Roman" w:hAnsi="Times New Roman" w:eastAsia="宋体" w:cs="Times New Roman"/>
                <w:caps w:val="0"/>
                <w:smallCaps w:val="0"/>
                <w:color w:val="auto"/>
                <w:spacing w:val="0"/>
                <w:w w:val="100"/>
                <w:sz w:val="21"/>
                <w:szCs w:val="21"/>
                <w:highlight w:val="none"/>
              </w:rPr>
              <w:t>健康</w:t>
            </w:r>
          </w:p>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危害</w:t>
            </w:r>
          </w:p>
        </w:tc>
        <w:tc>
          <w:tcPr>
            <w:tcW w:w="7679" w:type="dxa"/>
            <w:gridSpan w:val="4"/>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right="0"/>
              <w:rPr>
                <w:rFonts w:hint="default" w:ascii="Times New Roman" w:hAnsi="Times New Roman" w:eastAsia="宋体" w:cs="Times New Roman"/>
                <w:caps w:val="0"/>
                <w:smallCaps w:val="0"/>
                <w:color w:val="auto"/>
                <w:spacing w:val="0"/>
                <w:w w:val="100"/>
                <w:sz w:val="21"/>
                <w:szCs w:val="21"/>
                <w:highlight w:val="none"/>
              </w:rPr>
            </w:pPr>
            <w:r>
              <w:rPr>
                <w:rFonts w:hint="default" w:ascii="Times New Roman" w:hAnsi="Times New Roman" w:eastAsia="宋体" w:cs="Times New Roman"/>
                <w:caps w:val="0"/>
                <w:smallCaps w:val="0"/>
                <w:color w:val="auto"/>
                <w:spacing w:val="0"/>
                <w:w w:val="100"/>
                <w:sz w:val="21"/>
                <w:szCs w:val="21"/>
                <w:highlight w:val="none"/>
              </w:rPr>
              <w:t>毒性：IV（轻度危害），属低毒类。</w:t>
            </w:r>
          </w:p>
          <w:p>
            <w:pPr>
              <w:keepNext w:val="0"/>
              <w:keepLines w:val="0"/>
              <w:pageBreakBefore w:val="0"/>
              <w:widowControl/>
              <w:suppressLineNumbers w:val="0"/>
              <w:kinsoku/>
              <w:overflowPunct w:val="0"/>
              <w:bidi w:val="0"/>
              <w:spacing w:before="0" w:beforeAutospacing="0" w:after="0" w:afterAutospacing="0" w:line="360" w:lineRule="exact"/>
              <w:ind w:left="0" w:right="0"/>
              <w:rPr>
                <w:rFonts w:hint="default" w:ascii="Times New Roman" w:hAnsi="Times New Roman" w:eastAsia="宋体" w:cs="Times New Roman"/>
                <w:caps w:val="0"/>
                <w:smallCaps w:val="0"/>
                <w:color w:val="auto"/>
                <w:spacing w:val="0"/>
                <w:w w:val="100"/>
                <w:sz w:val="21"/>
                <w:szCs w:val="21"/>
                <w:highlight w:val="none"/>
              </w:rPr>
            </w:pPr>
            <w:r>
              <w:rPr>
                <w:rFonts w:hint="default" w:ascii="Times New Roman" w:hAnsi="Times New Roman" w:eastAsia="宋体" w:cs="Times New Roman"/>
                <w:caps w:val="0"/>
                <w:smallCaps w:val="0"/>
                <w:color w:val="auto"/>
                <w:spacing w:val="0"/>
                <w:w w:val="100"/>
                <w:sz w:val="21"/>
                <w:szCs w:val="21"/>
                <w:highlight w:val="none"/>
              </w:rPr>
              <w:t>侵入途径：吸入、食入、经皮吸收。</w:t>
            </w:r>
          </w:p>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健康危害：未见原油引起急慢性中毒的报道。原油在分馏、裂解和深加工过程中的产品和中间产品表现出不同的毒性。长期接触可引起皮肤损害。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tcBorders>
              <w:tl2br w:val="nil"/>
              <w:tr2bl w:val="nil"/>
            </w:tcBorders>
            <w:vAlign w:val="center"/>
          </w:tcPr>
          <w:p>
            <w:pPr>
              <w:pStyle w:val="36"/>
              <w:keepNext w:val="0"/>
              <w:keepLines w:val="0"/>
              <w:pageBreakBefore w:val="0"/>
              <w:suppressLineNumbers w:val="0"/>
              <w:tabs>
                <w:tab w:val="clear" w:pos="1134"/>
              </w:tabs>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szCs w:val="21"/>
                <w:highlight w:val="none"/>
              </w:rPr>
              <w:t>泄漏应急处理</w:t>
            </w:r>
          </w:p>
        </w:tc>
        <w:tc>
          <w:tcPr>
            <w:tcW w:w="7679" w:type="dxa"/>
            <w:gridSpan w:val="4"/>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根据液体流动和蒸气扩散的影响区域划定警戒区，无关人员从侧风、上风向撤离至安全区。消除所有点火源。应急人员应佩戴正压式空气呼吸机，穿防火服，使用防爆等级达到要求的通讯工具。采取关闭阀门或堵漏等措施切断泄漏源。如果槽车或储罐发生泄漏，可通过倒罐转移尚未泄漏的液体。构筑围堤或挖坑收容泄漏物，防止流入河流、下水道、排洪沟等地方。收容的泄漏液用防爆泵转移至槽车或专用收集器内。用砂土吸收残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right="0"/>
              <w:jc w:val="center"/>
              <w:rPr>
                <w:rFonts w:hint="default" w:ascii="Times New Roman" w:hAnsi="Times New Roman" w:eastAsia="宋体" w:cs="Times New Roman"/>
                <w:caps w:val="0"/>
                <w:smallCaps w:val="0"/>
                <w:color w:val="auto"/>
                <w:spacing w:val="0"/>
                <w:w w:val="100"/>
                <w:sz w:val="21"/>
                <w:szCs w:val="21"/>
                <w:highlight w:val="none"/>
              </w:rPr>
            </w:pPr>
            <w:r>
              <w:rPr>
                <w:rFonts w:hint="default" w:ascii="Times New Roman" w:hAnsi="Times New Roman" w:eastAsia="宋体" w:cs="Times New Roman"/>
                <w:caps w:val="0"/>
                <w:smallCaps w:val="0"/>
                <w:color w:val="auto"/>
                <w:spacing w:val="0"/>
                <w:w w:val="100"/>
                <w:sz w:val="21"/>
                <w:szCs w:val="21"/>
                <w:highlight w:val="none"/>
              </w:rPr>
              <w:t>防护</w:t>
            </w:r>
          </w:p>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措施</w:t>
            </w:r>
          </w:p>
        </w:tc>
        <w:tc>
          <w:tcPr>
            <w:tcW w:w="7679" w:type="dxa"/>
            <w:gridSpan w:val="4"/>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工程控制：生产过程密闭，全面通风。呼吸系统防护：空气中浓度超标时，佩戴正压式空气呼吸机。眼睛防护：必要时，戴化学安全防护眼镜。身体防护：穿防静电工作服。手防护：戴橡胶手套。其它：工作现场严禁吸烟。避免长期反复接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right="0"/>
              <w:jc w:val="center"/>
              <w:rPr>
                <w:rFonts w:hint="default" w:ascii="Times New Roman" w:hAnsi="Times New Roman" w:eastAsia="宋体" w:cs="Times New Roman"/>
                <w:caps w:val="0"/>
                <w:smallCaps w:val="0"/>
                <w:color w:val="auto"/>
                <w:spacing w:val="0"/>
                <w:w w:val="100"/>
                <w:sz w:val="21"/>
                <w:szCs w:val="21"/>
                <w:highlight w:val="none"/>
              </w:rPr>
            </w:pPr>
            <w:r>
              <w:rPr>
                <w:rFonts w:hint="default" w:ascii="Times New Roman" w:hAnsi="Times New Roman" w:eastAsia="宋体" w:cs="Times New Roman"/>
                <w:caps w:val="0"/>
                <w:smallCaps w:val="0"/>
                <w:color w:val="auto"/>
                <w:spacing w:val="0"/>
                <w:w w:val="100"/>
                <w:sz w:val="21"/>
                <w:szCs w:val="21"/>
                <w:highlight w:val="none"/>
              </w:rPr>
              <w:t>急救</w:t>
            </w:r>
          </w:p>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措施</w:t>
            </w:r>
          </w:p>
        </w:tc>
        <w:tc>
          <w:tcPr>
            <w:tcW w:w="7679" w:type="dxa"/>
            <w:gridSpan w:val="4"/>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皮肤接触：脱去污染的衣着，用肥皂水及清水彻底冲洗。眼睛接触：立即提起眼睑，用流动清水冲洗。吸入：迅速脱离现场至空气新鲜处。注意保暖，呼吸困难时给输氧。呼吸停止时，立即进行人工呼吸。就医。食入：误服者给充分漱口、饮水，就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37" w:type="dxa"/>
            <w:tcBorders>
              <w:tl2br w:val="nil"/>
              <w:tr2bl w:val="nil"/>
            </w:tcBorders>
            <w:vAlign w:val="center"/>
          </w:tcPr>
          <w:p>
            <w:pPr>
              <w:pStyle w:val="36"/>
              <w:keepNext w:val="0"/>
              <w:keepLines w:val="0"/>
              <w:pageBreakBefore w:val="0"/>
              <w:suppressLineNumbers w:val="0"/>
              <w:kinsoku/>
              <w:overflowPunct w:val="0"/>
              <w:bidi w:val="0"/>
              <w:spacing w:before="0" w:beforeAutospacing="0" w:after="0" w:afterAutospacing="0" w:line="360" w:lineRule="exact"/>
              <w:ind w:left="0" w:right="0"/>
              <w:jc w:val="center"/>
              <w:rPr>
                <w:rFonts w:hint="default" w:ascii="Times New Roman" w:hAnsi="Times New Roman" w:eastAsia="宋体" w:cs="Times New Roman"/>
                <w:caps w:val="0"/>
                <w:smallCaps w:val="0"/>
                <w:color w:val="auto"/>
                <w:spacing w:val="0"/>
                <w:w w:val="100"/>
                <w:kern w:val="0"/>
                <w:szCs w:val="21"/>
                <w:highlight w:val="none"/>
              </w:rPr>
            </w:pPr>
            <w:r>
              <w:rPr>
                <w:rFonts w:hint="default" w:ascii="Times New Roman" w:hAnsi="Times New Roman" w:eastAsia="宋体" w:cs="Times New Roman"/>
                <w:caps w:val="0"/>
                <w:smallCaps w:val="0"/>
                <w:color w:val="auto"/>
                <w:spacing w:val="0"/>
                <w:w w:val="100"/>
                <w:kern w:val="0"/>
                <w:szCs w:val="21"/>
                <w:highlight w:val="none"/>
              </w:rPr>
              <w:t>灭火</w:t>
            </w:r>
          </w:p>
          <w:p>
            <w:pPr>
              <w:pStyle w:val="36"/>
              <w:keepNext w:val="0"/>
              <w:keepLines w:val="0"/>
              <w:pageBreakBefore w:val="0"/>
              <w:suppressLineNumbers w:val="0"/>
              <w:kinsoku/>
              <w:overflowPunct w:val="0"/>
              <w:bidi w:val="0"/>
              <w:spacing w:before="0" w:beforeAutospacing="0" w:after="0" w:afterAutospacing="0" w:line="360" w:lineRule="exact"/>
              <w:ind w:left="0" w:leftChars="0" w:right="0" w:rightChars="0"/>
              <w:jc w:val="center"/>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kern w:val="0"/>
                <w:szCs w:val="21"/>
                <w:highlight w:val="none"/>
              </w:rPr>
              <w:t>方法</w:t>
            </w:r>
          </w:p>
        </w:tc>
        <w:tc>
          <w:tcPr>
            <w:tcW w:w="7679" w:type="dxa"/>
            <w:gridSpan w:val="4"/>
            <w:tcBorders>
              <w:tl2br w:val="nil"/>
              <w:tr2bl w:val="nil"/>
            </w:tcBorders>
            <w:vAlign w:val="center"/>
          </w:tcPr>
          <w:p>
            <w:pPr>
              <w:keepNext w:val="0"/>
              <w:keepLines w:val="0"/>
              <w:pageBreakBefore w:val="0"/>
              <w:widowControl/>
              <w:suppressLineNumbers w:val="0"/>
              <w:kinsoku/>
              <w:overflowPunct w:val="0"/>
              <w:bidi w:val="0"/>
              <w:spacing w:before="0" w:beforeAutospacing="0" w:after="0" w:afterAutospacing="0" w:line="360" w:lineRule="exact"/>
              <w:ind w:left="0" w:right="0"/>
              <w:rPr>
                <w:rFonts w:hint="default" w:ascii="Times New Roman" w:hAnsi="Times New Roman" w:eastAsia="宋体" w:cs="Times New Roman"/>
                <w:caps w:val="0"/>
                <w:smallCaps w:val="0"/>
                <w:color w:val="auto"/>
                <w:spacing w:val="0"/>
                <w:w w:val="100"/>
                <w:sz w:val="21"/>
                <w:szCs w:val="21"/>
                <w:highlight w:val="none"/>
              </w:rPr>
            </w:pPr>
            <w:r>
              <w:rPr>
                <w:rFonts w:hint="default" w:ascii="Times New Roman" w:hAnsi="Times New Roman" w:eastAsia="宋体" w:cs="Times New Roman"/>
                <w:caps w:val="0"/>
                <w:smallCaps w:val="0"/>
                <w:color w:val="auto"/>
                <w:spacing w:val="0"/>
                <w:w w:val="100"/>
                <w:sz w:val="21"/>
                <w:szCs w:val="21"/>
                <w:highlight w:val="none"/>
              </w:rPr>
              <w:t>消防人员须穿全身防火防毒服，佩戴空气呼吸器，在上风向灭火。喷水冷却燃烧罐和临近罐，直至灭火结束。处在火场中若发生异常变化或发出异常声音，须马上撤离。</w:t>
            </w:r>
          </w:p>
          <w:p>
            <w:pPr>
              <w:keepNext w:val="0"/>
              <w:keepLines w:val="0"/>
              <w:pageBreakBefore w:val="0"/>
              <w:widowControl/>
              <w:suppressLineNumbers w:val="0"/>
              <w:kinsoku/>
              <w:overflowPunct w:val="0"/>
              <w:bidi w:val="0"/>
              <w:spacing w:before="0" w:beforeAutospacing="0" w:after="0" w:afterAutospacing="0" w:line="360" w:lineRule="exact"/>
              <w:ind w:left="0" w:leftChars="0" w:right="0" w:rightChars="0"/>
              <w:rPr>
                <w:rFonts w:hint="eastAsia" w:ascii="Times New Roman" w:hAnsi="Times New Roman" w:eastAsia="宋体" w:cs="Times New Roman"/>
                <w:caps w:val="0"/>
                <w:smallCaps w:val="0"/>
                <w:snapToGrid w:val="0"/>
                <w:color w:val="auto"/>
                <w:spacing w:val="0"/>
                <w:w w:val="100"/>
                <w:kern w:val="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rPr>
              <w:t>灭火剂：泡沫、干粉、砂土、二氧化碳。</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5.4.2环境风险潜势初判</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环境风险评价的工作重点是预测事故发生引起厂界外人群的伤害、环境质量的恶化，并提出相应的防护措施。风险识别范围主要为涉及有毒有害和易燃易爆危险物质生产、使用、储存（包括使用管道输运）的建设项目可能发生的突发性事故（不包括人为破坏及自然灾害引发的事故）的环境风险评价。</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（1）环境风险潜势划分</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建设项目环境风险潜势划分为Ⅰ、Ⅱ、Ⅲ、Ⅳ、Ⅳ</w:t>
      </w:r>
      <w:r>
        <w:rPr>
          <w:rFonts w:hint="eastAsia" w:cs="Times New Roman"/>
          <w:caps w:val="0"/>
          <w:smallCaps w:val="0"/>
          <w:snapToGrid/>
          <w:color w:val="auto"/>
          <w:spacing w:val="0"/>
          <w:w w:val="100"/>
          <w:kern w:val="0"/>
          <w:sz w:val="24"/>
          <w:szCs w:val="24"/>
          <w:highlight w:val="none"/>
          <w:vertAlign w:val="superscript"/>
          <w:lang w:val="en-US" w:eastAsia="zh-CN" w:bidi="ar-SA"/>
        </w:rPr>
        <w:t>+</w:t>
      </w:r>
      <w:r>
        <w:rPr>
          <w:rFonts w:hint="eastAsia" w:cs="Times New Roman"/>
          <w:caps w:val="0"/>
          <w:smallCaps w:val="0"/>
          <w:snapToGrid/>
          <w:color w:val="auto"/>
          <w:spacing w:val="0"/>
          <w:w w:val="100"/>
          <w:kern w:val="0"/>
          <w:sz w:val="24"/>
          <w:szCs w:val="24"/>
          <w:highlight w:val="none"/>
          <w:lang w:val="en-US" w:eastAsia="zh-CN" w:bidi="ar-SA"/>
        </w:rPr>
        <w:t>级。根据建设项目涉及的物质和工艺系统的危险性及其所在地的环境敏感程度，结合事故情形下环境影响途径，对建设项目潜在环境危害程度进行概化分析，按照表5.4-3确定环境风险潜势。</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5.4-3</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环境风险潜势判定表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703"/>
        <w:gridCol w:w="1703"/>
        <w:gridCol w:w="1703"/>
        <w:gridCol w:w="1703"/>
        <w:gridCol w:w="170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0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环境敏感程度（E）</w:t>
            </w:r>
          </w:p>
        </w:tc>
        <w:tc>
          <w:tcPr>
            <w:tcW w:w="6813" w:type="dxa"/>
            <w:gridSpan w:val="4"/>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危险物质及工艺系统危险性（P）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0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极高危害（P1）</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高度危害（P2）</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中度危害（P3）</w:t>
            </w:r>
          </w:p>
        </w:tc>
        <w:tc>
          <w:tcPr>
            <w:tcW w:w="17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轻度危害（P4）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环境高度敏感区（E1）</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IV</w:t>
            </w:r>
            <w:r>
              <w:rPr>
                <w:rFonts w:hint="default" w:ascii="Times New Roman" w:hAnsi="Times New Roman" w:cs="Times New Roman"/>
                <w:color w:val="auto"/>
                <w:sz w:val="21"/>
                <w:szCs w:val="21"/>
                <w:highlight w:val="none"/>
                <w:vertAlign w:val="superscript"/>
                <w:lang w:val="en-US" w:eastAsia="zh-CN"/>
              </w:rPr>
              <w:t>+</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IV</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Ⅲ</w:t>
            </w:r>
          </w:p>
        </w:tc>
        <w:tc>
          <w:tcPr>
            <w:tcW w:w="17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环境中度敏感区（E2）</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Ⅳ</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Ⅲ</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Ⅲ</w:t>
            </w:r>
          </w:p>
        </w:tc>
        <w:tc>
          <w:tcPr>
            <w:tcW w:w="17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Ⅱ</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环境低度敏感区（E3）</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Ⅲ</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Ⅲ</w:t>
            </w:r>
          </w:p>
        </w:tc>
        <w:tc>
          <w:tcPr>
            <w:tcW w:w="170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Ⅱ</w:t>
            </w:r>
          </w:p>
        </w:tc>
        <w:tc>
          <w:tcPr>
            <w:tcW w:w="17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16" w:type="dxa"/>
            <w:gridSpan w:val="5"/>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注：IV</w:t>
            </w:r>
            <w:r>
              <w:rPr>
                <w:rFonts w:hint="eastAsia" w:cs="Times New Roman"/>
                <w:color w:val="auto"/>
                <w:sz w:val="21"/>
                <w:szCs w:val="21"/>
                <w:highlight w:val="none"/>
                <w:vertAlign w:val="superscript"/>
                <w:lang w:val="en-US" w:eastAsia="zh-CN"/>
              </w:rPr>
              <w:t>+</w:t>
            </w:r>
            <w:r>
              <w:rPr>
                <w:rFonts w:hint="eastAsia" w:cs="Times New Roman"/>
                <w:color w:val="auto"/>
                <w:sz w:val="21"/>
                <w:szCs w:val="21"/>
                <w:highlight w:val="none"/>
                <w:vertAlign w:val="baseline"/>
                <w:lang w:val="en-US" w:eastAsia="zh-CN"/>
              </w:rPr>
              <w:t>为极高环境风险</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（2）危险物质数量与临界量比值（Q）</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计算所涉及的每种危险物质在厂界内的最大存在总量与其在附录B中对应临界量的比值Q。在不同厂区的同一种物质，按其在厂界内的最大存在总量计算。</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当只涉及一种危险物质时，计算该物质的总量与其临界量比值，即为Q；</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当存在多种危险物质时，则按下式计算物质总量与其临界量比值Q：</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Q＝q</w:t>
      </w:r>
      <w:r>
        <w:rPr>
          <w:rFonts w:hint="eastAsia" w:cs="Times New Roman"/>
          <w:caps w:val="0"/>
          <w:smallCaps w:val="0"/>
          <w:snapToGrid/>
          <w:color w:val="auto"/>
          <w:spacing w:val="0"/>
          <w:w w:val="100"/>
          <w:kern w:val="0"/>
          <w:sz w:val="24"/>
          <w:szCs w:val="24"/>
          <w:highlight w:val="none"/>
          <w:vertAlign w:val="subscript"/>
          <w:lang w:val="en-US" w:eastAsia="zh-CN" w:bidi="ar-SA"/>
        </w:rPr>
        <w:t>1</w:t>
      </w:r>
      <w:r>
        <w:rPr>
          <w:rFonts w:hint="eastAsia" w:cs="Times New Roman"/>
          <w:caps w:val="0"/>
          <w:smallCaps w:val="0"/>
          <w:snapToGrid/>
          <w:color w:val="auto"/>
          <w:spacing w:val="0"/>
          <w:w w:val="100"/>
          <w:kern w:val="0"/>
          <w:sz w:val="24"/>
          <w:szCs w:val="24"/>
          <w:highlight w:val="none"/>
          <w:lang w:val="en-US" w:eastAsia="zh-CN" w:bidi="ar-SA"/>
        </w:rPr>
        <w:t>/Q</w:t>
      </w:r>
      <w:r>
        <w:rPr>
          <w:rFonts w:hint="eastAsia" w:cs="Times New Roman"/>
          <w:caps w:val="0"/>
          <w:smallCaps w:val="0"/>
          <w:snapToGrid/>
          <w:color w:val="auto"/>
          <w:spacing w:val="0"/>
          <w:w w:val="100"/>
          <w:kern w:val="0"/>
          <w:sz w:val="24"/>
          <w:szCs w:val="24"/>
          <w:highlight w:val="none"/>
          <w:vertAlign w:val="subscript"/>
          <w:lang w:val="en-US" w:eastAsia="zh-CN" w:bidi="ar-SA"/>
        </w:rPr>
        <w:t>1</w:t>
      </w:r>
      <w:r>
        <w:rPr>
          <w:rFonts w:hint="eastAsia" w:cs="Times New Roman"/>
          <w:caps w:val="0"/>
          <w:smallCaps w:val="0"/>
          <w:snapToGrid/>
          <w:color w:val="auto"/>
          <w:spacing w:val="0"/>
          <w:w w:val="100"/>
          <w:kern w:val="0"/>
          <w:sz w:val="24"/>
          <w:szCs w:val="24"/>
          <w:highlight w:val="none"/>
          <w:lang w:val="en-US" w:eastAsia="zh-CN" w:bidi="ar-SA"/>
        </w:rPr>
        <w:t>＋q</w:t>
      </w:r>
      <w:r>
        <w:rPr>
          <w:rFonts w:hint="eastAsia" w:cs="Times New Roman"/>
          <w:caps w:val="0"/>
          <w:smallCaps w:val="0"/>
          <w:snapToGrid/>
          <w:color w:val="auto"/>
          <w:spacing w:val="0"/>
          <w:w w:val="100"/>
          <w:kern w:val="0"/>
          <w:sz w:val="24"/>
          <w:szCs w:val="24"/>
          <w:highlight w:val="none"/>
          <w:vertAlign w:val="subscript"/>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/Q</w:t>
      </w:r>
      <w:r>
        <w:rPr>
          <w:rFonts w:hint="eastAsia" w:cs="Times New Roman"/>
          <w:caps w:val="0"/>
          <w:smallCaps w:val="0"/>
          <w:snapToGrid/>
          <w:color w:val="auto"/>
          <w:spacing w:val="0"/>
          <w:w w:val="100"/>
          <w:kern w:val="0"/>
          <w:sz w:val="24"/>
          <w:szCs w:val="24"/>
          <w:highlight w:val="none"/>
          <w:vertAlign w:val="subscript"/>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＋…q</w:t>
      </w:r>
      <w:r>
        <w:rPr>
          <w:rFonts w:hint="eastAsia" w:cs="Times New Roman"/>
          <w:caps w:val="0"/>
          <w:smallCaps w:val="0"/>
          <w:snapToGrid/>
          <w:color w:val="auto"/>
          <w:spacing w:val="0"/>
          <w:w w:val="100"/>
          <w:kern w:val="0"/>
          <w:sz w:val="24"/>
          <w:szCs w:val="24"/>
          <w:highlight w:val="none"/>
          <w:vertAlign w:val="subscript"/>
          <w:lang w:val="en-US" w:eastAsia="zh-CN" w:bidi="ar-SA"/>
        </w:rPr>
        <w:t>n</w:t>
      </w:r>
      <w:r>
        <w:rPr>
          <w:rFonts w:hint="eastAsia" w:cs="Times New Roman"/>
          <w:caps w:val="0"/>
          <w:smallCaps w:val="0"/>
          <w:snapToGrid/>
          <w:color w:val="auto"/>
          <w:spacing w:val="0"/>
          <w:w w:val="100"/>
          <w:kern w:val="0"/>
          <w:sz w:val="24"/>
          <w:szCs w:val="24"/>
          <w:highlight w:val="none"/>
          <w:lang w:val="en-US" w:eastAsia="zh-CN" w:bidi="ar-SA"/>
        </w:rPr>
        <w:t>/Q</w:t>
      </w:r>
      <w:r>
        <w:rPr>
          <w:rFonts w:hint="eastAsia" w:cs="Times New Roman"/>
          <w:caps w:val="0"/>
          <w:smallCaps w:val="0"/>
          <w:snapToGrid/>
          <w:color w:val="auto"/>
          <w:spacing w:val="0"/>
          <w:w w:val="100"/>
          <w:kern w:val="0"/>
          <w:sz w:val="24"/>
          <w:szCs w:val="24"/>
          <w:highlight w:val="none"/>
          <w:vertAlign w:val="subscript"/>
          <w:lang w:val="en-US" w:eastAsia="zh-CN" w:bidi="ar-SA"/>
        </w:rPr>
        <w:t>n</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式中：q</w:t>
      </w:r>
      <w:r>
        <w:rPr>
          <w:rFonts w:hint="eastAsia" w:cs="Times New Roman"/>
          <w:caps w:val="0"/>
          <w:smallCaps w:val="0"/>
          <w:snapToGrid/>
          <w:color w:val="auto"/>
          <w:spacing w:val="0"/>
          <w:w w:val="100"/>
          <w:kern w:val="0"/>
          <w:sz w:val="24"/>
          <w:szCs w:val="24"/>
          <w:highlight w:val="none"/>
          <w:vertAlign w:val="subscript"/>
          <w:lang w:val="en-US" w:eastAsia="zh-CN" w:bidi="ar-SA"/>
        </w:rPr>
        <w:t>1</w:t>
      </w:r>
      <w:r>
        <w:rPr>
          <w:rFonts w:hint="eastAsia" w:cs="Times New Roman"/>
          <w:caps w:val="0"/>
          <w:smallCaps w:val="0"/>
          <w:snapToGrid/>
          <w:color w:val="auto"/>
          <w:spacing w:val="0"/>
          <w:w w:val="100"/>
          <w:kern w:val="0"/>
          <w:sz w:val="24"/>
          <w:szCs w:val="24"/>
          <w:highlight w:val="none"/>
          <w:lang w:val="en-US" w:eastAsia="zh-CN" w:bidi="ar-SA"/>
        </w:rPr>
        <w:t>，q</w:t>
      </w:r>
      <w:r>
        <w:rPr>
          <w:rFonts w:hint="eastAsia" w:cs="Times New Roman"/>
          <w:caps w:val="0"/>
          <w:smallCaps w:val="0"/>
          <w:snapToGrid/>
          <w:color w:val="auto"/>
          <w:spacing w:val="0"/>
          <w:w w:val="100"/>
          <w:kern w:val="0"/>
          <w:sz w:val="24"/>
          <w:szCs w:val="24"/>
          <w:highlight w:val="none"/>
          <w:vertAlign w:val="subscript"/>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，…，qn——每种危险物质的最大存在总量，t；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Q</w:t>
      </w:r>
      <w:r>
        <w:rPr>
          <w:rFonts w:hint="eastAsia" w:cs="Times New Roman"/>
          <w:caps w:val="0"/>
          <w:smallCaps w:val="0"/>
          <w:snapToGrid/>
          <w:color w:val="auto"/>
          <w:spacing w:val="0"/>
          <w:w w:val="100"/>
          <w:kern w:val="0"/>
          <w:sz w:val="24"/>
          <w:szCs w:val="24"/>
          <w:highlight w:val="none"/>
          <w:vertAlign w:val="subscript"/>
          <w:lang w:val="en-US" w:eastAsia="zh-CN" w:bidi="ar-SA"/>
        </w:rPr>
        <w:t>1</w:t>
      </w:r>
      <w:r>
        <w:rPr>
          <w:rFonts w:hint="eastAsia" w:cs="Times New Roman"/>
          <w:caps w:val="0"/>
          <w:smallCaps w:val="0"/>
          <w:snapToGrid/>
          <w:color w:val="auto"/>
          <w:spacing w:val="0"/>
          <w:w w:val="100"/>
          <w:kern w:val="0"/>
          <w:sz w:val="24"/>
          <w:szCs w:val="24"/>
          <w:highlight w:val="none"/>
          <w:lang w:val="en-US" w:eastAsia="zh-CN" w:bidi="ar-SA"/>
        </w:rPr>
        <w:t>，Q</w:t>
      </w:r>
      <w:r>
        <w:rPr>
          <w:rFonts w:hint="eastAsia" w:cs="Times New Roman"/>
          <w:caps w:val="0"/>
          <w:smallCaps w:val="0"/>
          <w:snapToGrid/>
          <w:color w:val="auto"/>
          <w:spacing w:val="0"/>
          <w:w w:val="100"/>
          <w:kern w:val="0"/>
          <w:sz w:val="24"/>
          <w:szCs w:val="24"/>
          <w:highlight w:val="none"/>
          <w:vertAlign w:val="subscript"/>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，…，Qn——每种危险物质的临界量，t。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当Q＜1时，该项目环境风险潜势为I。</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当Q≥1时，将Q值划分为：（1）1≤Q＜10；（2）10≤Q＜100；（3）Q≥100。</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危险物质数量与临界量比值（Q）的确定：</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5.4-4项目Q值计算表</w:t>
      </w:r>
    </w:p>
    <w:tbl>
      <w:tblPr>
        <w:tblStyle w:val="16"/>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08"/>
        <w:gridCol w:w="1493"/>
        <w:gridCol w:w="1653"/>
        <w:gridCol w:w="1419"/>
        <w:gridCol w:w="1419"/>
        <w:gridCol w:w="14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序号</w:t>
            </w:r>
          </w:p>
        </w:tc>
        <w:tc>
          <w:tcPr>
            <w:tcW w:w="149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存在位置</w:t>
            </w:r>
          </w:p>
        </w:tc>
        <w:tc>
          <w:tcPr>
            <w:tcW w:w="16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危险物质名称</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最大存在总量qn/t</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临界量Qn/t</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Q值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w:t>
            </w:r>
          </w:p>
        </w:tc>
        <w:tc>
          <w:tcPr>
            <w:tcW w:w="149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污油储罐</w:t>
            </w:r>
          </w:p>
        </w:tc>
        <w:tc>
          <w:tcPr>
            <w:tcW w:w="16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158</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2500</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0.0632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w:t>
            </w:r>
          </w:p>
        </w:tc>
        <w:tc>
          <w:tcPr>
            <w:tcW w:w="149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危废暂存间</w:t>
            </w:r>
          </w:p>
        </w:tc>
        <w:tc>
          <w:tcPr>
            <w:tcW w:w="165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废机油</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0.186</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2500</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0.00007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092" w:type="dxa"/>
            <w:gridSpan w:val="5"/>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Cs w:val="24"/>
                <w:highlight w:val="none"/>
                <w:lang w:val="en-US" w:eastAsia="zh-CN"/>
              </w:rPr>
              <w:t>合计</w:t>
            </w:r>
          </w:p>
        </w:tc>
        <w:tc>
          <w:tcPr>
            <w:tcW w:w="141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lang w:val="en-US" w:eastAsia="zh-CN"/>
              </w:rPr>
              <w:t>0.063</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按照《建设项目环境风险评价技术导则》（HJ169-2018）附录表C.2，当Q＜1时，该项目环境风险潜势为I。风险评价工作等级为简单分析。</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（3）评价等级确定</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根据导则中环境风险评价工作等级划分标准，本次环境风险评价工作等级为简单分析。</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表5.4-5项目环境风险评价工作等级划分</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703"/>
        <w:gridCol w:w="1703"/>
        <w:gridCol w:w="1703"/>
        <w:gridCol w:w="1703"/>
        <w:gridCol w:w="170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03"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环境风险潜势</w:t>
            </w:r>
          </w:p>
        </w:tc>
        <w:tc>
          <w:tcPr>
            <w:tcW w:w="1703"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Ⅳ、Ⅳ+</w:t>
            </w:r>
          </w:p>
        </w:tc>
        <w:tc>
          <w:tcPr>
            <w:tcW w:w="1703"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Ⅲ</w:t>
            </w:r>
          </w:p>
        </w:tc>
        <w:tc>
          <w:tcPr>
            <w:tcW w:w="1703"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Ⅱ</w:t>
            </w:r>
          </w:p>
        </w:tc>
        <w:tc>
          <w:tcPr>
            <w:tcW w:w="170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703"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评价工作等级</w:t>
            </w:r>
          </w:p>
        </w:tc>
        <w:tc>
          <w:tcPr>
            <w:tcW w:w="1703"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一</w:t>
            </w:r>
          </w:p>
        </w:tc>
        <w:tc>
          <w:tcPr>
            <w:tcW w:w="1703"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二</w:t>
            </w:r>
          </w:p>
        </w:tc>
        <w:tc>
          <w:tcPr>
            <w:tcW w:w="1703"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三</w:t>
            </w:r>
          </w:p>
        </w:tc>
        <w:tc>
          <w:tcPr>
            <w:tcW w:w="1704" w:type="dxa"/>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简单分析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16" w:type="dxa"/>
            <w:gridSpan w:val="5"/>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a是相对于详细评价工作内容而言，在描述危险物质、环境影响途径、环境危害后果、风险防范措施等方面给出定性的说明。</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5.4.3风险识别</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分析危险物质特性及可能的环境风险类型，识别危险物质影响环境的途径，分析可能影响的环境敏感目标，具体见表5.4-6。</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表5.4-6风险识别表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84"/>
        <w:gridCol w:w="1050"/>
        <w:gridCol w:w="982"/>
        <w:gridCol w:w="887"/>
        <w:gridCol w:w="791"/>
        <w:gridCol w:w="1382"/>
        <w:gridCol w:w="946"/>
        <w:gridCol w:w="1094"/>
        <w:gridCol w:w="80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序号</w:t>
            </w:r>
          </w:p>
        </w:tc>
        <w:tc>
          <w:tcPr>
            <w:tcW w:w="10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危险单元</w:t>
            </w:r>
          </w:p>
        </w:tc>
        <w:tc>
          <w:tcPr>
            <w:tcW w:w="98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风险源</w:t>
            </w:r>
          </w:p>
        </w:tc>
        <w:tc>
          <w:tcPr>
            <w:tcW w:w="8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主要危险物质</w:t>
            </w:r>
          </w:p>
        </w:tc>
        <w:tc>
          <w:tcPr>
            <w:tcW w:w="7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环境风险类型</w:t>
            </w:r>
          </w:p>
        </w:tc>
        <w:tc>
          <w:tcPr>
            <w:tcW w:w="138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环境风险途径</w:t>
            </w:r>
          </w:p>
        </w:tc>
        <w:tc>
          <w:tcPr>
            <w:tcW w:w="9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伴生/次生污染物</w:t>
            </w:r>
          </w:p>
        </w:tc>
        <w:tc>
          <w:tcPr>
            <w:tcW w:w="109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可能影响的环境敏感目标</w:t>
            </w:r>
          </w:p>
        </w:tc>
        <w:tc>
          <w:tcPr>
            <w:tcW w:w="80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w:t>
            </w:r>
          </w:p>
        </w:tc>
        <w:tc>
          <w:tcPr>
            <w:tcW w:w="10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污油储罐</w:t>
            </w:r>
          </w:p>
        </w:tc>
        <w:tc>
          <w:tcPr>
            <w:tcW w:w="98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污油</w:t>
            </w:r>
          </w:p>
        </w:tc>
        <w:tc>
          <w:tcPr>
            <w:tcW w:w="8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原油</w:t>
            </w:r>
          </w:p>
        </w:tc>
        <w:tc>
          <w:tcPr>
            <w:tcW w:w="791"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泄漏</w:t>
            </w:r>
          </w:p>
        </w:tc>
        <w:tc>
          <w:tcPr>
            <w:tcW w:w="1382"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污染区域地下水及土壤环境；遇到明火可能发生火灾爆炸事故</w:t>
            </w:r>
          </w:p>
        </w:tc>
        <w:tc>
          <w:tcPr>
            <w:tcW w:w="94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二氧化硫、碳氢化合物蒸气、一氧化碳、硫醇、苯并芘等</w:t>
            </w:r>
          </w:p>
        </w:tc>
        <w:tc>
          <w:tcPr>
            <w:tcW w:w="1094"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主要影响泄漏点附近的员工，站址附近村屯</w:t>
            </w:r>
          </w:p>
        </w:tc>
        <w:tc>
          <w:tcPr>
            <w:tcW w:w="80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8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w:t>
            </w:r>
          </w:p>
        </w:tc>
        <w:tc>
          <w:tcPr>
            <w:tcW w:w="10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危废暂存间</w:t>
            </w:r>
          </w:p>
        </w:tc>
        <w:tc>
          <w:tcPr>
            <w:tcW w:w="98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废机油</w:t>
            </w:r>
          </w:p>
        </w:tc>
        <w:tc>
          <w:tcPr>
            <w:tcW w:w="88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w:t>
            </w:r>
            <w:r>
              <w:rPr>
                <w:rFonts w:hint="eastAsia" w:ascii="Times New Roman" w:hAnsi="Times New Roman" w:eastAsia="宋体" w:cs="Times New Roman"/>
                <w:color w:val="auto"/>
                <w:sz w:val="21"/>
                <w:szCs w:val="21"/>
                <w:highlight w:val="none"/>
                <w:vertAlign w:val="baseline"/>
                <w:lang w:val="en-US" w:eastAsia="zh-CN"/>
              </w:rPr>
              <w:t>矿物油</w:t>
            </w:r>
          </w:p>
        </w:tc>
        <w:tc>
          <w:tcPr>
            <w:tcW w:w="79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382"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94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09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80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bl>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5.4.4事故状态下对大气环境的影响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运行期储罐原油、危废暂存间废矿物油泄漏会对空气环境造成直接污染影响，并且遇到明火可能发生火灾爆炸事故。原油或矿物油泄漏对大气环境的影响主要指原油中较轻组分（包括各种烃类气体）逐渐挥发进入大气造成烃类污染。如果泄漏的原油得不到及时处理，则烃类组分的挥发过程将持续较长时间，直到剩下较重的多环芳烃及沥青等物质。</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同时若油类物质遇到明火可能发生火灾爆炸事故，油类物质先起燃，开始分解释放可燃气体，接下来发生氧化反应，释放大量热量，最后为热传递过程，进行传导、对流和辐射，石油燃烧过程产生二氧化硫、碳氢化合物蒸气、一氧化碳、硫醇、苯并芘等</w:t>
      </w:r>
      <w:r>
        <w:rPr>
          <w:rFonts w:hint="eastAsia" w:cs="Times New Roman"/>
          <w:caps w:val="0"/>
          <w:smallCaps w:val="0"/>
          <w:snapToGrid/>
          <w:color w:val="auto"/>
          <w:spacing w:val="0"/>
          <w:w w:val="100"/>
          <w:kern w:val="0"/>
          <w:sz w:val="24"/>
          <w:szCs w:val="24"/>
          <w:highlight w:val="none"/>
          <w:lang w:val="en-US" w:eastAsia="zh-CN" w:bidi="ar-SA"/>
        </w:rPr>
        <w:t>污染物</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根据调查，多环芳烃在空气中超过一定浓度范围则会致人与动物癌变，通常苯并芘在空气中的浓度为0.01～100μg/1000m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超过这个范围时，则对在其环境中工作的人员有致癌作用。因油类物质泄漏而造成的大气污染的程度，一般取决于原油成份、泄漏量、覆盖面积、气温及持续时间等。油类物质泄漏量越多、覆盖面积越大、气温越高、持续时间越长，则因此而造成的烃类气体污染也越严重。反之，则污染相对较轻。若遇明火，引发的火灾爆炸事故可在短时间内产生大量燃烧烟气，对大气环境造成短时间的严重污染。</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5.4.5事故状态下对地表水影响分析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本项目污油储罐区设置围堰，防火堤及雨水切换阀等装置，围堰高度1.5m；污油储罐区及危废暂存间均进行重点防渗。当发生泄漏、火灾事故时，立即关闭厂区雨水总排口阀门，将</w:t>
      </w:r>
      <w:r>
        <w:rPr>
          <w:rFonts w:hint="eastAsia" w:cs="Times New Roman"/>
          <w:caps w:val="0"/>
          <w:smallCaps w:val="0"/>
          <w:snapToGrid/>
          <w:color w:val="auto"/>
          <w:spacing w:val="0"/>
          <w:w w:val="100"/>
          <w:kern w:val="0"/>
          <w:sz w:val="24"/>
          <w:szCs w:val="24"/>
          <w:highlight w:val="none"/>
          <w:lang w:val="en-US" w:eastAsia="zh-CN" w:bidi="ar-SA"/>
        </w:rPr>
        <w:t>事故</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废水导入事故池暂存，交由有资质单位进行处置，不外排。避免对厂区外部地表水、地下水环境造成污染，除特殊情况下（如自然灾害）不存在</w:t>
      </w:r>
      <w:r>
        <w:rPr>
          <w:rFonts w:hint="eastAsia" w:cs="Times New Roman"/>
          <w:caps w:val="0"/>
          <w:smallCaps w:val="0"/>
          <w:snapToGrid/>
          <w:color w:val="auto"/>
          <w:spacing w:val="0"/>
          <w:w w:val="100"/>
          <w:kern w:val="0"/>
          <w:sz w:val="24"/>
          <w:szCs w:val="24"/>
          <w:highlight w:val="none"/>
          <w:lang w:val="en-US" w:eastAsia="zh-CN" w:bidi="ar-SA"/>
        </w:rPr>
        <w:t>事故</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废水进入地下水环境的可能性。</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项目运行期间，通过站内长输泵站将待深度处理的废水压入输液管道，泵房内设有压力表，一旦发生泄漏压力即发生变化，并报警。管道材质为钢丝网骨架塑料（聚乙烯）复合管，耐磨耐腐蚀。</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通知巡检人员和应急车辆前往现场进行处置，使用放置在附近村屯住宅内的近应急物资，在管道泄漏口处采用沙包、装土编织袋等拦截措施阻拦外溢废水，切断废水与坑塘、沟渠、农田等之间的泄漏途径，并于阀门下方挖一处土坑用于放置水桶，挖出的表土置于旁边，应急措施完成后，待废水拉运罐车到达现场后，打开阀门将管道内的废水排入桶中，同时使用水泵将桶中的液体抽入罐车中运往废水处理站。在管道检修后替换新的管道，确保无问题后再重新开始废水的输送。</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5.4.6事故状态下对地下水影响分析</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本项目地下水环境风险为简单分析，根据</w:t>
      </w:r>
      <w:r>
        <w:rPr>
          <w:rFonts w:hint="eastAsia" w:cs="Times New Roman"/>
          <w:caps w:val="0"/>
          <w:smallCaps w:val="0"/>
          <w:snapToGrid/>
          <w:color w:val="auto"/>
          <w:spacing w:val="0"/>
          <w:w w:val="100"/>
          <w:kern w:val="0"/>
          <w:sz w:val="24"/>
          <w:szCs w:val="24"/>
          <w:highlight w:val="none"/>
          <w:lang w:val="en-US" w:eastAsia="zh-CN" w:bidi="ar-SA"/>
        </w:rPr>
        <w:t>地下水</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非正常状况下环境影响预测章节预测结果，事故状态下在污水泄漏后，随着时间增加，污染范围有所增加</w:t>
      </w:r>
      <w:r>
        <w:rPr>
          <w:rFonts w:hint="eastAsia" w:cs="Times New Roman"/>
          <w:caps w:val="0"/>
          <w:smallCaps w:val="0"/>
          <w:snapToGrid/>
          <w:color w:val="auto"/>
          <w:spacing w:val="0"/>
          <w:w w:val="100"/>
          <w:kern w:val="0"/>
          <w:sz w:val="24"/>
          <w:szCs w:val="24"/>
          <w:highlight w:val="none"/>
          <w:lang w:val="en-US" w:eastAsia="zh-CN" w:bidi="ar-SA"/>
        </w:rPr>
        <w:t>。若发生物料泄漏事故，主要对区域潜水含水层进行影响。根据预测结果，物料泄漏1000d后，</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最远超标距离为下游</w:t>
      </w:r>
      <w:r>
        <w:rPr>
          <w:rFonts w:hint="eastAsia" w:cs="Times New Roman"/>
          <w:caps w:val="0"/>
          <w:smallCaps w:val="0"/>
          <w:snapToGrid/>
          <w:color w:val="auto"/>
          <w:spacing w:val="0"/>
          <w:w w:val="100"/>
          <w:kern w:val="0"/>
          <w:sz w:val="24"/>
          <w:szCs w:val="24"/>
          <w:highlight w:val="none"/>
          <w:lang w:val="en-US" w:eastAsia="zh-CN" w:bidi="ar-SA"/>
        </w:rPr>
        <w:t>61</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m</w:t>
      </w:r>
      <w:r>
        <w:rPr>
          <w:rFonts w:hint="eastAsia"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w:t>
      </w:r>
      <w:r>
        <w:rPr>
          <w:rFonts w:hint="eastAsia" w:cs="Times New Roman"/>
          <w:caps w:val="0"/>
          <w:smallCaps w:val="0"/>
          <w:snapToGrid/>
          <w:color w:val="auto"/>
          <w:spacing w:val="0"/>
          <w:w w:val="100"/>
          <w:kern w:val="0"/>
          <w:sz w:val="24"/>
          <w:szCs w:val="24"/>
          <w:highlight w:val="none"/>
          <w:lang w:val="en-US" w:eastAsia="zh-CN" w:bidi="ar-SA"/>
        </w:rPr>
        <w:t>区域水文地质情况及</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现场踏查可知，</w:t>
      </w:r>
      <w:r>
        <w:rPr>
          <w:rFonts w:hint="eastAsia" w:cs="Times New Roman"/>
          <w:caps w:val="0"/>
          <w:smallCaps w:val="0"/>
          <w:snapToGrid/>
          <w:color w:val="auto"/>
          <w:spacing w:val="0"/>
          <w:w w:val="100"/>
          <w:kern w:val="0"/>
          <w:sz w:val="24"/>
          <w:szCs w:val="24"/>
          <w:highlight w:val="none"/>
          <w:lang w:val="en-US" w:eastAsia="zh-CN" w:bidi="ar-SA"/>
        </w:rPr>
        <w:t>区域潜水含水层地下水流向为由北向南，距离本项目废水处理服务站站址下游地下水方向村屯为南岗子饮用水井，最近距离为4.34km，取水层为承压水层；距离输液管道最近村屯饮用水井河北村水井605m，取水层为承压水层。本项目采取分区防渗、定期监测等措施，减少事故的发生。</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5.4.</w:t>
      </w:r>
      <w:r>
        <w:rPr>
          <w:rFonts w:hint="eastAsia" w:cs="Times New Roman"/>
          <w:caps w:val="0"/>
          <w:smallCaps w:val="0"/>
          <w:snapToGrid/>
          <w:color w:val="auto"/>
          <w:spacing w:val="0"/>
          <w:w w:val="100"/>
          <w:kern w:val="0"/>
          <w:sz w:val="24"/>
          <w:szCs w:val="24"/>
          <w:highlight w:val="none"/>
          <w:lang w:val="en-US" w:eastAsia="zh-CN" w:bidi="ar-SA"/>
        </w:rPr>
        <w:t>7</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事故状态下对土壤环境的影响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本项目事故状态下池体或者</w:t>
      </w:r>
      <w:r>
        <w:rPr>
          <w:rFonts w:hint="eastAsia" w:cs="Times New Roman"/>
          <w:caps w:val="0"/>
          <w:smallCaps w:val="0"/>
          <w:snapToGrid/>
          <w:color w:val="auto"/>
          <w:spacing w:val="0"/>
          <w:w w:val="100"/>
          <w:kern w:val="0"/>
          <w:sz w:val="24"/>
          <w:szCs w:val="24"/>
          <w:highlight w:val="none"/>
          <w:lang w:val="en-US" w:eastAsia="zh-CN" w:bidi="ar-SA"/>
        </w:rPr>
        <w:t>管道</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内废水泄漏，其中石油类渗入土壤孔隙，会降低土壤的通透性，抑制土壤中酶活性，使土壤生物减少。一般而言，石油类污染物集中于土壤表层0~</w:t>
      </w:r>
      <w:r>
        <w:rPr>
          <w:rFonts w:hint="eastAsia" w:cs="Times New Roman"/>
          <w:caps w:val="0"/>
          <w:smallCaps w:val="0"/>
          <w:snapToGrid/>
          <w:color w:val="auto"/>
          <w:spacing w:val="0"/>
          <w:w w:val="100"/>
          <w:kern w:val="0"/>
          <w:sz w:val="24"/>
          <w:szCs w:val="24"/>
          <w:highlight w:val="none"/>
          <w:lang w:val="en-US" w:eastAsia="zh-CN" w:bidi="ar-SA"/>
        </w:rPr>
        <w:t>4</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0cm的范围内，使得根系分布于此深度的植物不能生长，石油类对土壤的污染，可使土地肥力下降，改变土壤的理化性质，影响局部区域土壤正常的结构和功能。</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5.4.</w:t>
      </w:r>
      <w:r>
        <w:rPr>
          <w:rFonts w:hint="eastAsia" w:cs="Times New Roman"/>
          <w:caps w:val="0"/>
          <w:smallCaps w:val="0"/>
          <w:snapToGrid/>
          <w:color w:val="auto"/>
          <w:spacing w:val="0"/>
          <w:w w:val="100"/>
          <w:kern w:val="0"/>
          <w:sz w:val="24"/>
          <w:szCs w:val="24"/>
          <w:highlight w:val="none"/>
          <w:lang w:val="en-US" w:eastAsia="zh-CN" w:bidi="ar-SA"/>
        </w:rPr>
        <w:t>8</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事故状态下对生态环境的影响</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该项目区域内的生态系统主要是</w:t>
      </w:r>
      <w:r>
        <w:rPr>
          <w:rFonts w:hint="eastAsia" w:cs="Times New Roman"/>
          <w:caps w:val="0"/>
          <w:smallCaps w:val="0"/>
          <w:snapToGrid/>
          <w:color w:val="auto"/>
          <w:spacing w:val="0"/>
          <w:w w:val="100"/>
          <w:kern w:val="0"/>
          <w:sz w:val="24"/>
          <w:szCs w:val="24"/>
          <w:highlight w:val="none"/>
          <w:lang w:val="en-US" w:eastAsia="zh-CN" w:bidi="ar-SA"/>
        </w:rPr>
        <w:t>农田生态系统；</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大量含油污水泄漏</w:t>
      </w:r>
      <w:r>
        <w:rPr>
          <w:rFonts w:hint="eastAsia" w:cs="Times New Roman"/>
          <w:caps w:val="0"/>
          <w:smallCaps w:val="0"/>
          <w:snapToGrid/>
          <w:color w:val="auto"/>
          <w:spacing w:val="0"/>
          <w:w w:val="100"/>
          <w:kern w:val="0"/>
          <w:sz w:val="24"/>
          <w:szCs w:val="24"/>
          <w:highlight w:val="none"/>
          <w:lang w:val="en-US" w:eastAsia="zh-CN" w:bidi="ar-SA"/>
        </w:rPr>
        <w:t>会对农田产生严重</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影响，其危害最大的是</w:t>
      </w:r>
      <w:r>
        <w:rPr>
          <w:rFonts w:hint="eastAsia" w:cs="Times New Roman"/>
          <w:caps w:val="0"/>
          <w:smallCaps w:val="0"/>
          <w:snapToGrid/>
          <w:color w:val="auto"/>
          <w:spacing w:val="0"/>
          <w:w w:val="100"/>
          <w:kern w:val="0"/>
          <w:sz w:val="24"/>
          <w:szCs w:val="24"/>
          <w:highlight w:val="none"/>
          <w:lang w:val="en-US" w:eastAsia="zh-CN" w:bidi="ar-SA"/>
        </w:rPr>
        <w:t>农作物，</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含油物质黏附于枝叶上，就会影响植物的光合作用，可使</w:t>
      </w:r>
      <w:r>
        <w:rPr>
          <w:rFonts w:hint="eastAsia" w:cs="Times New Roman"/>
          <w:caps w:val="0"/>
          <w:smallCaps w:val="0"/>
          <w:snapToGrid/>
          <w:color w:val="auto"/>
          <w:spacing w:val="0"/>
          <w:w w:val="100"/>
          <w:kern w:val="0"/>
          <w:sz w:val="24"/>
          <w:szCs w:val="24"/>
          <w:highlight w:val="none"/>
          <w:lang w:val="en-US" w:eastAsia="zh-CN" w:bidi="ar-SA"/>
        </w:rPr>
        <w:t>农作物</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枯萎死亡；含油污水喷溅到植物上或散落到土壤中，黏附于植物根系，可阻止植物吸收水分和矿物质，致植物死亡，通过根系吸收，</w:t>
      </w:r>
      <w:r>
        <w:rPr>
          <w:rFonts w:hint="eastAsia" w:cs="Times New Roman"/>
          <w:caps w:val="0"/>
          <w:smallCaps w:val="0"/>
          <w:snapToGrid/>
          <w:color w:val="auto"/>
          <w:spacing w:val="0"/>
          <w:w w:val="100"/>
          <w:kern w:val="0"/>
          <w:sz w:val="24"/>
          <w:szCs w:val="24"/>
          <w:highlight w:val="none"/>
          <w:lang w:val="en-US" w:eastAsia="zh-CN" w:bidi="ar-SA"/>
        </w:rPr>
        <w:t>造成食品安全问题，同时农作物死亡产量下降。</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5.4.</w:t>
      </w:r>
      <w:r>
        <w:rPr>
          <w:rFonts w:hint="eastAsia" w:cs="Times New Roman"/>
          <w:caps w:val="0"/>
          <w:smallCaps w:val="0"/>
          <w:snapToGrid/>
          <w:color w:val="auto"/>
          <w:spacing w:val="0"/>
          <w:w w:val="100"/>
          <w:kern w:val="0"/>
          <w:sz w:val="24"/>
          <w:szCs w:val="24"/>
          <w:highlight w:val="none"/>
          <w:lang w:val="en-US" w:eastAsia="zh-CN" w:bidi="ar-SA"/>
        </w:rPr>
        <w:t>8</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环境风险影响评价结论</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可能发生生产设备故障、运输过程及贮存过程中泄漏事故。企业应从建设、运行等方面强化管理，不断完善防范措施和应急预案及响应体系，做好厂区防控，将项目环境风险控制在最小范围内，坚决杜绝项目</w:t>
      </w:r>
      <w:r>
        <w:rPr>
          <w:rFonts w:hint="eastAsia" w:cs="Times New Roman"/>
          <w:caps w:val="0"/>
          <w:smallCaps w:val="0"/>
          <w:snapToGrid/>
          <w:color w:val="auto"/>
          <w:spacing w:val="0"/>
          <w:w w:val="100"/>
          <w:kern w:val="0"/>
          <w:sz w:val="24"/>
          <w:szCs w:val="24"/>
          <w:highlight w:val="none"/>
          <w:lang w:val="en-US" w:eastAsia="zh-CN" w:bidi="ar-SA"/>
        </w:rPr>
        <w:t>废水</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直接排放进入</w:t>
      </w:r>
      <w:r>
        <w:rPr>
          <w:rFonts w:hint="eastAsia" w:cs="Times New Roman"/>
          <w:caps w:val="0"/>
          <w:smallCaps w:val="0"/>
          <w:snapToGrid/>
          <w:color w:val="auto"/>
          <w:spacing w:val="0"/>
          <w:w w:val="100"/>
          <w:kern w:val="0"/>
          <w:sz w:val="24"/>
          <w:szCs w:val="24"/>
          <w:highlight w:val="none"/>
          <w:lang w:val="en-US" w:eastAsia="zh-CN" w:bidi="ar-SA"/>
        </w:rPr>
        <w:t>外</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环境。在认真落实防范措施和应急预案的情况下，项目运行是安全的，即使发生了事故，也会将损失降低到最小程度。本项目采用成熟的工艺及有效的污染防治措施，正常情况下污染物能够达到环保相关要求，对环境影响可接受。</w:t>
      </w:r>
    </w:p>
    <w:p>
      <w:pPr>
        <w:rPr>
          <w:rFonts w:hint="eastAsia"/>
          <w:color w:val="auto"/>
          <w:highlight w:val="none"/>
          <w:lang w:val="en-US" w:eastAsia="zh-CN"/>
        </w:rPr>
      </w:pPr>
      <w:r>
        <w:rPr>
          <w:rFonts w:hint="eastAsia"/>
          <w:color w:val="auto"/>
          <w:highlight w:val="none"/>
          <w:lang w:val="en-US" w:eastAsia="zh-CN"/>
        </w:rPr>
        <w:br w:type="page"/>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09" w:name="_Toc25844"/>
      <w:bookmarkStart w:id="1210" w:name="_Toc30251"/>
      <w:r>
        <w:rPr>
          <w:rFonts w:hint="eastAsia" w:ascii="Times New Roman" w:hAnsi="Times New Roman" w:eastAsia="宋体" w:cs="Times New Roman"/>
          <w:snapToGrid/>
          <w:color w:val="auto"/>
          <w:sz w:val="32"/>
          <w:highlight w:val="none"/>
          <w:lang w:val="en-US" w:eastAsia="zh-CN" w:bidi="ar-SA"/>
        </w:rPr>
        <w:t>6环境保护设施、措施分析与论证</w:t>
      </w:r>
      <w:bookmarkEnd w:id="1209"/>
      <w:bookmarkEnd w:id="1210"/>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11" w:name="_Toc6392"/>
      <w:r>
        <w:rPr>
          <w:rFonts w:hint="eastAsia" w:ascii="Times New Roman" w:hAnsi="Times New Roman" w:eastAsia="宋体" w:cs="Times New Roman"/>
          <w:snapToGrid/>
          <w:color w:val="auto"/>
          <w:sz w:val="32"/>
          <w:highlight w:val="none"/>
          <w:lang w:val="en-US" w:eastAsia="zh-CN" w:bidi="ar-SA"/>
        </w:rPr>
        <w:t>6.1废气污染防治措施及其可行性论证</w:t>
      </w:r>
      <w:bookmarkEnd w:id="1211"/>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6.1.1施工扬尘污染防治措施</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施工期废气主要为施工扬尘，施工设备和运输车辆尾气，焊接烟尘。施工过程中采取以下污染防治措施：</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（1）施工扬尘污染防治措施</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对施工作业面进行洒水抑尘</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遇大风天气停止土方作业</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②</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开挖土方集中堆放在背风侧，不宜堆积过久、过高，且应及时回填，不能及时清运的，必须适时采取洒水</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抑尘</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、遮盖等措施，防止二次扬尘；散装物料集中堆置，并采取遮盖或围栏等防扬散、防泄漏、防渗漏措施</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③</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严禁运输建筑材料和设备的车辆超载行驶；</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运输建筑材料和设备的车辆严禁超载，运输土方的车辆必须采取加盖篷布等防尘措施，防止物料沿途抛撒导致二次扬尘。</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④利用现有道路；道路选线尽量考虑居民区的避让，优选选择已有的乡间土路，减少对未有路径土地的碾压，减少植被破坏，造成的表土裸露，可有效减少运输产生的道路扬尘。</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⑤运输车辆在通过路况较差或居民区集中的路段时，应减速慢行，避免扬尘污染。</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⑥</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管</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道</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尽可能沿道路走向设计，以避免施工活动对</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占地外</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土地和地表植被的扰动</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⑦</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严格控制施工占地，控制施工作业带宽度</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；避免对占地外土壤产生扰动。</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⑧管沟开挖时，施工人员应该低抛；对于管沟开挖的中心土层土，及时拉运至制定地点，减少堆存时间。</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施工期采取以上大气污染防治措施后，能够确保施工场界颗粒物浓度满足《大气污染物综合排放标准》（GB16297-1996）中表2无组织排放监控浓度限值要求，随着施工期的结束，影响将会消失，施工扬尘污染防治措施可行。</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（2）施工设备和运输车辆尾气</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车辆尾气含有NO</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X</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、CO、HC等污染物，一般情况下，各种污染物的排放量不大，对周围环境的影响较小。本项目施工区域平坦开阔，施工机械等在野外作业区时有利于尾气扩散，不会对环境产生污染。</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加强对运输车辆的保养及维护，保证发动机正常运行，使汽车燃料充分燃烧，合理设计施工进出口道路，保证车辆能够迅速的进出而减少怠速时间，减少汽车尾气的排放量。</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（3）焊接烟尘</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本项目站址厂房建设需要焊接作业；焊接过程中会产生少量焊接烟气，焊接烟气中有毒有害气体的成份主要为CO、CO₂、O₃、NOx、CH</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4</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等，其中以CO</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所占的比例最大，但由于项目焊接工程量较少，产生的焊接烟尘量较小，且项目位于室外，空气扩散条件较好，对大气环境影响较小。</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6.1.2运行期废气污染防治措施</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本项目运行期间废气主要为废水及</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处置过程</w:t>
      </w:r>
      <w:r>
        <w:rPr>
          <w:rFonts w:hint="eastAsia" w:cs="Times New Roman"/>
          <w:caps w:val="0"/>
          <w:smallCaps w:val="0"/>
          <w:snapToGrid/>
          <w:color w:val="auto"/>
          <w:spacing w:val="0"/>
          <w:w w:val="100"/>
          <w:kern w:val="0"/>
          <w:sz w:val="24"/>
          <w:szCs w:val="24"/>
          <w:highlight w:val="none"/>
          <w:lang w:val="en-US" w:eastAsia="zh-CN" w:bidi="ar-SA"/>
        </w:rPr>
        <w:t>中</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产生的恶臭气体</w:t>
      </w:r>
      <w:r>
        <w:rPr>
          <w:rFonts w:hint="eastAsia"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废水及</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处置过程</w:t>
      </w:r>
      <w:r>
        <w:rPr>
          <w:rFonts w:hint="eastAsia" w:cs="Times New Roman"/>
          <w:caps w:val="0"/>
          <w:smallCaps w:val="0"/>
          <w:snapToGrid/>
          <w:color w:val="auto"/>
          <w:spacing w:val="0"/>
          <w:w w:val="100"/>
          <w:kern w:val="0"/>
          <w:sz w:val="24"/>
          <w:szCs w:val="24"/>
          <w:highlight w:val="none"/>
          <w:lang w:val="en-US" w:eastAsia="zh-CN" w:bidi="ar-SA"/>
        </w:rPr>
        <w:t>中，污油储罐呼吸挥发及处理达标水无组织产生的挥发性气体，</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挥发性气体及食堂产生的饮食业油烟。</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6.1.2.1恶臭防治措施可行性分析</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（1）除臭工艺</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恶臭气体中主要污染物为NH</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、H</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S和臭气浓度，产臭工段主要为废水</w:t>
      </w:r>
      <w:r>
        <w:rPr>
          <w:rFonts w:hint="eastAsia" w:cs="Times New Roman"/>
          <w:caps w:val="0"/>
          <w:smallCaps w:val="0"/>
          <w:snapToGrid/>
          <w:color w:val="auto"/>
          <w:spacing w:val="0"/>
          <w:w w:val="100"/>
          <w:kern w:val="0"/>
          <w:sz w:val="24"/>
          <w:szCs w:val="24"/>
          <w:highlight w:val="none"/>
          <w:lang w:val="en-US" w:eastAsia="zh-CN" w:bidi="ar-SA"/>
        </w:rPr>
        <w:t>及污泥处置</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工序。</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采取产臭的池体均布设在密闭的厂房内，并通过负压收集，送至集中式的除臭装置处置，本次选用离子除臭设施进行处理，处理达标后通过15m排气筒排放。离子除臭设施具备设备简单、除臭效果好、占地小、运行灵活、现场安装及管理方便等优点。</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（2）恶臭防治措施及可行性</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①臭气成分</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在废水处理及</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处置工艺过程中产生气味的物质主要由碳、氮和硫元素组成。大多数的气味物质是有机物，只有少数的气味物质是无机化合物。据有关资料介绍，主要成分为氨和硫化氢。</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②离子除臭工艺原理</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离子法除臭设备主要包含主反应器，光触媒反应导入装置。废气经过收集系统收集后进入离子催化氧化废气处理合成系统，离子反应导入装置对主反应器产生离子，在其内部的价电子被激发跨过禁带跃入导带，生成的电子空穴被导入主反应器内，并扩散到反应器内过滤板的二氧化钛表面上，穿过界面与吸附在过滤板上的物质发生氧化还原反应。其空穴能量7.5eV，氧化电位+3.0V，具有极强的氧化能力，能够氧化有机化合物，达到完全矿化的程度，生成二氧化碳、水和无机物。处理后的废气继续进入水洗塔，与水反应生成羟基自由基，电子具有还原性，能与氧分子发生还原反应生成过氧自由基，这些自由基具有很强的氧化能力，也能够氧化有机物。从而使得废气达到完全的净化，达标排放。</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③可行性论证</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离子除臭现为成熟工艺，污染物去除效率可达95%以上，本次污染物去除效率以95%计。对比生物除臭法（生物过滤法、生物洗涤法）及化学吸收法，离子除臭工艺设备较少，运行维护成本较低，处理效率稳定，同时无二次污染，无其他废气及危险废物产生，对比生物除臭法及化学吸收法更具有优势及可行性，同时对照《城镇污水处理厂臭气处理技术规程》（CJJ/T243-2016），离子除臭技术为等离子体除臭，为可行性措施。</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根据预测结果，恶臭气体15m排气筒NH</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和H</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S</w:t>
      </w:r>
      <w:r>
        <w:rPr>
          <w:rFonts w:hint="eastAsia" w:cs="Times New Roman"/>
          <w:caps w:val="0"/>
          <w:smallCaps w:val="0"/>
          <w:snapToGrid/>
          <w:color w:val="auto"/>
          <w:spacing w:val="0"/>
          <w:w w:val="100"/>
          <w:kern w:val="0"/>
          <w:sz w:val="24"/>
          <w:szCs w:val="24"/>
          <w:highlight w:val="none"/>
          <w:lang w:val="en-US" w:eastAsia="zh-CN" w:bidi="ar-SA"/>
        </w:rPr>
        <w:t>、臭气浓度</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排放量满足《恶臭污染物排放标准》（GB14554-93）表2限值要求。服务站厂界NH</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、H</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S</w:t>
      </w:r>
      <w:r>
        <w:rPr>
          <w:rFonts w:hint="eastAsia" w:cs="Times New Roman"/>
          <w:caps w:val="0"/>
          <w:smallCaps w:val="0"/>
          <w:snapToGrid/>
          <w:color w:val="auto"/>
          <w:spacing w:val="0"/>
          <w:w w:val="100"/>
          <w:kern w:val="0"/>
          <w:sz w:val="24"/>
          <w:szCs w:val="24"/>
          <w:highlight w:val="none"/>
          <w:lang w:val="en-US" w:eastAsia="zh-CN" w:bidi="ar-SA"/>
        </w:rPr>
        <w:t>、臭气浓度</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满足《恶臭污染物排放标准》（GB14554-93）表1二级厂界标准值要求。</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6.1.2.2挥发性气体管控</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本项目运行期间产生的挥发性气体均为无组织排放，主要污染物为非甲烷总烃，。本项目运行期间采取以下治理防范措施：</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①</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项目建设卸车平台、预处理车间均为封闭式构建物；卸车平台内的均质池为地下储池，顶部</w:t>
      </w:r>
      <w:r>
        <w:rPr>
          <w:rFonts w:hint="eastAsia" w:cs="Times New Roman"/>
          <w:caps w:val="0"/>
          <w:smallCaps w:val="0"/>
          <w:snapToGrid/>
          <w:color w:val="auto"/>
          <w:spacing w:val="0"/>
          <w:w w:val="100"/>
          <w:kern w:val="0"/>
          <w:sz w:val="24"/>
          <w:szCs w:val="24"/>
          <w:highlight w:val="none"/>
          <w:lang w:val="en-US" w:eastAsia="zh-CN" w:bidi="ar-SA"/>
        </w:rPr>
        <w:t>加盖密封</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，从源头上较少挥发性气体逸散；</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②</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预处理车间内设置</w:t>
      </w:r>
      <w:r>
        <w:rPr>
          <w:rFonts w:hint="eastAsia" w:cs="Times New Roman"/>
          <w:caps w:val="0"/>
          <w:smallCaps w:val="0"/>
          <w:snapToGrid/>
          <w:color w:val="auto"/>
          <w:spacing w:val="0"/>
          <w:w w:val="100"/>
          <w:kern w:val="0"/>
          <w:sz w:val="24"/>
          <w:szCs w:val="24"/>
          <w:highlight w:val="none"/>
          <w:lang w:val="en-US" w:eastAsia="zh-CN" w:bidi="ar-SA"/>
        </w:rPr>
        <w:t>污泥池</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、小型储液池及污油池，均采取加盖措施；</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③</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经卸车槽及均质池均质调节过的废水通过地埋管道进入预处理车间进行处理；废水处置过程中产生的污油均通过管输、泵送的方式进入污油储罐区暂存，均为密闭输送，减少废水、污油输送产生的挥发性气体。</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④</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污油暂存在站内污油储罐内，脱水处理后的</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密封暂存在危废暂存间内，为减少存储期间挥发性气体逸散，减少在站内存储时间；计划</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每月拉运一次，污油每月拉运2次。</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⑤</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同时污油、含油类危险废物在进行外输、拉运时，均采取密闭罐车或者厢式车量进行运输。</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⑥因本项目</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建设的站内</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储液池仅作为处理合格待回用的中水临时存储设施，存储时间较短，储液池采取“曝气+密闭收集工艺”，增加池内水体中氧含量，减少恶臭气体的产生。同时为减少站内尾水存放时间，处理达标后的尾水应立即回用，不可过长时间贮存。</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综上所述，采取以上污染防治措施后，本项目</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站址内</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非甲烷总烃满足《挥发性有机物无组织排放控制标准》（GB37822-2019）附录A</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限值要求；</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厂界非甲烷总烃满足《大气污染物综合排放标准》（GB16297-1996）表2标准中无组织排放监控浓度限制要求。</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6.1.2.3食堂油烟</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新建食堂为小型规模，食堂油烟经集气罩负压收集后，通过油烟净化器进行处置，通过专用烟道屋顶排气筒排放。油烟净化器净化效率不低于60%，油烟净化器最低处理效率及油烟排放浓度均能够达到《饮食业油烟排放标准（试行）》（GB18483-2001）小型规模食堂要求。</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6.1.2.4跟踪监测</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根据《环境影响评价技术导则 大气环境》（HJ2.2-2018）“二级评价项目，按《排污单位自行监测技术指南 总则》（HJ819-2017）要求”，同时结合</w:t>
      </w:r>
      <w:r>
        <w:rPr>
          <w:rFonts w:hint="eastAsia" w:cs="Times New Roman"/>
          <w:caps w:val="0"/>
          <w:smallCaps w:val="0"/>
          <w:snapToGrid/>
          <w:color w:val="auto"/>
          <w:spacing w:val="0"/>
          <w:w w:val="100"/>
          <w:kern w:val="0"/>
          <w:sz w:val="24"/>
          <w:szCs w:val="24"/>
          <w:highlight w:val="none"/>
          <w:lang w:val="en-US" w:eastAsia="zh-CN" w:bidi="ar-SA"/>
        </w:rPr>
        <w:t>《排污许可证申请与核发技术规范 水处理通用工序》（HJ1120-2020）、</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《排污单位自行监测技术指南 水处理》（HJ1083-2020），提出项目在生产运行阶段的污染源监测计划大气环境监测计划，本项目污染源监测计划见“环境管理与监测计划”章节。</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6.1-1</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环境空气监测计划表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54"/>
        <w:gridCol w:w="1432"/>
        <w:gridCol w:w="2199"/>
        <w:gridCol w:w="1380"/>
        <w:gridCol w:w="1637"/>
        <w:gridCol w:w="121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序号</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监测点位</w:t>
            </w:r>
          </w:p>
        </w:tc>
        <w:tc>
          <w:tcPr>
            <w:tcW w:w="219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坐标（°）</w:t>
            </w:r>
          </w:p>
        </w:tc>
        <w:tc>
          <w:tcPr>
            <w:tcW w:w="13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功能区</w:t>
            </w:r>
          </w:p>
        </w:tc>
        <w:tc>
          <w:tcPr>
            <w:tcW w:w="163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监测因子</w:t>
            </w:r>
          </w:p>
        </w:tc>
        <w:tc>
          <w:tcPr>
            <w:tcW w:w="12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发展村</w:t>
            </w:r>
          </w:p>
        </w:tc>
        <w:tc>
          <w:tcPr>
            <w:tcW w:w="219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124.264707210,45.739282220</w:t>
            </w:r>
          </w:p>
        </w:tc>
        <w:tc>
          <w:tcPr>
            <w:tcW w:w="13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二类</w:t>
            </w:r>
          </w:p>
        </w:tc>
        <w:tc>
          <w:tcPr>
            <w:tcW w:w="163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非甲烷总烃、</w:t>
            </w:r>
            <w:r>
              <w:rPr>
                <w:rFonts w:hint="eastAsia" w:cs="Times New Roman"/>
                <w:color w:val="auto"/>
                <w:sz w:val="21"/>
                <w:szCs w:val="21"/>
                <w:highlight w:val="none"/>
                <w:vertAlign w:val="baseline"/>
                <w:lang w:val="en-US" w:eastAsia="zh-CN"/>
              </w:rPr>
              <w:t>NH</w:t>
            </w:r>
            <w:r>
              <w:rPr>
                <w:rFonts w:hint="eastAsia" w:cs="Times New Roman"/>
                <w:color w:val="auto"/>
                <w:sz w:val="21"/>
                <w:szCs w:val="21"/>
                <w:highlight w:val="none"/>
                <w:vertAlign w:val="subscript"/>
                <w:lang w:val="en-US" w:eastAsia="zh-CN"/>
              </w:rPr>
              <w:t>3</w:t>
            </w:r>
            <w:r>
              <w:rPr>
                <w:rFonts w:hint="eastAsia" w:cs="Times New Roman"/>
                <w:color w:val="auto"/>
                <w:sz w:val="21"/>
                <w:szCs w:val="21"/>
                <w:highlight w:val="none"/>
                <w:vertAlign w:val="baseline"/>
                <w:lang w:val="en-US" w:eastAsia="zh-CN"/>
              </w:rPr>
              <w:t>、H</w:t>
            </w:r>
            <w:r>
              <w:rPr>
                <w:rFonts w:hint="eastAsia" w:cs="Times New Roman"/>
                <w:color w:val="auto"/>
                <w:sz w:val="21"/>
                <w:szCs w:val="21"/>
                <w:highlight w:val="none"/>
                <w:vertAlign w:val="subscript"/>
                <w:lang w:val="en-US" w:eastAsia="zh-CN"/>
              </w:rPr>
              <w:t>2</w:t>
            </w:r>
            <w:r>
              <w:rPr>
                <w:rFonts w:hint="eastAsia" w:cs="Times New Roman"/>
                <w:color w:val="auto"/>
                <w:sz w:val="21"/>
                <w:szCs w:val="21"/>
                <w:highlight w:val="none"/>
                <w:vertAlign w:val="baseline"/>
                <w:lang w:val="en-US" w:eastAsia="zh-CN"/>
              </w:rPr>
              <w:t>S</w:t>
            </w:r>
          </w:p>
        </w:tc>
        <w:tc>
          <w:tcPr>
            <w:tcW w:w="12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1次/半年</w:t>
            </w:r>
          </w:p>
        </w:tc>
      </w:tr>
    </w:tbl>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12" w:name="_Toc776"/>
      <w:r>
        <w:rPr>
          <w:rFonts w:hint="eastAsia" w:ascii="Times New Roman" w:hAnsi="Times New Roman" w:eastAsia="宋体" w:cs="Times New Roman"/>
          <w:snapToGrid/>
          <w:color w:val="auto"/>
          <w:sz w:val="32"/>
          <w:highlight w:val="none"/>
          <w:lang w:val="en-US" w:eastAsia="zh-CN" w:bidi="ar-SA"/>
        </w:rPr>
        <w:t>6.2水污染防治措施及其可行性论证</w:t>
      </w:r>
      <w:bookmarkEnd w:id="1212"/>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6.2.1施工期废水处理措施及其可行性论证</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项目施工期产生废水为施工废水和生活污水。管</w:t>
      </w:r>
      <w:r>
        <w:rPr>
          <w:rFonts w:hint="eastAsia" w:cs="Times New Roman"/>
          <w:caps w:val="0"/>
          <w:smallCaps w:val="0"/>
          <w:snapToGrid/>
          <w:color w:val="auto"/>
          <w:spacing w:val="0"/>
          <w:w w:val="100"/>
          <w:kern w:val="0"/>
          <w:sz w:val="24"/>
          <w:szCs w:val="24"/>
          <w:highlight w:val="none"/>
          <w:lang w:val="en-US" w:eastAsia="zh-CN" w:bidi="ar-SA"/>
        </w:rPr>
        <w:t>道</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试压采取压缩空气试压，无试压废水产生。</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施工期废水</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主要是搅拌砂浆、润湿建筑材料、清洗施工设备的少量生产废水，主要污染物为悬浮物，经施工场地内临时沉淀池沉淀后，用于厂区施工洒水抑尘。</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（2）生活污水</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服务站站址施工区域生活污水排入站内化粪池，施工结束后，可随站内运维人员生活污水一起拉运处置；管道施工区域距附近村屯较近，不设置施工营地，租用附近的村民民房进行生活，生活污水排入租用民房防渗化粪池内，定期清掏。</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项目施工期废水均得到有效的处理，不排入外环境，不会对周边地表水体造成影响。</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6.2.2运行期废水处理措施及其可行性论证</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6.2.2</w:t>
      </w:r>
      <w:r>
        <w:rPr>
          <w:rFonts w:hint="eastAsia" w:cs="Times New Roman"/>
          <w:caps w:val="0"/>
          <w:smallCaps w:val="0"/>
          <w:snapToGrid/>
          <w:color w:val="auto"/>
          <w:spacing w:val="0"/>
          <w:w w:val="100"/>
          <w:kern w:val="0"/>
          <w:sz w:val="24"/>
          <w:szCs w:val="24"/>
          <w:highlight w:val="none"/>
          <w:lang w:val="en-US" w:eastAsia="zh-CN" w:bidi="ar-SA"/>
        </w:rPr>
        <w:t>.1废水处理</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措施</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本项目运行期间产生的废水为运维人员生活污水、站内处理达标</w:t>
      </w:r>
      <w:r>
        <w:rPr>
          <w:rFonts w:hint="eastAsia" w:cs="Times New Roman"/>
          <w:caps w:val="0"/>
          <w:smallCaps w:val="0"/>
          <w:snapToGrid/>
          <w:color w:val="auto"/>
          <w:spacing w:val="0"/>
          <w:w w:val="100"/>
          <w:kern w:val="0"/>
          <w:sz w:val="24"/>
          <w:szCs w:val="24"/>
          <w:highlight w:val="none"/>
          <w:lang w:val="en-US" w:eastAsia="zh-CN" w:bidi="ar-SA"/>
        </w:rPr>
        <w:t>的</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水、初期雨水、</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离心浓缩废水、事故废水。厂区进行雨污分流制。</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（1）生活污水</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运行期站内人员生活污水。排入化粪池内，定期清掏，拉运至新站镇生活污水处理厂处理。</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（2）初期雨水</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厂区道路设置初期雨水收集系统。初期雨水收集系统主要由初期雨水收集池、水泵、雨水收集管及控制阀门组成。收集前15分钟雨水排入雨水收集池，15分钟后的雨水排至厂区北侧公路两侧低洼地带。</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经收集</w:t>
      </w:r>
      <w:r>
        <w:rPr>
          <w:rFonts w:hint="eastAsia" w:cs="Times New Roman"/>
          <w:caps w:val="0"/>
          <w:smallCaps w:val="0"/>
          <w:snapToGrid/>
          <w:color w:val="auto"/>
          <w:spacing w:val="0"/>
          <w:w w:val="100"/>
          <w:kern w:val="0"/>
          <w:sz w:val="24"/>
          <w:szCs w:val="24"/>
          <w:highlight w:val="none"/>
          <w:lang w:val="en-US" w:eastAsia="zh-CN" w:bidi="ar-SA"/>
        </w:rPr>
        <w:t>的初期雨水</w:t>
      </w:r>
      <w:r>
        <w:rPr>
          <w:rFonts w:hint="default" w:cs="Times New Roman"/>
          <w:caps w:val="0"/>
          <w:smallCaps w:val="0"/>
          <w:snapToGrid/>
          <w:color w:val="auto"/>
          <w:spacing w:val="0"/>
          <w:w w:val="100"/>
          <w:kern w:val="0"/>
          <w:sz w:val="24"/>
          <w:szCs w:val="24"/>
          <w:highlight w:val="none"/>
          <w:lang w:val="en-US" w:eastAsia="zh-CN" w:bidi="ar-SA"/>
        </w:rPr>
        <w:t>，暂存在初期雨水收集池内，再进入站内废水处理系统，经处理达标后，回用于页岩油试验区压裂复配。</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（3）污泥离心浓缩废水</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进入站内废水处理系统，经处理达标后，回用于页岩油试验区压裂复配。</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（4）事故废水</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事故废水经收集后，暂存于事故池中，交由有资质单位处置。</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（5）站内处理达标</w:t>
      </w:r>
      <w:r>
        <w:rPr>
          <w:rFonts w:hint="eastAsia" w:cs="Times New Roman"/>
          <w:caps w:val="0"/>
          <w:smallCaps w:val="0"/>
          <w:snapToGrid/>
          <w:color w:val="auto"/>
          <w:spacing w:val="0"/>
          <w:w w:val="100"/>
          <w:kern w:val="0"/>
          <w:sz w:val="24"/>
          <w:szCs w:val="24"/>
          <w:highlight w:val="none"/>
          <w:lang w:val="en-US" w:eastAsia="zh-CN" w:bidi="ar-SA"/>
        </w:rPr>
        <w:t>的</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水</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w:t>
      </w:r>
      <w:r>
        <w:rPr>
          <w:rFonts w:hint="eastAsia" w:cs="Times New Roman"/>
          <w:caps w:val="0"/>
          <w:smallCaps w:val="0"/>
          <w:snapToGrid/>
          <w:color w:val="auto"/>
          <w:spacing w:val="0"/>
          <w:w w:val="100"/>
          <w:kern w:val="0"/>
          <w:sz w:val="24"/>
          <w:szCs w:val="24"/>
          <w:highlight w:val="none"/>
          <w:lang w:val="en-US" w:eastAsia="zh-CN" w:bidi="ar-SA"/>
        </w:rPr>
        <w:t>接收</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来自页岩油试验区</w:t>
      </w:r>
      <w:r>
        <w:rPr>
          <w:rFonts w:hint="eastAsia" w:cs="Times New Roman"/>
          <w:caps w:val="0"/>
          <w:smallCaps w:val="0"/>
          <w:snapToGrid/>
          <w:color w:val="auto"/>
          <w:spacing w:val="0"/>
          <w:w w:val="100"/>
          <w:kern w:val="0"/>
          <w:sz w:val="24"/>
          <w:szCs w:val="24"/>
          <w:highlight w:val="none"/>
          <w:lang w:val="en-US" w:eastAsia="zh-CN" w:bidi="ar-SA"/>
        </w:rPr>
        <w:t>产生的</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压裂返排液</w:t>
      </w:r>
      <w:r>
        <w:rPr>
          <w:rFonts w:hint="eastAsia" w:cs="Times New Roman"/>
          <w:caps w:val="0"/>
          <w:smallCaps w:val="0"/>
          <w:snapToGrid/>
          <w:color w:val="auto"/>
          <w:spacing w:val="0"/>
          <w:w w:val="100"/>
          <w:kern w:val="0"/>
          <w:sz w:val="24"/>
          <w:szCs w:val="24"/>
          <w:highlight w:val="none"/>
          <w:lang w:val="en-US" w:eastAsia="zh-CN" w:bidi="ar-SA"/>
        </w:rPr>
        <w:t>。本项目采取“均质+隔油沉沙+混凝絮凝沉淀+气浮”的工艺对运来的压裂返排液进行处理；处理达标中水满足《大庆油田地面工程建设设计规定》（Q/SYDQ 0639-2015）“含油量≤20mg/L、悬浮固体含量≤20mg/L”，暂存于站址内储液池中，根据需要，通过罐车拉运3#页岩油试验区，或者管输至杜蒙1#服务站，回用于其他页岩油试验区压裂复配。</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①废水处理工段运行参数如下：</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1）卸料槽：1座，12m×8.5m×0.8m，地上构建物，位于卸车平台封闭式构建物内；</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2）均质池：1座，12m×7.5m×1.5m，地下储池，顶部加盖密封，</w:t>
      </w:r>
      <w:r>
        <w:rPr>
          <w:rFonts w:hint="eastAsia" w:cs="Times New Roman"/>
          <w:caps w:val="0"/>
          <w:smallCaps w:val="0"/>
          <w:snapToGrid/>
          <w:color w:val="auto"/>
          <w:spacing w:val="0"/>
          <w:w w:val="100"/>
          <w:kern w:val="0"/>
          <w:sz w:val="24"/>
          <w:szCs w:val="24"/>
          <w:highlight w:val="none"/>
          <w:vertAlign w:val="baseline"/>
          <w:lang w:val="en-US" w:eastAsia="zh-CN" w:bidi="ar-SA"/>
        </w:rPr>
        <w:t>钢筋混凝土，</w:t>
      </w:r>
      <w:r>
        <w:rPr>
          <w:rFonts w:hint="eastAsia" w:cs="Times New Roman"/>
          <w:caps w:val="0"/>
          <w:smallCaps w:val="0"/>
          <w:snapToGrid/>
          <w:color w:val="auto"/>
          <w:spacing w:val="0"/>
          <w:w w:val="100"/>
          <w:kern w:val="0"/>
          <w:sz w:val="24"/>
          <w:szCs w:val="24"/>
          <w:highlight w:val="none"/>
          <w:lang w:val="en-US" w:eastAsia="zh-CN" w:bidi="ar-SA"/>
        </w:rPr>
        <w:t>位于卸车平台封闭式构建物内；</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3）隔油沉砂池：1座，5.8m×21.6m，平均深度2.2m，容积280m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4）混凝池：2座，添加药剂除硬剂及PAC，规格：3.2m×3.15m，平均深度2.2m；7.5m×2.2m，平均深度2.2m；</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5）絮凝池：4座，添加药剂PAM，规格：3座：3.2m×3.15m，平均深度2.2m；1座：7.5m×2.2m，平均深度2.2m；</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6）涡凹反应池：1座，5.1m×3.5m，平均深度2.2m，安装两台涡凹曝气机，产生微气泡；</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7）涡凹气浮刮渣池：1座，5.8m×5.7m，平均深度6m，容积195m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，安装1台刮渣机、1个不锈钢槽，1个可调节堰门；</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8）储油池：1座，13.9m×4m×1.9m，加盖密封，钢筋混凝土，位于预处理车间封闭式构建物内；</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9）储泥池：1座，4.16m×3.77m×1.9m，加盖密封，钢筋混凝土，位于预处理车间封闭式构建物内；</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10）压泥机：功率37KW，数量2台。</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6.2.2.2废水处理可行性论证</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本项目新建废水处理服务站采取“均质+隔油沉沙+絮凝沉淀+两级气浮”处理工艺，出水水质达到《大庆油田地面工程建设设计规定》（Q/SYDQ0639-2015）中“含油量≤20mg/L，</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悬浮固体含量</w:t>
      </w:r>
      <w:r>
        <w:rPr>
          <w:rFonts w:hint="eastAsia" w:cs="Times New Roman"/>
          <w:caps w:val="0"/>
          <w:smallCaps w:val="0"/>
          <w:snapToGrid/>
          <w:color w:val="auto"/>
          <w:spacing w:val="0"/>
          <w:w w:val="100"/>
          <w:kern w:val="0"/>
          <w:sz w:val="24"/>
          <w:szCs w:val="24"/>
          <w:highlight w:val="none"/>
          <w:lang w:val="en-US" w:eastAsia="zh-CN" w:bidi="ar-SA"/>
        </w:rPr>
        <w:t>≤20mg/L”限值要求，回用于页岩油试验区压裂复配。本项目废水处理技术成熟，废水处理工艺各工段去除效率果见下表。</w:t>
      </w:r>
    </w:p>
    <w:p>
      <w:pPr>
        <w:keepNext w:val="0"/>
        <w:keepLines w:val="0"/>
        <w:pageBreakBefore w:val="0"/>
        <w:widowControl/>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表6.2-1</w:t>
      </w:r>
      <w:r>
        <w:rPr>
          <w:rFonts w:hint="eastAsia" w:cs="Times New Roman"/>
          <w:b/>
          <w:bCs/>
          <w:caps w:val="0"/>
          <w:smallCaps w:val="0"/>
          <w:snapToGrid/>
          <w:color w:val="auto"/>
          <w:spacing w:val="0"/>
          <w:w w:val="100"/>
          <w:kern w:val="0"/>
          <w:sz w:val="21"/>
          <w:szCs w:val="21"/>
          <w:highlight w:val="none"/>
          <w:lang w:val="en-US" w:eastAsia="zh-CN" w:bidi="ar-SA"/>
        </w:rPr>
        <w:t>废水处理进出水产排情况</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75"/>
        <w:gridCol w:w="1091"/>
        <w:gridCol w:w="875"/>
        <w:gridCol w:w="876"/>
        <w:gridCol w:w="876"/>
        <w:gridCol w:w="873"/>
        <w:gridCol w:w="867"/>
        <w:gridCol w:w="1091"/>
        <w:gridCol w:w="109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名称</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进水</w:t>
            </w:r>
            <w:r>
              <w:rPr>
                <w:rFonts w:hint="eastAsia" w:ascii="Times New Roman" w:hAnsi="Times New Roman" w:cs="Times New Roman"/>
                <w:color w:val="auto"/>
                <w:sz w:val="21"/>
                <w:szCs w:val="21"/>
                <w:highlight w:val="none"/>
                <w:vertAlign w:val="baseline"/>
                <w:lang w:val="en-US" w:eastAsia="zh-CN"/>
              </w:rPr>
              <w:t>浓度（mg/L）</w:t>
            </w:r>
          </w:p>
        </w:tc>
        <w:tc>
          <w:tcPr>
            <w:tcW w:w="8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均质池/%</w:t>
            </w:r>
          </w:p>
        </w:tc>
        <w:tc>
          <w:tcPr>
            <w:tcW w:w="8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隔油除砂处理效率</w:t>
            </w:r>
            <w:r>
              <w:rPr>
                <w:rFonts w:hint="eastAsia" w:cs="Times New Roman"/>
                <w:color w:val="auto"/>
                <w:sz w:val="21"/>
                <w:szCs w:val="21"/>
                <w:highlight w:val="none"/>
                <w:vertAlign w:val="baseline"/>
                <w:lang w:val="en-US" w:eastAsia="zh-CN"/>
              </w:rPr>
              <w:t>/%</w:t>
            </w:r>
          </w:p>
        </w:tc>
        <w:tc>
          <w:tcPr>
            <w:tcW w:w="8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絮凝沉淀处理效率</w:t>
            </w:r>
            <w:r>
              <w:rPr>
                <w:rFonts w:hint="eastAsia" w:cs="Times New Roman"/>
                <w:color w:val="auto"/>
                <w:sz w:val="21"/>
                <w:szCs w:val="21"/>
                <w:highlight w:val="none"/>
                <w:vertAlign w:val="baseline"/>
                <w:lang w:val="en-US" w:eastAsia="zh-CN"/>
              </w:rPr>
              <w:t>/%</w:t>
            </w:r>
          </w:p>
        </w:tc>
        <w:tc>
          <w:tcPr>
            <w:tcW w:w="1740"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气浮处理效率</w:t>
            </w:r>
            <w:r>
              <w:rPr>
                <w:rFonts w:hint="eastAsia" w:cs="Times New Roman"/>
                <w:color w:val="auto"/>
                <w:sz w:val="21"/>
                <w:szCs w:val="21"/>
                <w:highlight w:val="none"/>
                <w:vertAlign w:val="baseline"/>
                <w:lang w:val="en-US" w:eastAsia="zh-CN"/>
              </w:rPr>
              <w:t>/%</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出水水质</w:t>
            </w:r>
            <w:r>
              <w:rPr>
                <w:rFonts w:hint="eastAsia" w:ascii="Times New Roman" w:hAnsi="Times New Roman" w:cs="Times New Roman"/>
                <w:color w:val="auto"/>
                <w:sz w:val="21"/>
                <w:szCs w:val="21"/>
                <w:highlight w:val="none"/>
                <w:vertAlign w:val="baseline"/>
                <w:lang w:val="en-US" w:eastAsia="zh-CN"/>
              </w:rPr>
              <w:t>（mg/L）</w:t>
            </w:r>
          </w:p>
        </w:tc>
        <w:tc>
          <w:tcPr>
            <w:tcW w:w="109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设计指标</w:t>
            </w:r>
            <w:r>
              <w:rPr>
                <w:rFonts w:hint="eastAsia" w:ascii="Times New Roman" w:hAnsi="Times New Roman" w:cs="Times New Roman"/>
                <w:color w:val="auto"/>
                <w:sz w:val="21"/>
                <w:szCs w:val="21"/>
                <w:highlight w:val="none"/>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SS</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340</w:t>
            </w:r>
          </w:p>
        </w:tc>
        <w:tc>
          <w:tcPr>
            <w:tcW w:w="8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w:t>
            </w:r>
          </w:p>
        </w:tc>
        <w:tc>
          <w:tcPr>
            <w:tcW w:w="8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70</w:t>
            </w:r>
          </w:p>
        </w:tc>
        <w:tc>
          <w:tcPr>
            <w:tcW w:w="8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50</w:t>
            </w:r>
          </w:p>
        </w:tc>
        <w:tc>
          <w:tcPr>
            <w:tcW w:w="8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60</w:t>
            </w:r>
          </w:p>
        </w:tc>
        <w:tc>
          <w:tcPr>
            <w:tcW w:w="86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60</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8.16</w:t>
            </w:r>
          </w:p>
        </w:tc>
        <w:tc>
          <w:tcPr>
            <w:tcW w:w="109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石油类</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347</w:t>
            </w:r>
          </w:p>
        </w:tc>
        <w:tc>
          <w:tcPr>
            <w:tcW w:w="8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w:t>
            </w:r>
          </w:p>
        </w:tc>
        <w:tc>
          <w:tcPr>
            <w:tcW w:w="8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70</w:t>
            </w:r>
          </w:p>
        </w:tc>
        <w:tc>
          <w:tcPr>
            <w:tcW w:w="87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w:t>
            </w:r>
          </w:p>
        </w:tc>
        <w:tc>
          <w:tcPr>
            <w:tcW w:w="87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80</w:t>
            </w:r>
          </w:p>
        </w:tc>
        <w:tc>
          <w:tcPr>
            <w:tcW w:w="867"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80</w:t>
            </w:r>
          </w:p>
        </w:tc>
        <w:tc>
          <w:tcPr>
            <w:tcW w:w="1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3.75</w:t>
            </w:r>
          </w:p>
        </w:tc>
        <w:tc>
          <w:tcPr>
            <w:tcW w:w="109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w:t>
            </w:r>
          </w:p>
        </w:tc>
      </w:tr>
    </w:tbl>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注：进水浓度选自建设单位定期对来水水质的监测报告最大值</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根据</w:t>
      </w:r>
      <w:r>
        <w:rPr>
          <w:rFonts w:hint="eastAsia" w:cs="Times New Roman"/>
          <w:caps w:val="0"/>
          <w:smallCaps w:val="0"/>
          <w:snapToGrid/>
          <w:color w:val="auto"/>
          <w:spacing w:val="0"/>
          <w:w w:val="100"/>
          <w:kern w:val="0"/>
          <w:sz w:val="24"/>
          <w:szCs w:val="24"/>
          <w:highlight w:val="none"/>
          <w:lang w:val="en-US" w:eastAsia="zh-CN" w:bidi="ar-SA"/>
        </w:rPr>
        <w:t>处理效率及出水情况，本项目采取以上工艺进行处理，废水达标。</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6.2.3地下水污染防控措施</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6.2.3.1站址内分区防渗</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w:t>
      </w:r>
      <w:r>
        <w:rPr>
          <w:rFonts w:hint="eastAsia" w:cs="Times New Roman"/>
          <w:caps w:val="0"/>
          <w:smallCaps w:val="0"/>
          <w:snapToGrid/>
          <w:color w:val="auto"/>
          <w:spacing w:val="0"/>
          <w:w w:val="100"/>
          <w:kern w:val="0"/>
          <w:sz w:val="24"/>
          <w:szCs w:val="24"/>
          <w:highlight w:val="none"/>
          <w:lang w:val="en-US" w:eastAsia="zh-CN" w:bidi="ar-SA"/>
        </w:rPr>
        <w:t>重点防渗</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卸车平台、危废暂存间、预处理车间</w:t>
      </w:r>
      <w:r>
        <w:rPr>
          <w:rFonts w:hint="eastAsia"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污油储罐区、储液池</w:t>
      </w:r>
      <w:r>
        <w:rPr>
          <w:rFonts w:hint="eastAsia" w:cs="Times New Roman"/>
          <w:caps w:val="0"/>
          <w:smallCaps w:val="0"/>
          <w:snapToGrid/>
          <w:color w:val="auto"/>
          <w:spacing w:val="0"/>
          <w:w w:val="100"/>
          <w:kern w:val="0"/>
          <w:sz w:val="24"/>
          <w:szCs w:val="24"/>
          <w:highlight w:val="none"/>
          <w:lang w:val="en-US" w:eastAsia="zh-CN" w:bidi="ar-SA"/>
        </w:rPr>
        <w:t>区域</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、事故池、初期雨水收集池，采取重点防渗措施，危废暂存间防渗性能满足《危险废物贮存污染控制标准》（GB18597-2023）防渗要求；其余区域满足</w:t>
      </w:r>
      <w:r>
        <w:rPr>
          <w:rFonts w:hint="eastAsia" w:cs="Times New Roman"/>
          <w:caps w:val="0"/>
          <w:smallCaps w:val="0"/>
          <w:snapToGrid/>
          <w:color w:val="auto"/>
          <w:spacing w:val="0"/>
          <w:w w:val="100"/>
          <w:kern w:val="0"/>
          <w:sz w:val="24"/>
          <w:szCs w:val="24"/>
          <w:highlight w:val="none"/>
          <w:lang w:val="en-US" w:eastAsia="zh-CN" w:bidi="ar-SA"/>
        </w:rPr>
        <w:t>《环境影响评价技术导则 地下水环境》（HJ610-2018）重点防渗性能要求；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卸车平台均质池、预处理车间内各反应池、储油池、储泥防渗层为：面层20mm厚水泥砂浆防水粉+50mm厚C20细石混凝土保护层，隔离层为石油沥青纸胎油毡+0.9mm厚SBC120高分子防水卷材+1.3mm厚聚合物水泥防水胶卷材+20mm厚水泥砂浆防水粉+100mm厚C15混凝土垫层，防渗性能等效黏土防渗层Mb≥6.0m，K≤1×10</w:t>
      </w:r>
      <w:r>
        <w:rPr>
          <w:rFonts w:hint="eastAsia" w:cs="Times New Roman"/>
          <w:caps w:val="0"/>
          <w:smallCaps w:val="0"/>
          <w:snapToGrid/>
          <w:color w:val="auto"/>
          <w:spacing w:val="0"/>
          <w:w w:val="100"/>
          <w:kern w:val="0"/>
          <w:sz w:val="24"/>
          <w:szCs w:val="24"/>
          <w:highlight w:val="none"/>
          <w:vertAlign w:val="superscript"/>
          <w:lang w:val="en-US" w:eastAsia="zh-CN" w:bidi="ar-SA"/>
        </w:rPr>
        <w:t>-7</w:t>
      </w:r>
      <w:r>
        <w:rPr>
          <w:rFonts w:hint="eastAsia" w:cs="Times New Roman"/>
          <w:caps w:val="0"/>
          <w:smallCaps w:val="0"/>
          <w:snapToGrid/>
          <w:color w:val="auto"/>
          <w:spacing w:val="0"/>
          <w:w w:val="100"/>
          <w:kern w:val="0"/>
          <w:sz w:val="24"/>
          <w:szCs w:val="24"/>
          <w:highlight w:val="none"/>
          <w:lang w:val="en-US" w:eastAsia="zh-CN" w:bidi="ar-SA"/>
        </w:rPr>
        <w:t>cm/s。</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储液池区域、事故池及初期雨水收集池防渗情况设置情况为外壁采用SBS防水卷材。内壁及池底均铺设土工防渗膜；内壁铺设2mm厚HDPE土工防渗膜，再刷氯丁胶乳防水砂浆10mm厚。池底铺设2mm厚HDPE土工防渗膜，再进行基础浇筑，采用C30抗渗混凝土浇筑，其抗渗等级为P6（渗透系数≤4.19×10</w:t>
      </w:r>
      <w:r>
        <w:rPr>
          <w:rFonts w:hint="eastAsia" w:cs="Times New Roman"/>
          <w:caps w:val="0"/>
          <w:smallCaps w:val="0"/>
          <w:snapToGrid/>
          <w:color w:val="auto"/>
          <w:spacing w:val="0"/>
          <w:w w:val="100"/>
          <w:kern w:val="0"/>
          <w:sz w:val="24"/>
          <w:szCs w:val="24"/>
          <w:highlight w:val="none"/>
          <w:vertAlign w:val="superscript"/>
          <w:lang w:val="en-US" w:eastAsia="zh-CN" w:bidi="ar-SA"/>
        </w:rPr>
        <w:t>-9</w:t>
      </w:r>
      <w:r>
        <w:rPr>
          <w:rFonts w:hint="eastAsia" w:cs="Times New Roman"/>
          <w:caps w:val="0"/>
          <w:smallCaps w:val="0"/>
          <w:snapToGrid/>
          <w:color w:val="auto"/>
          <w:spacing w:val="0"/>
          <w:w w:val="100"/>
          <w:kern w:val="0"/>
          <w:sz w:val="24"/>
          <w:szCs w:val="24"/>
          <w:highlight w:val="none"/>
          <w:lang w:val="en-US" w:eastAsia="zh-CN" w:bidi="ar-SA"/>
        </w:rPr>
        <w:t>cm/s），铺设厚度为15cm，再铺设C15素混凝土结构垫层，厚度为10cm。防渗系数K≤1×10</w:t>
      </w:r>
      <w:r>
        <w:rPr>
          <w:rFonts w:hint="eastAsia" w:cs="Times New Roman"/>
          <w:caps w:val="0"/>
          <w:smallCaps w:val="0"/>
          <w:snapToGrid/>
          <w:color w:val="auto"/>
          <w:spacing w:val="0"/>
          <w:w w:val="100"/>
          <w:kern w:val="0"/>
          <w:sz w:val="24"/>
          <w:szCs w:val="24"/>
          <w:highlight w:val="none"/>
          <w:vertAlign w:val="superscript"/>
          <w:lang w:val="en-US" w:eastAsia="zh-CN" w:bidi="ar-SA"/>
        </w:rPr>
        <w:t>-13</w:t>
      </w:r>
      <w:r>
        <w:rPr>
          <w:rFonts w:hint="eastAsia" w:cs="Times New Roman"/>
          <w:caps w:val="0"/>
          <w:smallCaps w:val="0"/>
          <w:snapToGrid/>
          <w:color w:val="auto"/>
          <w:spacing w:val="0"/>
          <w:w w:val="100"/>
          <w:kern w:val="0"/>
          <w:sz w:val="24"/>
          <w:szCs w:val="24"/>
          <w:highlight w:val="none"/>
          <w:lang w:val="en-US" w:eastAsia="zh-CN" w:bidi="ar-SA"/>
        </w:rPr>
        <w:t>cm/s。</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危废暂存间、预处理车间、污油储罐区地面采用基底层压实（压实度不小于93%）+HDPE防渗膜（厚2.0mm）+抗渗混凝土层措施，防渗系数K≤1×10</w:t>
      </w:r>
      <w:r>
        <w:rPr>
          <w:rFonts w:hint="eastAsia" w:cs="Times New Roman"/>
          <w:caps w:val="0"/>
          <w:smallCaps w:val="0"/>
          <w:snapToGrid/>
          <w:color w:val="auto"/>
          <w:spacing w:val="0"/>
          <w:w w:val="100"/>
          <w:kern w:val="0"/>
          <w:sz w:val="24"/>
          <w:szCs w:val="24"/>
          <w:highlight w:val="none"/>
          <w:vertAlign w:val="superscript"/>
          <w:lang w:val="en-US" w:eastAsia="zh-CN" w:bidi="ar-SA"/>
        </w:rPr>
        <w:t>-13</w:t>
      </w:r>
      <w:r>
        <w:rPr>
          <w:rFonts w:hint="eastAsia" w:cs="Times New Roman"/>
          <w:caps w:val="0"/>
          <w:smallCaps w:val="0"/>
          <w:snapToGrid/>
          <w:color w:val="auto"/>
          <w:spacing w:val="0"/>
          <w:w w:val="100"/>
          <w:kern w:val="0"/>
          <w:sz w:val="24"/>
          <w:szCs w:val="24"/>
          <w:highlight w:val="none"/>
          <w:lang w:val="en-US" w:eastAsia="zh-CN" w:bidi="ar-SA"/>
        </w:rPr>
        <w:t>cm/s。</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其中新建污油储罐采取以下防渗措施：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罐底内部防腐：采用涂料防护与电化学保护相结合的防护措施，一方面涂料可大大减少阴极保护电流的消耗，减少阳极安装数量；另一方面阴极保护电流集中于涂层的缺陷处，使缺陷涂层处的钢板得到保护，两者相辅相成，能取得最佳保护效果；</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2）储罐边缘板防腐：一般采用材料性能优异、防水效果好、维修容易的CTPU防水材料和贴覆玻璃布加强涂层强度的防护措施；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3）罐壁及罐顶防腐：</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snapToGrid/>
          <w:color w:val="auto"/>
          <w:spacing w:val="0"/>
          <w:w w:val="100"/>
          <w:kern w:val="0"/>
          <w:sz w:val="24"/>
          <w:szCs w:val="24"/>
          <w:highlight w:val="none"/>
          <w:lang w:val="en-US" w:eastAsia="zh-CN" w:bidi="ar-SA"/>
        </w:rPr>
        <w:t>a</w:t>
      </w:r>
      <w:r>
        <w:rPr>
          <w:rFonts w:hint="eastAsia" w:cs="Times New Roman"/>
          <w:caps w:val="0"/>
          <w:smallCaps w:val="0"/>
          <w:snapToGrid/>
          <w:color w:val="auto"/>
          <w:spacing w:val="0"/>
          <w:w w:val="100"/>
          <w:kern w:val="0"/>
          <w:sz w:val="24"/>
          <w:szCs w:val="24"/>
          <w:highlight w:val="none"/>
          <w:lang w:val="en-US" w:eastAsia="zh-CN" w:bidi="ar-SA"/>
        </w:rPr>
        <w:t>适当增加腐蚀严重部位如罐底和罐顶的板材厚度，但不应超过钢板总厚度的20%；</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b采用耐腐蚀的涂料作为表面涂层保护；</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c采用喷砂除锈和涂敷工艺等施工工艺方法。</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同时污油储罐区周围设置围堰、防火堤及雨水切换阀等装置，围堰高度1.5m，区域进行重点防渗，污油储罐区域防渗性能满足《石油化工工程防渗技术规范》（GB/T50394-2013）重点防渗性能要求。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②一般防渗</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库房、配电间、值班室、消防水罐区、办公用房采取一般防渗措施，满足《环境影响评价技术导则 地下水环境》（HJ610-2018）一般防渗性能要求；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地面采用基底层压实（压实度不小于93%）+HDPE防渗膜（厚1.6mm）+抗渗混凝土层，渗透系数≤10</w:t>
      </w:r>
      <w:r>
        <w:rPr>
          <w:rFonts w:hint="eastAsia" w:cs="Times New Roman"/>
          <w:caps w:val="0"/>
          <w:smallCaps w:val="0"/>
          <w:snapToGrid/>
          <w:color w:val="auto"/>
          <w:spacing w:val="0"/>
          <w:w w:val="100"/>
          <w:kern w:val="0"/>
          <w:sz w:val="24"/>
          <w:szCs w:val="24"/>
          <w:highlight w:val="none"/>
          <w:vertAlign w:val="superscript"/>
          <w:lang w:val="en-US" w:eastAsia="zh-CN" w:bidi="ar-SA"/>
        </w:rPr>
        <w:t>-10</w:t>
      </w:r>
      <w:r>
        <w:rPr>
          <w:rFonts w:hint="eastAsia" w:cs="Times New Roman"/>
          <w:caps w:val="0"/>
          <w:smallCaps w:val="0"/>
          <w:snapToGrid/>
          <w:color w:val="auto"/>
          <w:spacing w:val="0"/>
          <w:w w:val="100"/>
          <w:kern w:val="0"/>
          <w:sz w:val="24"/>
          <w:szCs w:val="24"/>
          <w:highlight w:val="none"/>
          <w:lang w:val="en-US" w:eastAsia="zh-CN" w:bidi="ar-SA"/>
        </w:rPr>
        <w:t>cm/s。</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③简单防渗</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站址其他区域进行简单防渗，进行地面简单硬化，满足《环境影响评价技术导则 地下水环境》（HJ610-2018）简单防渗性能要求。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6.2.3.2输液管道防渗措施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输液管道采用钢丝网骨架塑料（聚乙烯）复合管，耐磨耐腐蚀，其内衬层、外护层通常为高分子材料结构，具有天然的防腐蚀性能；增强层通常采用高强纤维或者连续玻纤带材料，因此钢丝网骨架塑料（聚乙烯）复合管除了耐腐蚀性能和柔韧性优越，还可以承受较高的荷载。管道防腐性能较好，无需进行额外的防腐工程，管道铺设区域防渗性能满足《环境影响评价技术导则 地下水环境》（HJ610-2018）重点防渗性能要求。</w:t>
      </w:r>
    </w:p>
    <w:p>
      <w:pPr>
        <w:keepNext w:val="0"/>
        <w:keepLines w:val="0"/>
        <w:pageBreakBefore w:val="0"/>
        <w:widowControl/>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6.2.3.3定期监测</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项目运行期间，定期对地表水环境及地下水环境进行监测，监测委托具有资质的单位进行，结合《排污单位自行监测技术指南</w:t>
      </w:r>
      <w:r>
        <w:rPr>
          <w:rFonts w:hint="eastAsia" w:cs="Times New Roman"/>
          <w:caps w:val="0"/>
          <w:smallCaps w:val="0"/>
          <w:snapToGrid/>
          <w:color w:val="auto"/>
          <w:spacing w:val="0"/>
          <w:w w:val="100"/>
          <w:kern w:val="0"/>
          <w:sz w:val="24"/>
          <w:szCs w:val="24"/>
          <w:highlight w:val="none"/>
          <w:lang w:val="en-US" w:eastAsia="zh-CN" w:bidi="ar-SA"/>
        </w:rPr>
        <w:t xml:space="preserve"> </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总则》（HJ819-2017）、</w:t>
      </w:r>
      <w:r>
        <w:rPr>
          <w:rFonts w:hint="eastAsia" w:cs="Times New Roman"/>
          <w:caps w:val="0"/>
          <w:smallCaps w:val="0"/>
          <w:snapToGrid/>
          <w:color w:val="auto"/>
          <w:spacing w:val="0"/>
          <w:w w:val="100"/>
          <w:kern w:val="0"/>
          <w:sz w:val="24"/>
          <w:szCs w:val="24"/>
          <w:highlight w:val="none"/>
          <w:lang w:val="en-US" w:eastAsia="zh-CN" w:bidi="ar-SA"/>
        </w:rPr>
        <w:t>《排污许可证申请与核发技术规范 水处理通用工序》（HJ1120-2020）、</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《排污单位自行监测技术指南 水处理》（HJ1083-2020），制定本项目运行期监测计划，同时在当地对监测结果进行信息公开。</w:t>
      </w:r>
    </w:p>
    <w:p>
      <w:pPr>
        <w:keepNext w:val="0"/>
        <w:keepLines w:val="0"/>
        <w:pageBreakBefore w:val="0"/>
        <w:widowControl/>
        <w:suppressLineNumbers w:val="0"/>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olor w:val="auto"/>
          <w:kern w:val="0"/>
          <w:sz w:val="21"/>
          <w:szCs w:val="21"/>
          <w:highlight w:val="none"/>
          <w:lang w:val="en-US" w:eastAsia="zh-CN" w:bidi="ar"/>
        </w:rPr>
      </w:pPr>
      <w:r>
        <w:rPr>
          <w:rFonts w:hint="eastAsia" w:ascii="Times New Roman" w:hAnsi="Times New Roman" w:eastAsia="宋体" w:cs="Times New Roman"/>
          <w:b/>
          <w:bCs/>
          <w:color w:val="auto"/>
          <w:kern w:val="0"/>
          <w:sz w:val="21"/>
          <w:szCs w:val="21"/>
          <w:highlight w:val="none"/>
          <w:lang w:val="en-US" w:eastAsia="zh-CN" w:bidi="ar"/>
        </w:rPr>
        <w:t>表</w:t>
      </w:r>
      <w:r>
        <w:rPr>
          <w:rFonts w:hint="default" w:ascii="Times New Roman" w:hAnsi="Times New Roman" w:eastAsia="宋体" w:cs="Times New Roman"/>
          <w:b/>
          <w:bCs/>
          <w:color w:val="auto"/>
          <w:kern w:val="0"/>
          <w:sz w:val="21"/>
          <w:szCs w:val="21"/>
          <w:highlight w:val="none"/>
          <w:lang w:val="en-US" w:eastAsia="zh-CN" w:bidi="ar"/>
        </w:rPr>
        <w:t>6.</w:t>
      </w:r>
      <w:r>
        <w:rPr>
          <w:rFonts w:hint="eastAsia" w:ascii="Times New Roman" w:hAnsi="Times New Roman" w:eastAsia="宋体" w:cs="Times New Roman"/>
          <w:b/>
          <w:bCs/>
          <w:color w:val="auto"/>
          <w:kern w:val="0"/>
          <w:sz w:val="21"/>
          <w:szCs w:val="21"/>
          <w:highlight w:val="none"/>
          <w:lang w:val="en-US" w:eastAsia="zh-CN" w:bidi="ar"/>
        </w:rPr>
        <w:t>2</w:t>
      </w:r>
      <w:r>
        <w:rPr>
          <w:rFonts w:hint="default" w:ascii="Times New Roman" w:hAnsi="Times New Roman" w:eastAsia="宋体" w:cs="Times New Roman"/>
          <w:b/>
          <w:bCs/>
          <w:color w:val="auto"/>
          <w:kern w:val="0"/>
          <w:sz w:val="21"/>
          <w:szCs w:val="21"/>
          <w:highlight w:val="none"/>
          <w:lang w:val="en-US" w:eastAsia="zh-CN" w:bidi="ar"/>
        </w:rPr>
        <w:t>-</w:t>
      </w:r>
      <w:r>
        <w:rPr>
          <w:rFonts w:hint="eastAsia" w:ascii="Times New Roman" w:hAnsi="Times New Roman" w:eastAsia="宋体" w:cs="Times New Roman"/>
          <w:b/>
          <w:bCs/>
          <w:color w:val="auto"/>
          <w:kern w:val="0"/>
          <w:sz w:val="21"/>
          <w:szCs w:val="21"/>
          <w:highlight w:val="none"/>
          <w:lang w:val="en-US" w:eastAsia="zh-CN" w:bidi="ar"/>
        </w:rPr>
        <w:t>2地下水环境监测计划表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77"/>
        <w:gridCol w:w="1255"/>
        <w:gridCol w:w="1525"/>
        <w:gridCol w:w="1021"/>
        <w:gridCol w:w="920"/>
        <w:gridCol w:w="920"/>
        <w:gridCol w:w="977"/>
        <w:gridCol w:w="92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7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跟踪监测井</w:t>
            </w:r>
          </w:p>
        </w:tc>
        <w:tc>
          <w:tcPr>
            <w:tcW w:w="125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坐标</w:t>
            </w:r>
            <w:r>
              <w:rPr>
                <w:rFonts w:hint="eastAsia" w:cs="Times New Roman"/>
                <w:color w:val="auto"/>
                <w:sz w:val="21"/>
                <w:szCs w:val="21"/>
                <w:highlight w:val="none"/>
                <w:vertAlign w:val="baseline"/>
                <w:lang w:val="en-US" w:eastAsia="zh-CN"/>
              </w:rPr>
              <w:t>（°）</w:t>
            </w:r>
          </w:p>
        </w:tc>
        <w:tc>
          <w:tcPr>
            <w:tcW w:w="15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相对厂址方位/距离</w:t>
            </w:r>
          </w:p>
        </w:tc>
        <w:tc>
          <w:tcPr>
            <w:tcW w:w="102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井深（m）</w:t>
            </w:r>
          </w:p>
        </w:tc>
        <w:tc>
          <w:tcPr>
            <w:tcW w:w="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井结构</w:t>
            </w:r>
          </w:p>
        </w:tc>
        <w:tc>
          <w:tcPr>
            <w:tcW w:w="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功能</w:t>
            </w:r>
          </w:p>
        </w:tc>
        <w:tc>
          <w:tcPr>
            <w:tcW w:w="97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因子</w:t>
            </w:r>
          </w:p>
        </w:tc>
        <w:tc>
          <w:tcPr>
            <w:tcW w:w="92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53" w:hRule="atLeast"/>
        </w:trPr>
        <w:tc>
          <w:tcPr>
            <w:tcW w:w="97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上游监测井（</w:t>
            </w:r>
            <w:r>
              <w:rPr>
                <w:rFonts w:hint="eastAsia" w:cs="Times New Roman"/>
                <w:color w:val="auto"/>
                <w:sz w:val="21"/>
                <w:szCs w:val="21"/>
                <w:highlight w:val="none"/>
                <w:vertAlign w:val="baseline"/>
                <w:lang w:val="en-US" w:eastAsia="zh-CN"/>
              </w:rPr>
              <w:t>长青屯水井</w:t>
            </w:r>
            <w:r>
              <w:rPr>
                <w:rFonts w:hint="default" w:ascii="Times New Roman" w:hAnsi="Times New Roman" w:cs="Times New Roman"/>
                <w:color w:val="auto"/>
                <w:sz w:val="21"/>
                <w:szCs w:val="21"/>
                <w:highlight w:val="none"/>
                <w:vertAlign w:val="baseline"/>
                <w:lang w:val="en-US" w:eastAsia="zh-CN"/>
              </w:rPr>
              <w:t>）</w:t>
            </w:r>
          </w:p>
        </w:tc>
        <w:tc>
          <w:tcPr>
            <w:tcW w:w="125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124.287348339,45.928558953</w:t>
            </w:r>
          </w:p>
        </w:tc>
        <w:tc>
          <w:tcPr>
            <w:tcW w:w="15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输液管道东北侧626m</w:t>
            </w:r>
          </w:p>
        </w:tc>
        <w:tc>
          <w:tcPr>
            <w:tcW w:w="102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30</w:t>
            </w:r>
          </w:p>
        </w:tc>
        <w:tc>
          <w:tcPr>
            <w:tcW w:w="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水泥</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管井</w:t>
            </w:r>
          </w:p>
        </w:tc>
        <w:tc>
          <w:tcPr>
            <w:tcW w:w="920"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背景值监测点</w:t>
            </w:r>
          </w:p>
        </w:tc>
        <w:tc>
          <w:tcPr>
            <w:tcW w:w="977"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石油类、石油烃（C</w:t>
            </w:r>
            <w:r>
              <w:rPr>
                <w:rFonts w:hint="eastAsia" w:ascii="Times New Roman" w:hAnsi="Times New Roman" w:cs="Times New Roman"/>
                <w:color w:val="auto"/>
                <w:sz w:val="21"/>
                <w:szCs w:val="21"/>
                <w:highlight w:val="none"/>
                <w:vertAlign w:val="subscript"/>
                <w:lang w:val="en-US" w:eastAsia="zh-CN"/>
              </w:rPr>
              <w:t>6</w:t>
            </w:r>
            <w:r>
              <w:rPr>
                <w:rFonts w:hint="eastAsia" w:ascii="Times New Roman" w:hAnsi="Times New Roman" w:cs="Times New Roman"/>
                <w:color w:val="auto"/>
                <w:sz w:val="21"/>
                <w:szCs w:val="21"/>
                <w:highlight w:val="none"/>
                <w:vertAlign w:val="baseline"/>
                <w:lang w:val="en-US" w:eastAsia="zh-CN"/>
              </w:rPr>
              <w:t>～C</w:t>
            </w:r>
            <w:r>
              <w:rPr>
                <w:rFonts w:hint="eastAsia" w:ascii="Times New Roman" w:hAnsi="Times New Roman" w:cs="Times New Roman"/>
                <w:color w:val="auto"/>
                <w:sz w:val="21"/>
                <w:szCs w:val="21"/>
                <w:highlight w:val="none"/>
                <w:vertAlign w:val="subscript"/>
                <w:lang w:val="en-US" w:eastAsia="zh-CN"/>
              </w:rPr>
              <w:t>9</w:t>
            </w:r>
            <w:r>
              <w:rPr>
                <w:rFonts w:hint="eastAsia" w:ascii="Times New Roman" w:hAnsi="Times New Roman" w:cs="Times New Roman"/>
                <w:color w:val="auto"/>
                <w:sz w:val="21"/>
                <w:szCs w:val="21"/>
                <w:highlight w:val="none"/>
                <w:vertAlign w:val="baseline"/>
                <w:lang w:val="en-US" w:eastAsia="zh-CN"/>
              </w:rPr>
              <w:t>）、石油烃（C</w:t>
            </w:r>
            <w:r>
              <w:rPr>
                <w:rFonts w:hint="eastAsia" w:ascii="Times New Roman" w:hAnsi="Times New Roman" w:cs="Times New Roman"/>
                <w:color w:val="auto"/>
                <w:sz w:val="21"/>
                <w:szCs w:val="21"/>
                <w:highlight w:val="none"/>
                <w:vertAlign w:val="subscript"/>
                <w:lang w:val="en-US" w:eastAsia="zh-CN"/>
              </w:rPr>
              <w:t>10</w:t>
            </w:r>
            <w:r>
              <w:rPr>
                <w:rFonts w:hint="eastAsia" w:ascii="Times New Roman" w:hAnsi="Times New Roman" w:cs="Times New Roman"/>
                <w:color w:val="auto"/>
                <w:sz w:val="21"/>
                <w:szCs w:val="21"/>
                <w:highlight w:val="none"/>
                <w:vertAlign w:val="baseline"/>
                <w:lang w:val="en-US" w:eastAsia="zh-CN"/>
              </w:rPr>
              <w:t>～C</w:t>
            </w:r>
            <w:r>
              <w:rPr>
                <w:rFonts w:hint="eastAsia" w:ascii="Times New Roman" w:hAnsi="Times New Roman" w:cs="Times New Roman"/>
                <w:color w:val="auto"/>
                <w:sz w:val="21"/>
                <w:szCs w:val="21"/>
                <w:highlight w:val="none"/>
                <w:vertAlign w:val="subscript"/>
                <w:lang w:val="en-US" w:eastAsia="zh-CN"/>
              </w:rPr>
              <w:t>40</w:t>
            </w:r>
            <w:r>
              <w:rPr>
                <w:rFonts w:hint="eastAsia" w:ascii="Times New Roman" w:hAnsi="Times New Roman" w:cs="Times New Roman"/>
                <w:color w:val="auto"/>
                <w:sz w:val="21"/>
                <w:szCs w:val="21"/>
                <w:highlight w:val="none"/>
                <w:vertAlign w:val="baseline"/>
                <w:lang w:val="en-US" w:eastAsia="zh-CN"/>
              </w:rPr>
              <w:t>）、砷、六价铬、硫化物</w:t>
            </w:r>
          </w:p>
        </w:tc>
        <w:tc>
          <w:tcPr>
            <w:tcW w:w="921"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w:t>
            </w:r>
            <w:r>
              <w:rPr>
                <w:rFonts w:hint="eastAsia" w:ascii="Times New Roman" w:hAnsi="Times New Roman" w:cs="Times New Roman"/>
                <w:color w:val="auto"/>
                <w:sz w:val="21"/>
                <w:szCs w:val="21"/>
                <w:highlight w:val="none"/>
                <w:vertAlign w:val="baseline"/>
                <w:lang w:val="en-US" w:eastAsia="zh-CN"/>
              </w:rPr>
              <w:t>次</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半年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53" w:hRule="atLeast"/>
        </w:trPr>
        <w:tc>
          <w:tcPr>
            <w:tcW w:w="97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两侧</w:t>
            </w:r>
            <w:r>
              <w:rPr>
                <w:rFonts w:hint="default" w:ascii="Times New Roman" w:hAnsi="Times New Roman" w:cs="Times New Roman"/>
                <w:color w:val="auto"/>
                <w:sz w:val="21"/>
                <w:szCs w:val="21"/>
                <w:highlight w:val="none"/>
                <w:vertAlign w:val="baseline"/>
                <w:lang w:val="en-US" w:eastAsia="zh-CN"/>
              </w:rPr>
              <w:t>监测井</w:t>
            </w:r>
            <w:r>
              <w:rPr>
                <w:rFonts w:hint="eastAsia" w:cs="Times New Roman"/>
                <w:color w:val="auto"/>
                <w:sz w:val="21"/>
                <w:szCs w:val="21"/>
                <w:highlight w:val="none"/>
                <w:vertAlign w:val="baseline"/>
                <w:lang w:val="en-US" w:eastAsia="zh-CN"/>
              </w:rPr>
              <w:t>（发展村水井）</w:t>
            </w:r>
          </w:p>
        </w:tc>
        <w:tc>
          <w:tcPr>
            <w:tcW w:w="125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124.26850534,45.7422751</w:t>
            </w:r>
          </w:p>
        </w:tc>
        <w:tc>
          <w:tcPr>
            <w:tcW w:w="15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服务站站址西侧320m</w:t>
            </w:r>
          </w:p>
        </w:tc>
        <w:tc>
          <w:tcPr>
            <w:tcW w:w="102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80</w:t>
            </w:r>
          </w:p>
        </w:tc>
        <w:tc>
          <w:tcPr>
            <w:tcW w:w="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水泥</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管井</w:t>
            </w:r>
          </w:p>
        </w:tc>
        <w:tc>
          <w:tcPr>
            <w:tcW w:w="920"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977"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p>
        </w:tc>
        <w:tc>
          <w:tcPr>
            <w:tcW w:w="921"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53" w:hRule="atLeast"/>
        </w:trPr>
        <w:tc>
          <w:tcPr>
            <w:tcW w:w="97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下</w:t>
            </w:r>
            <w:r>
              <w:rPr>
                <w:rFonts w:hint="default" w:ascii="Times New Roman" w:hAnsi="Times New Roman" w:cs="Times New Roman"/>
                <w:color w:val="auto"/>
                <w:sz w:val="21"/>
                <w:szCs w:val="21"/>
                <w:highlight w:val="none"/>
                <w:vertAlign w:val="baseline"/>
                <w:lang w:val="en-US" w:eastAsia="zh-CN"/>
              </w:rPr>
              <w:t>游监测井（</w:t>
            </w:r>
            <w:r>
              <w:rPr>
                <w:rFonts w:hint="eastAsia" w:cs="Times New Roman"/>
                <w:color w:val="auto"/>
                <w:sz w:val="21"/>
                <w:szCs w:val="21"/>
                <w:highlight w:val="none"/>
                <w:vertAlign w:val="baseline"/>
                <w:lang w:val="en-US" w:eastAsia="zh-CN"/>
              </w:rPr>
              <w:t>1#新建潜水井</w:t>
            </w:r>
            <w:r>
              <w:rPr>
                <w:rFonts w:hint="default" w:ascii="Times New Roman" w:hAnsi="Times New Roman" w:cs="Times New Roman"/>
                <w:color w:val="auto"/>
                <w:sz w:val="21"/>
                <w:szCs w:val="21"/>
                <w:highlight w:val="none"/>
                <w:vertAlign w:val="baseline"/>
                <w:lang w:val="en-US" w:eastAsia="zh-CN"/>
              </w:rPr>
              <w:t>）</w:t>
            </w:r>
          </w:p>
        </w:tc>
        <w:tc>
          <w:tcPr>
            <w:tcW w:w="125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vertAlign w:val="baseline"/>
                <w:lang w:val="en-US" w:eastAsia="zh-CN"/>
              </w:rPr>
              <w:t>24.23625178,45.7700967</w:t>
            </w:r>
          </w:p>
        </w:tc>
        <w:tc>
          <w:tcPr>
            <w:tcW w:w="15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输液管道南侧100m</w:t>
            </w:r>
          </w:p>
        </w:tc>
        <w:tc>
          <w:tcPr>
            <w:tcW w:w="102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30</w:t>
            </w:r>
          </w:p>
        </w:tc>
        <w:tc>
          <w:tcPr>
            <w:tcW w:w="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水泥</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管井</w:t>
            </w:r>
          </w:p>
        </w:tc>
        <w:tc>
          <w:tcPr>
            <w:tcW w:w="920"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污染扩散监测点</w:t>
            </w:r>
          </w:p>
        </w:tc>
        <w:tc>
          <w:tcPr>
            <w:tcW w:w="977"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921"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53" w:hRule="atLeast"/>
        </w:trPr>
        <w:tc>
          <w:tcPr>
            <w:tcW w:w="97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下游监测井（</w:t>
            </w:r>
            <w:r>
              <w:rPr>
                <w:rFonts w:hint="eastAsia" w:cs="Times New Roman"/>
                <w:color w:val="auto"/>
                <w:sz w:val="21"/>
                <w:szCs w:val="21"/>
                <w:highlight w:val="none"/>
                <w:vertAlign w:val="baseline"/>
                <w:lang w:val="en-US" w:eastAsia="zh-CN"/>
              </w:rPr>
              <w:t>2#新建潜水井</w:t>
            </w:r>
            <w:r>
              <w:rPr>
                <w:rFonts w:hint="default" w:ascii="Times New Roman" w:hAnsi="Times New Roman" w:cs="Times New Roman"/>
                <w:color w:val="auto"/>
                <w:sz w:val="21"/>
                <w:szCs w:val="21"/>
                <w:highlight w:val="none"/>
                <w:vertAlign w:val="baseline"/>
                <w:lang w:val="en-US" w:eastAsia="zh-CN"/>
              </w:rPr>
              <w:t>）</w:t>
            </w:r>
          </w:p>
        </w:tc>
        <w:tc>
          <w:tcPr>
            <w:tcW w:w="125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124.27467727,45.73706092</w:t>
            </w:r>
          </w:p>
        </w:tc>
        <w:tc>
          <w:tcPr>
            <w:tcW w:w="15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服务站站址南侧220m</w:t>
            </w:r>
          </w:p>
        </w:tc>
        <w:tc>
          <w:tcPr>
            <w:tcW w:w="102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35</w:t>
            </w:r>
          </w:p>
        </w:tc>
        <w:tc>
          <w:tcPr>
            <w:tcW w:w="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水泥</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管井</w:t>
            </w:r>
          </w:p>
        </w:tc>
        <w:tc>
          <w:tcPr>
            <w:tcW w:w="920"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977"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921"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97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下游监测井（</w:t>
            </w:r>
            <w:r>
              <w:rPr>
                <w:rFonts w:hint="eastAsia" w:cs="Times New Roman"/>
                <w:color w:val="auto"/>
                <w:sz w:val="21"/>
                <w:szCs w:val="21"/>
                <w:highlight w:val="none"/>
                <w:vertAlign w:val="baseline"/>
                <w:lang w:val="en-US" w:eastAsia="zh-CN"/>
              </w:rPr>
              <w:t>3#新建潜水井</w:t>
            </w:r>
            <w:r>
              <w:rPr>
                <w:rFonts w:hint="default" w:ascii="Times New Roman" w:hAnsi="Times New Roman" w:cs="Times New Roman"/>
                <w:color w:val="auto"/>
                <w:sz w:val="21"/>
                <w:szCs w:val="21"/>
                <w:highlight w:val="none"/>
                <w:vertAlign w:val="baseline"/>
                <w:lang w:val="en-US" w:eastAsia="zh-CN"/>
              </w:rPr>
              <w:t>）</w:t>
            </w:r>
          </w:p>
        </w:tc>
        <w:tc>
          <w:tcPr>
            <w:tcW w:w="125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124.22504383,45.87906938</w:t>
            </w:r>
          </w:p>
        </w:tc>
        <w:tc>
          <w:tcPr>
            <w:tcW w:w="15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输液管道西侧230m</w:t>
            </w:r>
          </w:p>
        </w:tc>
        <w:tc>
          <w:tcPr>
            <w:tcW w:w="102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30</w:t>
            </w:r>
          </w:p>
        </w:tc>
        <w:tc>
          <w:tcPr>
            <w:tcW w:w="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水泥</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管井</w:t>
            </w:r>
          </w:p>
        </w:tc>
        <w:tc>
          <w:tcPr>
            <w:tcW w:w="920"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977"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4"/>
                <w:szCs w:val="24"/>
                <w:highlight w:val="none"/>
                <w:vertAlign w:val="baseline"/>
                <w:lang w:val="en-US" w:eastAsia="zh-CN"/>
              </w:rPr>
            </w:pPr>
          </w:p>
        </w:tc>
        <w:tc>
          <w:tcPr>
            <w:tcW w:w="921"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4"/>
                <w:szCs w:val="24"/>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7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下游监测井（</w:t>
            </w:r>
            <w:r>
              <w:rPr>
                <w:rFonts w:hint="eastAsia" w:cs="Times New Roman"/>
                <w:color w:val="auto"/>
                <w:sz w:val="21"/>
                <w:szCs w:val="21"/>
                <w:highlight w:val="none"/>
                <w:vertAlign w:val="baseline"/>
                <w:lang w:val="en-US" w:eastAsia="zh-CN"/>
              </w:rPr>
              <w:t>河北村潜水井</w:t>
            </w:r>
            <w:r>
              <w:rPr>
                <w:rFonts w:hint="default" w:ascii="Times New Roman" w:hAnsi="Times New Roman" w:cs="Times New Roman"/>
                <w:color w:val="auto"/>
                <w:sz w:val="21"/>
                <w:szCs w:val="21"/>
                <w:highlight w:val="none"/>
                <w:vertAlign w:val="baseline"/>
                <w:lang w:val="en-US" w:eastAsia="zh-CN"/>
              </w:rPr>
              <w:t>）</w:t>
            </w:r>
          </w:p>
        </w:tc>
        <w:tc>
          <w:tcPr>
            <w:tcW w:w="125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124.24053743,45.89439149</w:t>
            </w:r>
          </w:p>
        </w:tc>
        <w:tc>
          <w:tcPr>
            <w:tcW w:w="15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输液管道西侧524m</w:t>
            </w:r>
          </w:p>
        </w:tc>
        <w:tc>
          <w:tcPr>
            <w:tcW w:w="102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30</w:t>
            </w:r>
          </w:p>
        </w:tc>
        <w:tc>
          <w:tcPr>
            <w:tcW w:w="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水泥</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管井</w:t>
            </w:r>
          </w:p>
        </w:tc>
        <w:tc>
          <w:tcPr>
            <w:tcW w:w="920"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977"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4"/>
                <w:szCs w:val="24"/>
                <w:highlight w:val="none"/>
                <w:vertAlign w:val="baseline"/>
                <w:lang w:val="en-US" w:eastAsia="zh-CN"/>
              </w:rPr>
            </w:pPr>
          </w:p>
        </w:tc>
        <w:tc>
          <w:tcPr>
            <w:tcW w:w="921"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4"/>
                <w:szCs w:val="24"/>
                <w:highlight w:val="none"/>
                <w:vertAlign w:val="baseline"/>
                <w:lang w:val="en-US" w:eastAsia="zh-CN"/>
              </w:rPr>
            </w:pPr>
          </w:p>
        </w:tc>
      </w:tr>
    </w:tbl>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22" w:firstLineChars="200"/>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表6.2-3地表水</w:t>
      </w:r>
      <w:r>
        <w:rPr>
          <w:rFonts w:hint="eastAsia" w:ascii="Times New Roman" w:hAnsi="Times New Roman" w:eastAsia="宋体" w:cs="Times New Roman"/>
          <w:b/>
          <w:bCs/>
          <w:color w:val="auto"/>
          <w:kern w:val="0"/>
          <w:sz w:val="21"/>
          <w:szCs w:val="21"/>
          <w:highlight w:val="none"/>
          <w:lang w:val="en-US" w:eastAsia="zh-CN" w:bidi="ar"/>
        </w:rPr>
        <w:t>监测计划表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54"/>
        <w:gridCol w:w="1432"/>
        <w:gridCol w:w="2199"/>
        <w:gridCol w:w="926"/>
        <w:gridCol w:w="2091"/>
        <w:gridCol w:w="121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序号</w:t>
            </w:r>
          </w:p>
        </w:tc>
        <w:tc>
          <w:tcPr>
            <w:tcW w:w="143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地表水体</w:t>
            </w:r>
          </w:p>
        </w:tc>
        <w:tc>
          <w:tcPr>
            <w:tcW w:w="219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坐标（°）</w:t>
            </w:r>
          </w:p>
        </w:tc>
        <w:tc>
          <w:tcPr>
            <w:tcW w:w="9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功能</w:t>
            </w:r>
          </w:p>
        </w:tc>
        <w:tc>
          <w:tcPr>
            <w:tcW w:w="2091"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监测因子</w:t>
            </w:r>
          </w:p>
        </w:tc>
        <w:tc>
          <w:tcPr>
            <w:tcW w:w="12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c>
          <w:tcPr>
            <w:tcW w:w="14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鸭木蛋格泡子西北侧</w:t>
            </w:r>
          </w:p>
        </w:tc>
        <w:tc>
          <w:tcPr>
            <w:tcW w:w="219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124.226333600,45.774048260</w:t>
            </w:r>
          </w:p>
        </w:tc>
        <w:tc>
          <w:tcPr>
            <w:tcW w:w="9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091"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pH值、化学需氧量、五日生化需氧量、氨氮、总磷、石油类、挥发酚、硫化物、阴离子表面活性剂、汞、六价铬、镉、砷、镍、铅</w:t>
            </w:r>
          </w:p>
        </w:tc>
        <w:tc>
          <w:tcPr>
            <w:tcW w:w="1214"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每年丰、平、枯水期各监测一次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14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河北</w:t>
            </w:r>
            <w:r>
              <w:rPr>
                <w:rFonts w:hint="eastAsia" w:cs="Times New Roman"/>
                <w:color w:val="auto"/>
                <w:sz w:val="21"/>
                <w:szCs w:val="21"/>
                <w:highlight w:val="none"/>
                <w:lang w:val="en-US" w:eastAsia="zh-CN"/>
              </w:rPr>
              <w:t>村</w:t>
            </w:r>
            <w:r>
              <w:rPr>
                <w:rFonts w:hint="eastAsia" w:ascii="Times New Roman" w:hAnsi="Times New Roman" w:eastAsia="宋体" w:cs="Times New Roman"/>
                <w:color w:val="auto"/>
                <w:sz w:val="21"/>
                <w:szCs w:val="21"/>
                <w:highlight w:val="none"/>
                <w:lang w:val="en-US" w:eastAsia="zh-CN"/>
              </w:rPr>
              <w:t>南侧沟渠</w:t>
            </w:r>
          </w:p>
        </w:tc>
        <w:tc>
          <w:tcPr>
            <w:tcW w:w="2199" w:type="dxa"/>
            <w:tcBorders>
              <w:tl2br w:val="nil"/>
              <w:tr2bl w:val="nil"/>
            </w:tcBorders>
            <w:vAlign w:val="center"/>
          </w:tcPr>
          <w:p>
            <w:pPr>
              <w:pStyle w:val="31"/>
              <w:widowControl w:val="0"/>
              <w:snapToGrid w:val="0"/>
              <w:spacing w:line="240" w:lineRule="auto"/>
              <w:jc w:val="both"/>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124.234843590,45.890866940</w:t>
            </w:r>
          </w:p>
        </w:tc>
        <w:tc>
          <w:tcPr>
            <w:tcW w:w="9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09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21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5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14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lang w:val="en-US" w:eastAsia="zh-CN"/>
              </w:rPr>
              <w:t>大五家子屯</w:t>
            </w:r>
            <w:r>
              <w:rPr>
                <w:rFonts w:hint="eastAsia" w:ascii="Times New Roman" w:hAnsi="Times New Roman" w:eastAsia="宋体" w:cs="Times New Roman"/>
                <w:color w:val="auto"/>
                <w:sz w:val="21"/>
                <w:szCs w:val="21"/>
                <w:highlight w:val="none"/>
                <w:lang w:val="en-US" w:eastAsia="zh-CN"/>
              </w:rPr>
              <w:t>东北侧沟渠</w:t>
            </w:r>
          </w:p>
        </w:tc>
        <w:tc>
          <w:tcPr>
            <w:tcW w:w="2199" w:type="dxa"/>
            <w:tcBorders>
              <w:tl2br w:val="nil"/>
              <w:tr2bl w:val="nil"/>
            </w:tcBorders>
            <w:vAlign w:val="center"/>
          </w:tcPr>
          <w:p>
            <w:pPr>
              <w:pStyle w:val="31"/>
              <w:widowControl w:val="0"/>
              <w:snapToGrid w:val="0"/>
              <w:spacing w:line="240" w:lineRule="auto"/>
              <w:jc w:val="both"/>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124.269583580,45.911528090</w:t>
            </w:r>
          </w:p>
        </w:tc>
        <w:tc>
          <w:tcPr>
            <w:tcW w:w="92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2091"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214"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bl>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13" w:name="_Toc819"/>
      <w:r>
        <w:rPr>
          <w:rFonts w:hint="eastAsia" w:ascii="Times New Roman" w:hAnsi="Times New Roman" w:eastAsia="宋体" w:cs="Times New Roman"/>
          <w:snapToGrid/>
          <w:color w:val="auto"/>
          <w:sz w:val="32"/>
          <w:highlight w:val="none"/>
          <w:lang w:val="en-US" w:eastAsia="zh-CN" w:bidi="ar-SA"/>
        </w:rPr>
        <w:t>6.3噪声污染防治措施及其可行性论证</w:t>
      </w:r>
      <w:bookmarkEnd w:id="1213"/>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6.3.1施工期噪声污染防治措施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通过采取相应的管理措施，可进一步减降低工程施工噪声对周围环境敏感点的影响。具体措施如下：</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w:t>
      </w:r>
      <w:r>
        <w:rPr>
          <w:rFonts w:hint="default" w:cs="Times New Roman"/>
          <w:caps w:val="0"/>
          <w:smallCaps w:val="0"/>
          <w:snapToGrid/>
          <w:color w:val="auto"/>
          <w:spacing w:val="0"/>
          <w:w w:val="100"/>
          <w:kern w:val="0"/>
          <w:sz w:val="24"/>
          <w:szCs w:val="24"/>
          <w:highlight w:val="none"/>
          <w:lang w:val="en-US" w:eastAsia="zh-CN" w:bidi="ar-SA"/>
        </w:rPr>
        <w:t>在</w:t>
      </w:r>
      <w:r>
        <w:rPr>
          <w:rFonts w:hint="eastAsia" w:cs="Times New Roman"/>
          <w:caps w:val="0"/>
          <w:smallCaps w:val="0"/>
          <w:snapToGrid/>
          <w:color w:val="auto"/>
          <w:spacing w:val="0"/>
          <w:w w:val="100"/>
          <w:kern w:val="0"/>
          <w:sz w:val="24"/>
          <w:szCs w:val="24"/>
          <w:highlight w:val="none"/>
          <w:lang w:val="en-US" w:eastAsia="zh-CN" w:bidi="ar-SA"/>
        </w:rPr>
        <w:t>靠近村屯附近施工现场，</w:t>
      </w:r>
      <w:r>
        <w:rPr>
          <w:rFonts w:hint="default" w:cs="Times New Roman"/>
          <w:caps w:val="0"/>
          <w:smallCaps w:val="0"/>
          <w:snapToGrid/>
          <w:color w:val="auto"/>
          <w:spacing w:val="0"/>
          <w:w w:val="100"/>
          <w:kern w:val="0"/>
          <w:sz w:val="24"/>
          <w:szCs w:val="24"/>
          <w:highlight w:val="none"/>
          <w:lang w:val="en-US" w:eastAsia="zh-CN" w:bidi="ar-SA"/>
        </w:rPr>
        <w:t>敷设管道时采用人工开挖，禁止使用大型施工设备，同时严格控制施工作业面宽，缩短施工时间。</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（2）站址施工现场在靠近村屯一侧时，通过现场合理布局，将较大声级施工设备远离敏感点，且距离村屯较近施工区域为储液池区域，施工相对简单，施工时间短。</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w:t>
      </w:r>
      <w:r>
        <w:rPr>
          <w:rFonts w:hint="eastAsia" w:cs="Times New Roman"/>
          <w:caps w:val="0"/>
          <w:smallCaps w:val="0"/>
          <w:snapToGrid/>
          <w:color w:val="auto"/>
          <w:spacing w:val="0"/>
          <w:w w:val="100"/>
          <w:kern w:val="0"/>
          <w:sz w:val="24"/>
          <w:szCs w:val="24"/>
          <w:highlight w:val="none"/>
          <w:lang w:val="en-US" w:eastAsia="zh-CN" w:bidi="ar-SA"/>
        </w:rPr>
        <w:t>3</w:t>
      </w:r>
      <w:r>
        <w:rPr>
          <w:rFonts w:hint="default" w:cs="Times New Roman"/>
          <w:caps w:val="0"/>
          <w:smallCaps w:val="0"/>
          <w:snapToGrid/>
          <w:color w:val="auto"/>
          <w:spacing w:val="0"/>
          <w:w w:val="100"/>
          <w:kern w:val="0"/>
          <w:sz w:val="24"/>
          <w:szCs w:val="24"/>
          <w:highlight w:val="none"/>
          <w:lang w:val="en-US" w:eastAsia="zh-CN" w:bidi="ar-SA"/>
        </w:rPr>
        <w:t>）</w:t>
      </w:r>
      <w:r>
        <w:rPr>
          <w:rFonts w:hint="eastAsia" w:cs="Times New Roman"/>
          <w:caps w:val="0"/>
          <w:smallCaps w:val="0"/>
          <w:snapToGrid/>
          <w:color w:val="auto"/>
          <w:spacing w:val="0"/>
          <w:w w:val="100"/>
          <w:kern w:val="0"/>
          <w:sz w:val="24"/>
          <w:szCs w:val="24"/>
          <w:highlight w:val="none"/>
          <w:lang w:val="en-US" w:eastAsia="zh-CN" w:bidi="ar-SA"/>
        </w:rPr>
        <w:t>站址施工现场，</w:t>
      </w:r>
      <w:r>
        <w:rPr>
          <w:rFonts w:hint="default" w:cs="Times New Roman"/>
          <w:caps w:val="0"/>
          <w:smallCaps w:val="0"/>
          <w:snapToGrid/>
          <w:color w:val="auto"/>
          <w:spacing w:val="0"/>
          <w:w w:val="100"/>
          <w:kern w:val="0"/>
          <w:sz w:val="24"/>
          <w:szCs w:val="24"/>
          <w:highlight w:val="none"/>
          <w:lang w:val="en-US" w:eastAsia="zh-CN" w:bidi="ar-SA"/>
        </w:rPr>
        <w:t>减少推土机等高噪声设备同时施工时间，降低对周围环境的影响；</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w:t>
      </w:r>
      <w:r>
        <w:rPr>
          <w:rFonts w:hint="eastAsia" w:cs="Times New Roman"/>
          <w:caps w:val="0"/>
          <w:smallCaps w:val="0"/>
          <w:snapToGrid/>
          <w:color w:val="auto"/>
          <w:spacing w:val="0"/>
          <w:w w:val="100"/>
          <w:kern w:val="0"/>
          <w:sz w:val="24"/>
          <w:szCs w:val="24"/>
          <w:highlight w:val="none"/>
          <w:lang w:val="en-US" w:eastAsia="zh-CN" w:bidi="ar-SA"/>
        </w:rPr>
        <w:t>4</w:t>
      </w:r>
      <w:r>
        <w:rPr>
          <w:rFonts w:hint="default" w:cs="Times New Roman"/>
          <w:caps w:val="0"/>
          <w:smallCaps w:val="0"/>
          <w:snapToGrid/>
          <w:color w:val="auto"/>
          <w:spacing w:val="0"/>
          <w:w w:val="100"/>
          <w:kern w:val="0"/>
          <w:sz w:val="24"/>
          <w:szCs w:val="24"/>
          <w:highlight w:val="none"/>
          <w:lang w:val="en-US" w:eastAsia="zh-CN" w:bidi="ar-SA"/>
        </w:rPr>
        <w:t>）注意对设备的维护和保养，合理操作，保证施工机械保持在最佳状态，降低噪声源强度；</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w:t>
      </w:r>
      <w:r>
        <w:rPr>
          <w:rFonts w:hint="eastAsia" w:cs="Times New Roman"/>
          <w:caps w:val="0"/>
          <w:smallCaps w:val="0"/>
          <w:snapToGrid/>
          <w:color w:val="auto"/>
          <w:spacing w:val="0"/>
          <w:w w:val="100"/>
          <w:kern w:val="0"/>
          <w:sz w:val="24"/>
          <w:szCs w:val="24"/>
          <w:highlight w:val="none"/>
          <w:lang w:val="en-US" w:eastAsia="zh-CN" w:bidi="ar-SA"/>
        </w:rPr>
        <w:t>5</w:t>
      </w:r>
      <w:r>
        <w:rPr>
          <w:rFonts w:hint="default" w:cs="Times New Roman"/>
          <w:caps w:val="0"/>
          <w:smallCaps w:val="0"/>
          <w:snapToGrid/>
          <w:color w:val="auto"/>
          <w:spacing w:val="0"/>
          <w:w w:val="100"/>
          <w:kern w:val="0"/>
          <w:sz w:val="24"/>
          <w:szCs w:val="24"/>
          <w:highlight w:val="none"/>
          <w:lang w:val="en-US" w:eastAsia="zh-CN" w:bidi="ar-SA"/>
        </w:rPr>
        <w:t>）合理安排施工进度，禁止在夜间（22:00~6:00）和午休时间（12:00~14:00）施工；</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w:t>
      </w:r>
      <w:r>
        <w:rPr>
          <w:rFonts w:hint="eastAsia" w:cs="Times New Roman"/>
          <w:caps w:val="0"/>
          <w:smallCaps w:val="0"/>
          <w:snapToGrid/>
          <w:color w:val="auto"/>
          <w:spacing w:val="0"/>
          <w:w w:val="100"/>
          <w:kern w:val="0"/>
          <w:sz w:val="24"/>
          <w:szCs w:val="24"/>
          <w:highlight w:val="none"/>
          <w:lang w:val="en-US" w:eastAsia="zh-CN" w:bidi="ar-SA"/>
        </w:rPr>
        <w:t>6</w:t>
      </w:r>
      <w:r>
        <w:rPr>
          <w:rFonts w:hint="default" w:cs="Times New Roman"/>
          <w:caps w:val="0"/>
          <w:smallCaps w:val="0"/>
          <w:snapToGrid/>
          <w:color w:val="auto"/>
          <w:spacing w:val="0"/>
          <w:w w:val="100"/>
          <w:kern w:val="0"/>
          <w:sz w:val="24"/>
          <w:szCs w:val="24"/>
          <w:highlight w:val="none"/>
          <w:lang w:val="en-US" w:eastAsia="zh-CN" w:bidi="ar-SA"/>
        </w:rPr>
        <w:t>）不可避免需要夜间施工时，应向附近居民进行公告，取得民众谅解，并合理安排施工机械数量，严格限定施工范围，选用噪音低的设备，同时控制夜间灯光数量和照射范围；</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w:t>
      </w:r>
      <w:r>
        <w:rPr>
          <w:rFonts w:hint="eastAsia" w:cs="Times New Roman"/>
          <w:caps w:val="0"/>
          <w:smallCaps w:val="0"/>
          <w:snapToGrid/>
          <w:color w:val="auto"/>
          <w:spacing w:val="0"/>
          <w:w w:val="100"/>
          <w:kern w:val="0"/>
          <w:sz w:val="24"/>
          <w:szCs w:val="24"/>
          <w:highlight w:val="none"/>
          <w:lang w:val="en-US" w:eastAsia="zh-CN" w:bidi="ar-SA"/>
        </w:rPr>
        <w:t>7</w:t>
      </w:r>
      <w:r>
        <w:rPr>
          <w:rFonts w:hint="default" w:cs="Times New Roman"/>
          <w:caps w:val="0"/>
          <w:smallCaps w:val="0"/>
          <w:snapToGrid/>
          <w:color w:val="auto"/>
          <w:spacing w:val="0"/>
          <w:w w:val="100"/>
          <w:kern w:val="0"/>
          <w:sz w:val="24"/>
          <w:szCs w:val="24"/>
          <w:highlight w:val="none"/>
          <w:lang w:val="en-US" w:eastAsia="zh-CN" w:bidi="ar-SA"/>
        </w:rPr>
        <w:t>）运输车辆尽量选择避开村屯路线，尽量减少鸣笛。</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通过采取上述措施，能够确保施工场界噪声满足《建筑施工场界环境噪声排放标准》（GB12523-2011）要求，不会对声环境产生较大影响，施工期噪声治理措施技术合理可行。</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6.3.2运行期噪声污染防治措施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本项目</w:t>
      </w:r>
      <w:r>
        <w:rPr>
          <w:rFonts w:hint="eastAsia" w:cs="Times New Roman"/>
          <w:caps w:val="0"/>
          <w:smallCaps w:val="0"/>
          <w:snapToGrid/>
          <w:color w:val="auto"/>
          <w:spacing w:val="0"/>
          <w:w w:val="100"/>
          <w:kern w:val="0"/>
          <w:sz w:val="24"/>
          <w:szCs w:val="24"/>
          <w:highlight w:val="none"/>
          <w:lang w:val="en-US" w:eastAsia="zh-CN" w:bidi="ar-SA"/>
        </w:rPr>
        <w:t>运行期间采取以下噪声防治措施：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w:t>
      </w:r>
      <w:r>
        <w:rPr>
          <w:rFonts w:hint="default" w:cs="Times New Roman"/>
          <w:caps w:val="0"/>
          <w:smallCaps w:val="0"/>
          <w:snapToGrid/>
          <w:color w:val="auto"/>
          <w:spacing w:val="0"/>
          <w:w w:val="100"/>
          <w:kern w:val="0"/>
          <w:sz w:val="24"/>
          <w:szCs w:val="24"/>
          <w:highlight w:val="none"/>
          <w:lang w:val="en-US" w:eastAsia="zh-CN" w:bidi="ar-SA"/>
        </w:rPr>
        <w:t>选用低噪声源生产设备：生产设备的选型应当选用低噪声、低能耗的生产设备，不但可以减少噪声对周围环境的污染；</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（2）</w:t>
      </w:r>
      <w:r>
        <w:rPr>
          <w:rFonts w:hint="default" w:cs="Times New Roman"/>
          <w:caps w:val="0"/>
          <w:smallCaps w:val="0"/>
          <w:snapToGrid/>
          <w:color w:val="auto"/>
          <w:spacing w:val="0"/>
          <w:w w:val="100"/>
          <w:kern w:val="0"/>
          <w:sz w:val="24"/>
          <w:szCs w:val="24"/>
          <w:highlight w:val="none"/>
          <w:lang w:val="en-US" w:eastAsia="zh-CN" w:bidi="ar-SA"/>
        </w:rPr>
        <w:t>采用降噪措施：</w:t>
      </w:r>
      <w:r>
        <w:rPr>
          <w:rFonts w:hint="eastAsia" w:cs="Times New Roman"/>
          <w:caps w:val="0"/>
          <w:smallCaps w:val="0"/>
          <w:snapToGrid/>
          <w:color w:val="auto"/>
          <w:spacing w:val="0"/>
          <w:w w:val="100"/>
          <w:kern w:val="0"/>
          <w:sz w:val="24"/>
          <w:szCs w:val="24"/>
          <w:highlight w:val="none"/>
          <w:lang w:val="en-US" w:eastAsia="zh-CN" w:bidi="ar-SA"/>
        </w:rPr>
        <w:t>安装减振垫，</w:t>
      </w:r>
      <w:r>
        <w:rPr>
          <w:rFonts w:hint="default" w:cs="Times New Roman"/>
          <w:caps w:val="0"/>
          <w:smallCaps w:val="0"/>
          <w:snapToGrid/>
          <w:color w:val="auto"/>
          <w:spacing w:val="0"/>
          <w:w w:val="100"/>
          <w:kern w:val="0"/>
          <w:sz w:val="24"/>
          <w:szCs w:val="24"/>
          <w:highlight w:val="none"/>
          <w:lang w:val="en-US" w:eastAsia="zh-CN" w:bidi="ar-SA"/>
        </w:rPr>
        <w:t>固定设备设计</w:t>
      </w:r>
      <w:r>
        <w:rPr>
          <w:rFonts w:hint="eastAsia" w:cs="Times New Roman"/>
          <w:caps w:val="0"/>
          <w:smallCaps w:val="0"/>
          <w:snapToGrid/>
          <w:color w:val="auto"/>
          <w:spacing w:val="0"/>
          <w:w w:val="100"/>
          <w:kern w:val="0"/>
          <w:sz w:val="24"/>
          <w:szCs w:val="24"/>
          <w:highlight w:val="none"/>
          <w:lang w:val="en-US" w:eastAsia="zh-CN" w:bidi="ar-SA"/>
        </w:rPr>
        <w:t>减振</w:t>
      </w:r>
      <w:r>
        <w:rPr>
          <w:rFonts w:hint="default" w:cs="Times New Roman"/>
          <w:caps w:val="0"/>
          <w:smallCaps w:val="0"/>
          <w:snapToGrid/>
          <w:color w:val="auto"/>
          <w:spacing w:val="0"/>
          <w:w w:val="100"/>
          <w:kern w:val="0"/>
          <w:sz w:val="24"/>
          <w:szCs w:val="24"/>
          <w:highlight w:val="none"/>
          <w:lang w:val="en-US" w:eastAsia="zh-CN" w:bidi="ar-SA"/>
        </w:rPr>
        <w:t>基础，减少设备的振动，以减少设备噪声源强。</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（3）项目运行期主要产噪设备均布设在室内，通过墙体隔音，降低对外界环境的影响。</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（4）定期对设备进行</w:t>
      </w:r>
      <w:r>
        <w:rPr>
          <w:rFonts w:hint="default" w:cs="Times New Roman"/>
          <w:caps w:val="0"/>
          <w:smallCaps w:val="0"/>
          <w:snapToGrid/>
          <w:color w:val="auto"/>
          <w:spacing w:val="0"/>
          <w:w w:val="100"/>
          <w:kern w:val="0"/>
          <w:sz w:val="24"/>
          <w:szCs w:val="24"/>
          <w:highlight w:val="none"/>
          <w:lang w:val="en-US" w:eastAsia="zh-CN" w:bidi="ar-SA"/>
        </w:rPr>
        <w:t>维护和保养</w:t>
      </w:r>
      <w:r>
        <w:rPr>
          <w:rFonts w:hint="eastAsia" w:cs="Times New Roman"/>
          <w:caps w:val="0"/>
          <w:smallCaps w:val="0"/>
          <w:snapToGrid/>
          <w:color w:val="auto"/>
          <w:spacing w:val="0"/>
          <w:w w:val="100"/>
          <w:kern w:val="0"/>
          <w:sz w:val="24"/>
          <w:szCs w:val="24"/>
          <w:highlight w:val="none"/>
          <w:lang w:val="en-US" w:eastAsia="zh-CN" w:bidi="ar-SA"/>
        </w:rPr>
        <w:t>，使设备</w:t>
      </w:r>
      <w:r>
        <w:rPr>
          <w:rFonts w:hint="default" w:cs="Times New Roman"/>
          <w:caps w:val="0"/>
          <w:smallCaps w:val="0"/>
          <w:snapToGrid/>
          <w:color w:val="auto"/>
          <w:spacing w:val="0"/>
          <w:w w:val="100"/>
          <w:kern w:val="0"/>
          <w:sz w:val="24"/>
          <w:szCs w:val="24"/>
          <w:highlight w:val="none"/>
          <w:lang w:val="en-US" w:eastAsia="zh-CN" w:bidi="ar-SA"/>
        </w:rPr>
        <w:t>处于良好的运转状态，避免因设备运转不正常而引起噪声的增高；</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（5）</w:t>
      </w:r>
      <w:r>
        <w:rPr>
          <w:rFonts w:hint="default" w:cs="Times New Roman"/>
          <w:caps w:val="0"/>
          <w:smallCaps w:val="0"/>
          <w:snapToGrid/>
          <w:color w:val="auto"/>
          <w:spacing w:val="0"/>
          <w:w w:val="100"/>
          <w:kern w:val="0"/>
          <w:sz w:val="24"/>
          <w:szCs w:val="24"/>
          <w:highlight w:val="none"/>
          <w:lang w:val="en-US" w:eastAsia="zh-CN" w:bidi="ar-SA"/>
        </w:rPr>
        <w:t>为减少运输带来的影响，运输时间为8:00-11:30和13:30-18:00，禁止夜间运输，这样既避开了人流、车流高峰期，也避免了午休、夜间运输对沿途居民生活环境的影响；为防止噪声污染，经过附近村屯时，应限速行驶，并禁止鸣笛；</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（6）</w:t>
      </w:r>
      <w:r>
        <w:rPr>
          <w:rFonts w:hint="default" w:cs="Times New Roman"/>
          <w:caps w:val="0"/>
          <w:smallCaps w:val="0"/>
          <w:snapToGrid/>
          <w:color w:val="auto"/>
          <w:spacing w:val="0"/>
          <w:w w:val="100"/>
          <w:kern w:val="0"/>
          <w:sz w:val="24"/>
          <w:szCs w:val="24"/>
          <w:highlight w:val="none"/>
          <w:lang w:val="en-US" w:eastAsia="zh-CN" w:bidi="ar-SA"/>
        </w:rPr>
        <w:t>规范行车路线，按期保养车辆，使保持车辆良好工况，尽可能将运输噪声控制到最低程度。</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通过采取以上措施，运行期</w:t>
      </w:r>
      <w:r>
        <w:rPr>
          <w:rFonts w:hint="eastAsia" w:cs="Times New Roman"/>
          <w:caps w:val="0"/>
          <w:smallCaps w:val="0"/>
          <w:snapToGrid/>
          <w:color w:val="auto"/>
          <w:spacing w:val="0"/>
          <w:w w:val="100"/>
          <w:kern w:val="0"/>
          <w:sz w:val="24"/>
          <w:szCs w:val="24"/>
          <w:highlight w:val="none"/>
          <w:lang w:val="en-US" w:eastAsia="zh-CN" w:bidi="ar-SA"/>
        </w:rPr>
        <w:t>站址</w:t>
      </w:r>
      <w:r>
        <w:rPr>
          <w:rFonts w:hint="default" w:cs="Times New Roman"/>
          <w:caps w:val="0"/>
          <w:smallCaps w:val="0"/>
          <w:snapToGrid/>
          <w:color w:val="auto"/>
          <w:spacing w:val="0"/>
          <w:w w:val="100"/>
          <w:kern w:val="0"/>
          <w:sz w:val="24"/>
          <w:szCs w:val="24"/>
          <w:highlight w:val="none"/>
          <w:lang w:val="en-US" w:eastAsia="zh-CN" w:bidi="ar-SA"/>
        </w:rPr>
        <w:t>厂界噪声排放满足《工业企业厂界环境噪声排放标准》（GB12348-2008）2类</w:t>
      </w:r>
      <w:r>
        <w:rPr>
          <w:rFonts w:hint="eastAsia" w:cs="Times New Roman"/>
          <w:caps w:val="0"/>
          <w:smallCaps w:val="0"/>
          <w:snapToGrid/>
          <w:color w:val="auto"/>
          <w:spacing w:val="0"/>
          <w:w w:val="100"/>
          <w:kern w:val="0"/>
          <w:sz w:val="24"/>
          <w:szCs w:val="24"/>
          <w:highlight w:val="none"/>
          <w:lang w:val="en-US" w:eastAsia="zh-CN" w:bidi="ar-SA"/>
        </w:rPr>
        <w:t>和4类</w:t>
      </w:r>
      <w:r>
        <w:rPr>
          <w:rFonts w:hint="default" w:cs="Times New Roman"/>
          <w:caps w:val="0"/>
          <w:smallCaps w:val="0"/>
          <w:snapToGrid/>
          <w:color w:val="auto"/>
          <w:spacing w:val="0"/>
          <w:w w:val="100"/>
          <w:kern w:val="0"/>
          <w:sz w:val="24"/>
          <w:szCs w:val="24"/>
          <w:highlight w:val="none"/>
          <w:lang w:val="en-US" w:eastAsia="zh-CN" w:bidi="ar-SA"/>
        </w:rPr>
        <w:t>标准，对周围声环境产生</w:t>
      </w:r>
      <w:r>
        <w:rPr>
          <w:rFonts w:hint="eastAsia" w:cs="Times New Roman"/>
          <w:caps w:val="0"/>
          <w:smallCaps w:val="0"/>
          <w:snapToGrid/>
          <w:color w:val="auto"/>
          <w:spacing w:val="0"/>
          <w:w w:val="100"/>
          <w:kern w:val="0"/>
          <w:sz w:val="24"/>
          <w:szCs w:val="24"/>
          <w:highlight w:val="none"/>
          <w:lang w:val="en-US" w:eastAsia="zh-CN" w:bidi="ar-SA"/>
        </w:rPr>
        <w:t>的</w:t>
      </w:r>
      <w:r>
        <w:rPr>
          <w:rFonts w:hint="default" w:cs="Times New Roman"/>
          <w:caps w:val="0"/>
          <w:smallCaps w:val="0"/>
          <w:snapToGrid/>
          <w:color w:val="auto"/>
          <w:spacing w:val="0"/>
          <w:w w:val="100"/>
          <w:kern w:val="0"/>
          <w:sz w:val="24"/>
          <w:szCs w:val="24"/>
          <w:highlight w:val="none"/>
          <w:lang w:val="en-US" w:eastAsia="zh-CN" w:bidi="ar-SA"/>
        </w:rPr>
        <w:t>影响</w:t>
      </w:r>
      <w:r>
        <w:rPr>
          <w:rFonts w:hint="eastAsia" w:cs="Times New Roman"/>
          <w:caps w:val="0"/>
          <w:smallCaps w:val="0"/>
          <w:snapToGrid/>
          <w:color w:val="auto"/>
          <w:spacing w:val="0"/>
          <w:w w:val="100"/>
          <w:kern w:val="0"/>
          <w:sz w:val="24"/>
          <w:szCs w:val="24"/>
          <w:highlight w:val="none"/>
          <w:lang w:val="en-US" w:eastAsia="zh-CN" w:bidi="ar-SA"/>
        </w:rPr>
        <w:t>较小</w:t>
      </w:r>
      <w:r>
        <w:rPr>
          <w:rFonts w:hint="default" w:cs="Times New Roman"/>
          <w:caps w:val="0"/>
          <w:smallCaps w:val="0"/>
          <w:snapToGrid/>
          <w:color w:val="auto"/>
          <w:spacing w:val="0"/>
          <w:w w:val="100"/>
          <w:kern w:val="0"/>
          <w:sz w:val="24"/>
          <w:szCs w:val="24"/>
          <w:highlight w:val="none"/>
          <w:lang w:val="en-US" w:eastAsia="zh-CN" w:bidi="ar-SA"/>
        </w:rPr>
        <w:t>，运行期噪声治理措施可行。</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6.3.3噪声监测计划</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default" w:cs="Times New Roman"/>
          <w:caps w:val="0"/>
          <w:smallCaps w:val="0"/>
          <w:snapToGrid/>
          <w:color w:val="auto"/>
          <w:spacing w:val="0"/>
          <w:w w:val="100"/>
          <w:kern w:val="0"/>
          <w:sz w:val="24"/>
          <w:szCs w:val="24"/>
          <w:highlight w:val="none"/>
          <w:lang w:val="en-US" w:eastAsia="zh-CN" w:bidi="ar-SA"/>
        </w:rPr>
        <w:t>根据《环境影响评价技术导则声环境》（HJ2.4-2021）“一级、二级项目评价应根据项目噪声影响特点和声环境保护目标特点，提出项目在生产运行阶段的厂界（场界、边界）噪声监测计划和代表性声环境保护目标监测计划”及《排污单位自行监测技术指南 总则》（HJ819-2017）、《排污许可证申请与核发技术规范 水处理通用工序》（HJ1120-2020）</w:t>
      </w:r>
      <w:r>
        <w:rPr>
          <w:rFonts w:hint="eastAsia" w:cs="Times New Roman"/>
          <w:caps w:val="0"/>
          <w:smallCaps w:val="0"/>
          <w:snapToGrid/>
          <w:color w:val="auto"/>
          <w:spacing w:val="0"/>
          <w:w w:val="100"/>
          <w:kern w:val="0"/>
          <w:sz w:val="24"/>
          <w:szCs w:val="24"/>
          <w:highlight w:val="none"/>
          <w:lang w:val="en-US" w:eastAsia="zh-CN" w:bidi="ar-SA"/>
        </w:rPr>
        <w:t>、</w:t>
      </w:r>
      <w:r>
        <w:rPr>
          <w:rFonts w:hint="default" w:cs="Times New Roman"/>
          <w:caps w:val="0"/>
          <w:smallCaps w:val="0"/>
          <w:snapToGrid/>
          <w:color w:val="auto"/>
          <w:spacing w:val="0"/>
          <w:w w:val="100"/>
          <w:kern w:val="0"/>
          <w:sz w:val="24"/>
          <w:szCs w:val="24"/>
          <w:highlight w:val="none"/>
          <w:lang w:val="en-US" w:eastAsia="zh-CN" w:bidi="ar-SA"/>
        </w:rPr>
        <w:t>《排污单位自行监测技术指南 水处理》（HJ1083-2020），</w:t>
      </w:r>
      <w:r>
        <w:rPr>
          <w:rFonts w:hint="eastAsia" w:cs="Times New Roman"/>
          <w:caps w:val="0"/>
          <w:smallCaps w:val="0"/>
          <w:snapToGrid/>
          <w:color w:val="auto"/>
          <w:spacing w:val="0"/>
          <w:w w:val="100"/>
          <w:kern w:val="0"/>
          <w:sz w:val="24"/>
          <w:szCs w:val="24"/>
          <w:highlight w:val="none"/>
          <w:lang w:val="en-US" w:eastAsia="zh-CN" w:bidi="ar-SA"/>
        </w:rPr>
        <w:t>本项目运行期噪声监测计划见下表。</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22" w:firstLineChars="200"/>
        <w:jc w:val="center"/>
        <w:textAlignment w:val="baseline"/>
        <w:rPr>
          <w:rFonts w:hint="eastAsia"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w:t>
      </w:r>
      <w:r>
        <w:rPr>
          <w:rFonts w:hint="eastAsia" w:cs="Times New Roman"/>
          <w:b/>
          <w:bCs/>
          <w:caps w:val="0"/>
          <w:smallCaps w:val="0"/>
          <w:snapToGrid/>
          <w:color w:val="auto"/>
          <w:spacing w:val="0"/>
          <w:w w:val="100"/>
          <w:kern w:val="0"/>
          <w:sz w:val="21"/>
          <w:szCs w:val="21"/>
          <w:highlight w:val="none"/>
          <w:lang w:val="en-US" w:eastAsia="zh-CN" w:bidi="ar-SA"/>
        </w:rPr>
        <w:t>6.3-1噪声监测计划一览表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91"/>
        <w:gridCol w:w="1065"/>
        <w:gridCol w:w="1395"/>
        <w:gridCol w:w="1320"/>
        <w:gridCol w:w="1095"/>
        <w:gridCol w:w="245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91"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Cs w:val="21"/>
                <w:highlight w:val="none"/>
                <w:lang w:val="en-US" w:eastAsia="zh-CN"/>
              </w:rPr>
              <w:t>类别</w:t>
            </w:r>
          </w:p>
        </w:tc>
        <w:tc>
          <w:tcPr>
            <w:tcW w:w="1065"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Cs w:val="21"/>
                <w:highlight w:val="none"/>
                <w:lang w:val="en-US" w:eastAsia="zh-CN"/>
              </w:rPr>
              <w:t>监测点位</w:t>
            </w:r>
          </w:p>
        </w:tc>
        <w:tc>
          <w:tcPr>
            <w:tcW w:w="1395"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Cs w:val="21"/>
                <w:highlight w:val="none"/>
                <w:lang w:val="en-US" w:eastAsia="zh-CN"/>
              </w:rPr>
              <w:t>监测指标</w:t>
            </w:r>
          </w:p>
        </w:tc>
        <w:tc>
          <w:tcPr>
            <w:tcW w:w="1320"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Cs w:val="21"/>
                <w:highlight w:val="none"/>
                <w:lang w:val="en-US" w:eastAsia="zh-CN"/>
              </w:rPr>
              <w:t>监测时段</w:t>
            </w:r>
          </w:p>
        </w:tc>
        <w:tc>
          <w:tcPr>
            <w:tcW w:w="1095"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Cs w:val="21"/>
                <w:highlight w:val="none"/>
                <w:lang w:val="en-US" w:eastAsia="zh-CN"/>
              </w:rPr>
              <w:t>监测频次</w:t>
            </w:r>
          </w:p>
        </w:tc>
        <w:tc>
          <w:tcPr>
            <w:tcW w:w="2450"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Cs w:val="21"/>
                <w:highlight w:val="none"/>
                <w:lang w:val="en-US" w:eastAsia="zh-CN"/>
              </w:rPr>
              <w:t>执行排放标准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91"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Cs w:val="21"/>
                <w:highlight w:val="none"/>
                <w:lang w:val="en-US" w:eastAsia="zh-CN"/>
              </w:rPr>
              <w:t>噪声</w:t>
            </w:r>
          </w:p>
        </w:tc>
        <w:tc>
          <w:tcPr>
            <w:tcW w:w="1065"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Cs w:val="21"/>
                <w:highlight w:val="none"/>
                <w:lang w:val="en-US" w:eastAsia="zh-CN"/>
              </w:rPr>
              <w:t>厂界</w:t>
            </w:r>
          </w:p>
        </w:tc>
        <w:tc>
          <w:tcPr>
            <w:tcW w:w="1395"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Cs w:val="21"/>
                <w:highlight w:val="none"/>
                <w:lang w:val="en-US" w:eastAsia="zh-CN"/>
              </w:rPr>
              <w:t>Leq（A）</w:t>
            </w:r>
          </w:p>
        </w:tc>
        <w:tc>
          <w:tcPr>
            <w:tcW w:w="1320"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Cs w:val="21"/>
                <w:highlight w:val="none"/>
                <w:lang w:val="en-US" w:eastAsia="zh-CN"/>
              </w:rPr>
              <w:t>昼间、夜间</w:t>
            </w:r>
          </w:p>
        </w:tc>
        <w:tc>
          <w:tcPr>
            <w:tcW w:w="1095"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Cs w:val="21"/>
                <w:highlight w:val="none"/>
                <w:lang w:val="en-US" w:eastAsia="zh-CN"/>
              </w:rPr>
              <w:t>1次/季</w:t>
            </w:r>
          </w:p>
        </w:tc>
        <w:tc>
          <w:tcPr>
            <w:tcW w:w="2450" w:type="dxa"/>
            <w:tcBorders>
              <w:tl2br w:val="nil"/>
              <w:tr2bl w:val="nil"/>
            </w:tcBorders>
            <w:vAlign w:val="center"/>
          </w:tcPr>
          <w:p>
            <w:pPr>
              <w:keepNext w:val="0"/>
              <w:keepLines w:val="0"/>
              <w:pageBreakBefore w:val="0"/>
              <w:widowControl w:val="0"/>
              <w:tabs>
                <w:tab w:val="left" w:pos="360"/>
                <w:tab w:val="center" w:pos="630"/>
              </w:tabs>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Cs w:val="21"/>
                <w:highlight w:val="none"/>
                <w:lang w:val="en-US" w:eastAsia="zh-CN"/>
              </w:rPr>
              <w:t>东侧、南侧及西侧执行</w:t>
            </w:r>
            <w:r>
              <w:rPr>
                <w:rFonts w:hint="default" w:ascii="Times New Roman" w:hAnsi="Times New Roman" w:eastAsia="宋体" w:cs="Times New Roman"/>
                <w:color w:val="auto"/>
                <w:szCs w:val="21"/>
                <w:highlight w:val="none"/>
                <w:lang w:val="en-US" w:eastAsia="zh-CN"/>
              </w:rPr>
              <w:t>《工业企业厂界环境噪声排放标准》（GB12348-2008）</w:t>
            </w:r>
            <w:r>
              <w:rPr>
                <w:rFonts w:hint="eastAsia" w:ascii="Times New Roman" w:hAnsi="Times New Roman" w:eastAsia="宋体" w:cs="Times New Roman"/>
                <w:color w:val="auto"/>
                <w:szCs w:val="21"/>
                <w:highlight w:val="none"/>
                <w:lang w:val="en-US" w:eastAsia="zh-CN"/>
              </w:rPr>
              <w:t>2</w:t>
            </w:r>
            <w:r>
              <w:rPr>
                <w:rFonts w:hint="default" w:ascii="Times New Roman" w:hAnsi="Times New Roman" w:eastAsia="宋体" w:cs="Times New Roman"/>
                <w:color w:val="auto"/>
                <w:szCs w:val="21"/>
                <w:highlight w:val="none"/>
                <w:lang w:val="en-US" w:eastAsia="zh-CN"/>
              </w:rPr>
              <w:t>类标准</w:t>
            </w:r>
            <w:r>
              <w:rPr>
                <w:rFonts w:hint="eastAsia" w:ascii="Times New Roman" w:hAnsi="Times New Roman" w:eastAsia="宋体" w:cs="Times New Roman"/>
                <w:color w:val="auto"/>
                <w:szCs w:val="21"/>
                <w:highlight w:val="none"/>
                <w:lang w:val="en-US" w:eastAsia="zh-CN"/>
              </w:rPr>
              <w:t>；北侧执行</w:t>
            </w:r>
            <w:r>
              <w:rPr>
                <w:rFonts w:hint="default" w:ascii="Times New Roman" w:hAnsi="Times New Roman" w:eastAsia="宋体" w:cs="Times New Roman"/>
                <w:color w:val="auto"/>
                <w:szCs w:val="21"/>
                <w:highlight w:val="none"/>
                <w:lang w:val="en-US" w:eastAsia="zh-CN"/>
              </w:rPr>
              <w:t>《工业企业厂界环境噪声排放标准》（GB12348-2008）</w:t>
            </w:r>
            <w:r>
              <w:rPr>
                <w:rFonts w:hint="eastAsia" w:ascii="Times New Roman" w:hAnsi="Times New Roman" w:eastAsia="宋体" w:cs="Times New Roman"/>
                <w:color w:val="auto"/>
                <w:szCs w:val="21"/>
                <w:highlight w:val="none"/>
                <w:lang w:val="en-US" w:eastAsia="zh-CN"/>
              </w:rPr>
              <w:t>4</w:t>
            </w:r>
            <w:r>
              <w:rPr>
                <w:rFonts w:hint="default" w:ascii="Times New Roman" w:hAnsi="Times New Roman" w:eastAsia="宋体" w:cs="Times New Roman"/>
                <w:color w:val="auto"/>
                <w:szCs w:val="21"/>
                <w:highlight w:val="none"/>
                <w:lang w:val="en-US" w:eastAsia="zh-CN"/>
              </w:rPr>
              <w:t>类标准</w:t>
            </w:r>
          </w:p>
        </w:tc>
      </w:tr>
    </w:tbl>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1214" w:name="_Toc5522"/>
      <w:r>
        <w:rPr>
          <w:rFonts w:hint="default" w:ascii="Times New Roman" w:hAnsi="Times New Roman" w:eastAsia="宋体" w:cs="Times New Roman"/>
          <w:snapToGrid/>
          <w:color w:val="auto"/>
          <w:sz w:val="32"/>
          <w:highlight w:val="none"/>
          <w:lang w:val="en-US" w:eastAsia="zh-CN" w:bidi="ar-SA"/>
        </w:rPr>
        <w:t>6.4固体废物污染防治措施及其可行性论证</w:t>
      </w:r>
      <w:bookmarkEnd w:id="1214"/>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6.4.1施工期固体废物污染防治措施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项目施工期产生的固体废物为建筑垃圾、废弃泥浆、清管废物及施工人员产生的生活垃圾。</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（1）建筑垃圾</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建筑垃圾主要包括砂石、石块、碎砖瓦、废金属、废钢筋及废弃管材等</w:t>
      </w:r>
      <w:r>
        <w:rPr>
          <w:rFonts w:hint="eastAsia" w:cs="Times New Roman"/>
          <w:caps w:val="0"/>
          <w:smallCaps w:val="0"/>
          <w:snapToGrid/>
          <w:color w:val="auto"/>
          <w:spacing w:val="0"/>
          <w:w w:val="100"/>
          <w:kern w:val="0"/>
          <w:sz w:val="24"/>
          <w:szCs w:val="24"/>
          <w:highlight w:val="none"/>
          <w:lang w:val="en-US" w:eastAsia="zh-CN" w:bidi="ar-SA"/>
        </w:rPr>
        <w:t>、，产生量为0.3t，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产生的废金属和废钢筋，可分类进行回收利用。对于不能回收的建筑垃圾经集中收集后运送至大庆市红岗区建筑垃圾场。</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（2）废弃泥浆</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本项目定向穿越沟渠、坑塘</w:t>
      </w:r>
      <w:r>
        <w:rPr>
          <w:rFonts w:hint="eastAsia" w:cs="Times New Roman"/>
          <w:caps w:val="0"/>
          <w:smallCaps w:val="0"/>
          <w:snapToGrid/>
          <w:color w:val="auto"/>
          <w:spacing w:val="0"/>
          <w:w w:val="100"/>
          <w:kern w:val="0"/>
          <w:sz w:val="24"/>
          <w:szCs w:val="24"/>
          <w:highlight w:val="none"/>
          <w:lang w:val="en-US" w:eastAsia="zh-CN" w:bidi="ar-SA"/>
        </w:rPr>
        <w:t>水面</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及林地时，会产生废弃泥浆，产生量为168m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。集中收集，由建设单位拉运至自然资源局指定地点处置。</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（3）清管废物</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管道进行铺设前，会进行清管，有少量清管废物产生。清管废物主要成分为少量的泥沙等，集中收集后，随建筑垃圾一起拉运处置。</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（4）生活垃圾</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本项目施工期生活垃圾产生量共2.25t/a，由环卫部门清运至肇源县生活垃圾处理场处理。本项目无弃土产生，服务站站址施工建设清挖的土方</w:t>
      </w:r>
      <w:r>
        <w:rPr>
          <w:rFonts w:hint="eastAsia" w:cs="Times New Roman"/>
          <w:caps w:val="0"/>
          <w:smallCaps w:val="0"/>
          <w:snapToGrid/>
          <w:color w:val="auto"/>
          <w:spacing w:val="0"/>
          <w:w w:val="100"/>
          <w:kern w:val="0"/>
          <w:sz w:val="24"/>
          <w:szCs w:val="24"/>
          <w:highlight w:val="none"/>
          <w:lang w:val="en-US" w:eastAsia="zh-CN" w:bidi="ar-SA"/>
        </w:rPr>
        <w:t>，管道清挖的中心层渣土均</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回用于工程填方及构建物建设，无弃土产生。</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本项目施工期固体废物均进入其他单位得到有效处置，不外排，对周围环境的影响可被接受。</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6.4.</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2运行</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期固体废物污染防治措施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本项目运行期产生的固体废物为站内运维人员生活垃圾、胶状物质、</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、污油、废机油</w:t>
      </w:r>
      <w:r>
        <w:rPr>
          <w:rFonts w:hint="eastAsia" w:cs="Times New Roman"/>
          <w:caps w:val="0"/>
          <w:smallCaps w:val="0"/>
          <w:snapToGrid/>
          <w:color w:val="auto"/>
          <w:spacing w:val="0"/>
          <w:w w:val="100"/>
          <w:kern w:val="0"/>
          <w:sz w:val="24"/>
          <w:szCs w:val="24"/>
          <w:highlight w:val="none"/>
          <w:lang w:val="en-US" w:eastAsia="zh-CN" w:bidi="ar-SA"/>
        </w:rPr>
        <w:t>、药剂废弃包装袋、罐底油泥</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及废弃的含油抹布和劳保用品。</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6.4.2.1</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固体废物</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处置</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（1）生活垃圾</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本项目运行期生活垃产生量为5.475t/a，生活垃圾统一收集后，由环卫部门清运至肇源县生活垃圾处理场处理。</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（2）胶状物质</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待处理废水在卸车平台卸料产生较大块胶状物质，属于危险废物，属于HW08废矿物油与含矿物油废物中含油废水处理中隔油、气浮、沉淀等处理过程中产生的浮渣，废物代码为900-210-08。密封暂存于站内</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危废暂存间内，定期交由有资质单位处置。</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污泥</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本项目在废水处理过程中会产生</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经</w:t>
      </w:r>
      <w:r>
        <w:rPr>
          <w:rFonts w:hint="eastAsia" w:cs="Times New Roman"/>
          <w:caps w:val="0"/>
          <w:smallCaps w:val="0"/>
          <w:snapToGrid/>
          <w:color w:val="auto"/>
          <w:spacing w:val="0"/>
          <w:w w:val="100"/>
          <w:kern w:val="0"/>
          <w:sz w:val="24"/>
          <w:szCs w:val="24"/>
          <w:highlight w:val="none"/>
          <w:lang w:val="en-US" w:eastAsia="zh-CN" w:bidi="ar-SA"/>
        </w:rPr>
        <w:t>压</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泥机脱水后，产生量为211.5t/a，</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属于危险废物，HW08废矿物油与含矿物油废物中含油废水处理中隔油、气浮、沉淀等处理过程中产生的</w:t>
      </w:r>
      <w:r>
        <w:rPr>
          <w:rFonts w:hint="eastAsia" w:cs="Times New Roman"/>
          <w:caps w:val="0"/>
          <w:smallCaps w:val="0"/>
          <w:snapToGrid/>
          <w:color w:val="auto"/>
          <w:spacing w:val="0"/>
          <w:w w:val="100"/>
          <w:kern w:val="0"/>
          <w:sz w:val="24"/>
          <w:szCs w:val="24"/>
          <w:highlight w:val="none"/>
          <w:lang w:val="en-US" w:eastAsia="zh-CN" w:bidi="ar-SA"/>
        </w:rPr>
        <w:t>油泥</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，废物代码为900-210-08。密封暂存于站内危废暂存间内，定期交由有资质单位处置。</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w:t>
      </w: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污油</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建设单位生产运行经验，本项目污油产生量为121t/a，属于危险废物。根据《国家危险废物名录（2021年版）》，属于HW08废矿物油与含矿物油废物中含油废水处理中隔油、气浮、沉淀等处理过程中产生的浮油，废物代码为900-210-08。通过管输、泵送暂存在站内污油储罐内，定期由油田单位拉运回收利用。</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（5）</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废机油</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站内运行设备维修产生的废机油，估算产生量约为1.0t/a；属于危险废物，根据《国家危险废物名录（2021年版）》，属于HW08废矿物油与含矿物油废物中生产过程中产生的废矿物油。废物代码为900-249-08。集中收集，密封桶装暂存于危废暂存间内，定期交由有资质单位处置。</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（6）</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药剂废弃包装袋</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废水处理过程中使用PAC及PAM药剂，会产生药剂废弃包装袋，本项目使用药剂用396t/a，每袋药剂规格为25kg，则共产生1.584万个废弃包装袋，产生量约为0.2t/a。属于一般固体废物，对照《一般固体废物分类与代码》（GB/T39198-2020），属于废弃资源中的废复合包装，废物代码为170-001-07。集中收集，密封暂存于库房内，外售综合利用。</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（7）</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罐底油泥</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运行期间，需对污油储罐进行定期检修，会有罐底油泥产生，产生量为0.03t/a，属于危险废物，根据《国家危险废物名录（2021年版）》，废物类别为HW08废矿物油与含矿物油废物，废物代码为900-221-08。密封暂存于危废暂存间内，定期交由有资质单位处置。</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（8）废弃的含油抹布和劳保用品</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产生量为0.05t/a；</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属于危险废物，</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废物类别为HW</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49其他废物，废物代码为900-041-49。</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根据《国家危险废物名录（2021年版）》危险废物豁免清单，全过程不按危险废物管理，废弃的含油抹布和劳保用品可随生活垃圾一起拉运处置。</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6.4.2.2危险废物贮存及可行性分析</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（1）危废暂存间</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本项目站内新建危废暂存间1座，占地面积200m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，封闭砖混构建物，单层结构。危废暂存间进行重点防渗，采用基底层压实（压实度不小于93%）+HDPE防渗膜（厚2.0mm）+抗渗混凝土层措施，防渗系数K≤1×10</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-13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cm/s，防渗性能满足《危险废物贮存污染控制标准》（GB18597-2023）防渗要求。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①危险废物应分区、分类贮存</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危险废物应按照不同的化学特性、形态，根据互相间的相容性分区、分类贮存。</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1）据危险废物品名表的分类原则，对新建危废暂存间进行分区设置；</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2）性质不同或相抵触能引起燃烧、爆炸或灭火方法不同的物品不得同库储存，本项目产生的胶状物质、</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cs="Times New Roman"/>
          <w:caps w:val="0"/>
          <w:smallCaps w:val="0"/>
          <w:snapToGrid/>
          <w:color w:val="auto"/>
          <w:spacing w:val="0"/>
          <w:w w:val="100"/>
          <w:kern w:val="0"/>
          <w:sz w:val="24"/>
          <w:szCs w:val="24"/>
          <w:highlight w:val="none"/>
          <w:lang w:val="en-US" w:eastAsia="zh-CN" w:bidi="ar-SA"/>
        </w:rPr>
        <w:t>罐底油泥、</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废机油危废性质相同，均为HW08废矿物油与含矿物油废物，危险特性为毒性（T）和易燃性（I），可在同一库房内，不同区域暂存。</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②危废暂存间建设</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1）每个贮存区域之间宜设置挡墙间隔，并设置防雨、防火、防雷、防扬尘装置。</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2）应建有堵截泄漏的裙角，地面与裙角要用兼顾防渗的材料建造，建筑材料必须与危险废物相容。</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3）墙面、棚面应防吸附，用于存放装载液体、半固体危险废物容器的地方，必须有耐腐蚀的硬化地面，且表面无裂隙。</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3）应设置备用通风系统和电视监视装置。</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装载液体、半固体危废的容器内部留足够空间，以适应因温度变化等可能引发的收缩和膨胀，防止其导致容器渗漏或永久变形</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5）各贮存分区设置警示标志，危险废物标识按照《危险废物识别标志设置技术规范》（HJ1276</w:t>
      </w:r>
      <w:r>
        <w:rPr>
          <w:rFonts w:hint="eastAsia"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2022）设置。</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6）使用符合标准的容器盛装危险废物。装载危险废物的容器及材质要满足相应的强度要求。装载危险废物的容器必须完好无损。盛装危险废物的容器材质和衬里要与危险废物相容（不相互反应）。</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③危废管理</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1）控制危险废物的存放时间；通过加强贮存库监管，定期巡查，检查危险废物贮存时间、周转次数、每次周转量，</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2）定期检查危废贮存设施的完好性，若发现密封阀不严实应及时处置紧，同时若发生贮存容器破损，及时对容器进行更换，对危废进行转移处置。</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3）若在贮存区发生事故泄漏时，废机油等采用抹布擦试清洁，严格杜绝水的使用。</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4）建设方必须加强防渗系统管理与日常维护，确保其不发生破损。建设单位应按照规定定期进行巡检，一经发现地面或收集系统表面开裂，立即组织人员对开裂地表进行修复，对废液进行收集。</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④危废运输</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危废运输、转移应满足《危险废物收集贮存 运输技术规范》（HJ2025-2012）要求进行运输管理，同时执行危废转移联单制度。</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1）危险废物的运输车辆将经过环保主管部门的检查，并持有主管部门签发的许可证，负责废物的运输司机将通过公司内部培训，持有证明文件。</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2）承载危险废物的车辆将设置明显的标志或适当的危险符号，以引起注意。</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3）车辆所载危险废物将注明废物来源、性质和运往地点，必要时将派专门人员负责押运。</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4）组织危险废物的运输单位，在事先需作出周密的运输计划和行驶路线，其中包括有效的废物泄漏情况下的应急措施。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建设单位应跟踪厂区危废的转移、运输和处置情况，防止发生危废非法转移、非法运输和非法外卖等情况。</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本项目运行期间固废采取以上治理防范措施，对周围环境的影响可被接受。</w:t>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15" w:name="_Toc31748"/>
      <w:r>
        <w:rPr>
          <w:rFonts w:hint="eastAsia" w:ascii="Times New Roman" w:hAnsi="Times New Roman" w:eastAsia="宋体" w:cs="Times New Roman"/>
          <w:snapToGrid/>
          <w:color w:val="auto"/>
          <w:sz w:val="32"/>
          <w:highlight w:val="none"/>
          <w:lang w:val="en-US" w:eastAsia="zh-CN" w:bidi="ar-SA"/>
        </w:rPr>
        <w:t>6.5土壤环境污染保护措施与对策</w:t>
      </w:r>
      <w:bookmarkEnd w:id="1215"/>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6.5.1土壤环境保护措施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（1）源头控制措施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从废水装卸、输送、处理及贮存过程，危险废物贮存等过程控制各种有毒有害原辅材料、中间材料、产品泄漏（含跑、冒、滴、漏），同时对有害物质可能泄漏到地面的区域采取防渗措施，阻止其进入土壤中，即从源头到末端全方位采取控制措施，防止项目的建设对土壤造成污染。</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olor w:val="auto"/>
          <w:highlight w:val="none"/>
          <w:lang w:val="en-US" w:eastAsia="zh-CN"/>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从生产过程入手，在工艺、管道、设备等方面尽可能地采取泄漏控制措施，源头最大限度降低污染物质泄漏的可能性和泄漏量，使项目区污染物对土壤的影响降至最低，一旦出现泄漏等即可由区域内的各种配套措施进行收集、处置，同时经过硬化处理的地面有效阻止污染物的下渗。</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（2）过程控制措施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涉及地面入渗影响的需分区防渗。本项目站址采取分区防渗措施，卸车平台、危废暂存间、预处理车间、污油储罐区、储液池区、事故池、初期雨水收集池，采取重点防渗措施，危废暂存间防渗性能满足《危险废物贮存污染控制标准》（GB18597-2023）防渗要求；其余区域满足《环境影响评价技术导则 地下水环境》（HJ610-2018）重点防渗性能要求；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库房、配电间、值班室、消防水罐区、办公用房采取一般防渗措施，满足《环境影响评价技术导则 地下水环境》（HJ610-2018）一般防渗性能要求；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其他区域进行简单防渗，满足《环境影响评价技术导则 地下水环境》（HJ610-2018）简单防渗性能要求。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输液管道采用钢丝网骨架塑料（聚乙烯）复合管，耐磨耐腐蚀，其内衬层、外护层通常为高分子材料结构，具有天然的防腐蚀性能；增强层通常采用高强纤维或者连续玻纤带材料，因此钢丝网骨架塑料（聚乙烯）复合管除了耐腐蚀性能和柔韧性优越，还可以承受较高的荷载。管道防腐性能较好，无需进行额外的防腐工程，管道铺设区域防渗性能满足《环境影响评价技术导则 地下水环境》（HJ610-2018）重点防渗性能要求。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6.5.2土壤污染防治措施可行性分析</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土壤污染防治措施以预防为主，加强企业管理措施，本项目分析了对预测范围内土壤环境影响，建议企业做好废水污染防治设施的维护及检修，严格做好防控和分区防渗，从多方面降低项目建设对土壤环境的影响。并针对可能造成的土壤污染，本项目从源头控制与过程控制采取相应防治措施，并提出了土壤环境跟踪监测计划。本项目土壤防治措施可行。</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6.5.3土壤跟踪监测</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定期对重点影响区及土壤环境敏感点附近土壤环境进行监测，监测委托具有资质的单位进行，监测报告应存档，同时对监测结果进行信息公开。</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22" w:firstLineChars="200"/>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表6.5-1土壤环境跟踪监测计划表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92"/>
        <w:gridCol w:w="1778"/>
        <w:gridCol w:w="2789"/>
        <w:gridCol w:w="1688"/>
        <w:gridCol w:w="126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序号</w:t>
            </w:r>
          </w:p>
        </w:tc>
        <w:tc>
          <w:tcPr>
            <w:tcW w:w="17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监测点位</w:t>
            </w:r>
          </w:p>
        </w:tc>
        <w:tc>
          <w:tcPr>
            <w:tcW w:w="27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坐标（°）</w:t>
            </w:r>
          </w:p>
        </w:tc>
        <w:tc>
          <w:tcPr>
            <w:tcW w:w="168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监测因子</w:t>
            </w:r>
          </w:p>
        </w:tc>
        <w:tc>
          <w:tcPr>
            <w:tcW w:w="12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c>
          <w:tcPr>
            <w:tcW w:w="17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预处理车间</w:t>
            </w:r>
          </w:p>
        </w:tc>
        <w:tc>
          <w:tcPr>
            <w:tcW w:w="27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lang w:val="en-US" w:eastAsia="zh-CN" w:bidi="ar"/>
              </w:rPr>
              <w:t>124.2701</w:t>
            </w:r>
            <w:r>
              <w:rPr>
                <w:rFonts w:hint="eastAsia" w:cs="Times New Roman"/>
                <w:color w:val="auto"/>
                <w:kern w:val="0"/>
                <w:sz w:val="21"/>
                <w:szCs w:val="21"/>
                <w:highlight w:val="none"/>
                <w:lang w:val="en-US" w:eastAsia="zh-CN" w:bidi="ar"/>
              </w:rPr>
              <w:t>40</w:t>
            </w:r>
            <w:r>
              <w:rPr>
                <w:rFonts w:hint="eastAsia" w:ascii="Times New Roman" w:hAnsi="Times New Roman" w:eastAsia="宋体" w:cs="Times New Roman"/>
                <w:color w:val="auto"/>
                <w:kern w:val="0"/>
                <w:sz w:val="21"/>
                <w:szCs w:val="21"/>
                <w:highlight w:val="none"/>
                <w:lang w:val="en-US" w:eastAsia="zh-CN" w:bidi="ar"/>
              </w:rPr>
              <w:t>,45.740748</w:t>
            </w:r>
          </w:p>
        </w:tc>
        <w:tc>
          <w:tcPr>
            <w:tcW w:w="1688"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石油类、石油烃（C</w:t>
            </w:r>
            <w:r>
              <w:rPr>
                <w:rFonts w:hint="eastAsia" w:ascii="Times New Roman" w:hAnsi="Times New Roman" w:cs="Times New Roman"/>
                <w:color w:val="auto"/>
                <w:sz w:val="21"/>
                <w:szCs w:val="21"/>
                <w:highlight w:val="none"/>
                <w:vertAlign w:val="subscript"/>
                <w:lang w:val="en-US" w:eastAsia="zh-CN"/>
              </w:rPr>
              <w:t>6</w:t>
            </w:r>
            <w:r>
              <w:rPr>
                <w:rFonts w:hint="eastAsia" w:ascii="Times New Roman" w:hAnsi="Times New Roman" w:cs="Times New Roman"/>
                <w:color w:val="auto"/>
                <w:sz w:val="21"/>
                <w:szCs w:val="21"/>
                <w:highlight w:val="none"/>
                <w:vertAlign w:val="baseline"/>
                <w:lang w:val="en-US" w:eastAsia="zh-CN"/>
              </w:rPr>
              <w:t>~C</w:t>
            </w:r>
            <w:r>
              <w:rPr>
                <w:rFonts w:hint="eastAsia" w:ascii="Times New Roman" w:hAnsi="Times New Roman" w:cs="Times New Roman"/>
                <w:color w:val="auto"/>
                <w:sz w:val="21"/>
                <w:szCs w:val="21"/>
                <w:highlight w:val="none"/>
                <w:vertAlign w:val="subscript"/>
                <w:lang w:val="en-US" w:eastAsia="zh-CN"/>
              </w:rPr>
              <w:t>9</w:t>
            </w:r>
            <w:r>
              <w:rPr>
                <w:rFonts w:hint="eastAsia" w:ascii="Times New Roman" w:hAnsi="Times New Roman" w:cs="Times New Roman"/>
                <w:color w:val="auto"/>
                <w:sz w:val="21"/>
                <w:szCs w:val="21"/>
                <w:highlight w:val="none"/>
                <w:vertAlign w:val="baseline"/>
                <w:lang w:val="en-US" w:eastAsia="zh-CN"/>
              </w:rPr>
              <w:t>）、石油烃（C</w:t>
            </w:r>
            <w:r>
              <w:rPr>
                <w:rFonts w:hint="eastAsia" w:ascii="Times New Roman" w:hAnsi="Times New Roman" w:cs="Times New Roman"/>
                <w:color w:val="auto"/>
                <w:sz w:val="21"/>
                <w:szCs w:val="21"/>
                <w:highlight w:val="none"/>
                <w:vertAlign w:val="subscript"/>
                <w:lang w:val="en-US" w:eastAsia="zh-CN"/>
              </w:rPr>
              <w:t>10</w:t>
            </w:r>
            <w:r>
              <w:rPr>
                <w:rFonts w:hint="eastAsia" w:ascii="Times New Roman" w:hAnsi="Times New Roman" w:cs="Times New Roman"/>
                <w:color w:val="auto"/>
                <w:sz w:val="21"/>
                <w:szCs w:val="21"/>
                <w:highlight w:val="none"/>
                <w:vertAlign w:val="baseline"/>
                <w:lang w:val="en-US" w:eastAsia="zh-CN"/>
              </w:rPr>
              <w:t>~C</w:t>
            </w:r>
            <w:r>
              <w:rPr>
                <w:rFonts w:hint="eastAsia" w:ascii="Times New Roman" w:hAnsi="Times New Roman" w:cs="Times New Roman"/>
                <w:color w:val="auto"/>
                <w:sz w:val="21"/>
                <w:szCs w:val="21"/>
                <w:highlight w:val="none"/>
                <w:vertAlign w:val="subscript"/>
                <w:lang w:val="en-US" w:eastAsia="zh-CN"/>
              </w:rPr>
              <w:t>40</w:t>
            </w:r>
            <w:r>
              <w:rPr>
                <w:rFonts w:hint="eastAsia" w:ascii="Times New Roman" w:hAnsi="Times New Roman" w:cs="Times New Roman"/>
                <w:color w:val="auto"/>
                <w:sz w:val="21"/>
                <w:szCs w:val="21"/>
                <w:highlight w:val="none"/>
                <w:vertAlign w:val="baseline"/>
                <w:lang w:val="en-US" w:eastAsia="zh-CN"/>
              </w:rPr>
              <w:t>）、汞、砷、六价铬</w:t>
            </w:r>
          </w:p>
        </w:tc>
        <w:tc>
          <w:tcPr>
            <w:tcW w:w="126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1次/年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w:t>
            </w:r>
          </w:p>
        </w:tc>
        <w:tc>
          <w:tcPr>
            <w:tcW w:w="17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污油储罐区</w:t>
            </w:r>
          </w:p>
        </w:tc>
        <w:tc>
          <w:tcPr>
            <w:tcW w:w="27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lang w:val="en-US" w:eastAsia="zh-CN" w:bidi="ar"/>
              </w:rPr>
              <w:t>124.269309,45.740378</w:t>
            </w:r>
          </w:p>
        </w:tc>
        <w:tc>
          <w:tcPr>
            <w:tcW w:w="1688"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26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c>
          <w:tcPr>
            <w:tcW w:w="17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发展村</w:t>
            </w:r>
          </w:p>
        </w:tc>
        <w:tc>
          <w:tcPr>
            <w:tcW w:w="27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124.264580,45.739268</w:t>
            </w:r>
          </w:p>
        </w:tc>
        <w:tc>
          <w:tcPr>
            <w:tcW w:w="1688"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26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w:t>
            </w:r>
          </w:p>
        </w:tc>
        <w:tc>
          <w:tcPr>
            <w:tcW w:w="17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服务站站址东侧耕地</w:t>
            </w:r>
          </w:p>
        </w:tc>
        <w:tc>
          <w:tcPr>
            <w:tcW w:w="27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lang w:val="en-US" w:eastAsia="zh-CN" w:bidi="ar"/>
              </w:rPr>
              <w:t>124.270073,45.739196</w:t>
            </w:r>
          </w:p>
        </w:tc>
        <w:tc>
          <w:tcPr>
            <w:tcW w:w="1688"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26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w:t>
            </w:r>
          </w:p>
        </w:tc>
        <w:tc>
          <w:tcPr>
            <w:tcW w:w="17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管道J66西侧底泥</w:t>
            </w:r>
          </w:p>
        </w:tc>
        <w:tc>
          <w:tcPr>
            <w:tcW w:w="27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lang w:val="en-US" w:eastAsia="zh-CN" w:bidi="ar"/>
              </w:rPr>
              <w:t>124.270098,45.912013</w:t>
            </w:r>
          </w:p>
        </w:tc>
        <w:tc>
          <w:tcPr>
            <w:tcW w:w="1688"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26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9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w:t>
            </w:r>
          </w:p>
        </w:tc>
        <w:tc>
          <w:tcPr>
            <w:tcW w:w="1778"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olor w:val="auto"/>
                <w:highlight w:val="none"/>
                <w:lang w:val="en-US" w:eastAsia="zh-CN"/>
              </w:rPr>
              <w:t>古龙镇东</w:t>
            </w:r>
            <w:r>
              <w:rPr>
                <w:rFonts w:hint="eastAsia" w:ascii="Times New Roman" w:hAnsi="Times New Roman" w:eastAsia="宋体" w:cs="Times New Roman"/>
                <w:color w:val="auto"/>
                <w:sz w:val="21"/>
                <w:szCs w:val="21"/>
                <w:highlight w:val="none"/>
                <w:vertAlign w:val="baseline"/>
                <w:lang w:val="en-US" w:eastAsia="zh-CN"/>
              </w:rPr>
              <w:t>侧旱</w:t>
            </w:r>
            <w:r>
              <w:rPr>
                <w:rFonts w:hint="eastAsia" w:cs="Times New Roman"/>
                <w:color w:val="auto"/>
                <w:sz w:val="21"/>
                <w:szCs w:val="21"/>
                <w:highlight w:val="none"/>
                <w:vertAlign w:val="baseline"/>
                <w:lang w:val="en-US" w:eastAsia="zh-CN"/>
              </w:rPr>
              <w:t>耕地内</w:t>
            </w:r>
          </w:p>
        </w:tc>
        <w:tc>
          <w:tcPr>
            <w:tcW w:w="278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124.24170</w:t>
            </w:r>
            <w:r>
              <w:rPr>
                <w:rFonts w:hint="eastAsia" w:cs="Times New Roman"/>
                <w:color w:val="auto"/>
                <w:sz w:val="21"/>
                <w:szCs w:val="21"/>
                <w:highlight w:val="none"/>
                <w:vertAlign w:val="baseline"/>
                <w:lang w:val="en-US" w:eastAsia="zh-CN"/>
              </w:rPr>
              <w:t>9</w:t>
            </w:r>
            <w:r>
              <w:rPr>
                <w:rFonts w:hint="eastAsia" w:ascii="Times New Roman" w:hAnsi="Times New Roman" w:cs="Times New Roman"/>
                <w:color w:val="auto"/>
                <w:sz w:val="21"/>
                <w:szCs w:val="21"/>
                <w:highlight w:val="none"/>
                <w:vertAlign w:val="baseline"/>
                <w:lang w:val="en-US" w:eastAsia="zh-CN"/>
              </w:rPr>
              <w:t>0,45.847207</w:t>
            </w:r>
          </w:p>
        </w:tc>
        <w:tc>
          <w:tcPr>
            <w:tcW w:w="1688"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26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bl>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1216" w:name="_Toc11629"/>
      <w:r>
        <w:rPr>
          <w:rFonts w:hint="default" w:ascii="Times New Roman" w:hAnsi="Times New Roman" w:eastAsia="宋体" w:cs="Times New Roman"/>
          <w:snapToGrid/>
          <w:color w:val="auto"/>
          <w:sz w:val="32"/>
          <w:highlight w:val="none"/>
          <w:lang w:val="en-US" w:eastAsia="zh-CN" w:bidi="ar-SA"/>
        </w:rPr>
        <w:t>6.</w:t>
      </w:r>
      <w:r>
        <w:rPr>
          <w:rFonts w:hint="eastAsia" w:ascii="Times New Roman" w:hAnsi="Times New Roman" w:eastAsia="宋体" w:cs="Times New Roman"/>
          <w:snapToGrid/>
          <w:color w:val="auto"/>
          <w:sz w:val="32"/>
          <w:highlight w:val="none"/>
          <w:lang w:val="en-US" w:eastAsia="zh-CN" w:bidi="ar-SA"/>
        </w:rPr>
        <w:t>6</w:t>
      </w:r>
      <w:r>
        <w:rPr>
          <w:rFonts w:hint="default" w:ascii="Times New Roman" w:hAnsi="Times New Roman" w:eastAsia="宋体" w:cs="Times New Roman"/>
          <w:snapToGrid/>
          <w:color w:val="auto"/>
          <w:sz w:val="32"/>
          <w:highlight w:val="none"/>
          <w:lang w:val="en-US" w:eastAsia="zh-CN" w:bidi="ar-SA"/>
        </w:rPr>
        <w:t>生态保护对策措施及其可行性论证</w:t>
      </w:r>
      <w:bookmarkEnd w:id="1216"/>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.1</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对于永久基本农田</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保护措施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（1）建设单位按照土地管理办法的要求，逐级上报土地管理部门批准。</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严格控制施工占地，设置施工红线，</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严禁践踏占地外耕地区域。</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按照《建设占用耕地耕作层土壤剥离利用技术规范》（DB23/T2913-2021）及《黑龙江省人民政府办公厅关于建设占用耕地耕作层土壤剥离利用工作的指导意见》等规范，制定了表土剥离方案，剥离表土厚度为30cm。</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（4）管道施工前，进行表土剥离，采取分层平移表土剥离法。首先划定不同的剥离单元，设置施工彩旗将待剥离的永久基本农田与其他地类区分开。</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（5）剥离作业时采取土层抄平施工方式，单次、单层进行剥离，单层剥离厚度不超过30cm。</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（6）剥离的表土临时堆放在施工占地内，堆高不超过3m，边坡比可按1：0.75设置，周围设置围挡，周边修筑人工排水沟，防止雨季土堆积水。表面覆盖水土保持毯，定期洒水，防止土壤肥力降低。</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（5）管沟作业开挖时，分层开挖，将表层和下层土分别堆放，施工结束后，进行回填时，需先回填下层土，后回填表层。管道出土端及弯头两侧分层回填夯实。</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（6）埋设管道时，根据管径的大小做到尽量窄控，采取平埋方式（不起土坝）进行，以便尽快恢复植被。</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（7）管线作业分阶段、分区域，同时进行施工，尽量选在非农作物种植期间，减少永久基本农田占用时间。</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（8）施工结束后，对临时占用的永久基本农田进行土地平整、翻耕、复垦；复垦率为100%，复垦质量满足《土地复垦质量控制标准》（TD/T1036-2013）中规定的要求，农田农作物生态量恢复至施工前原有水平。</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8.1）</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临时占地</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永久基本农田</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复垦方案</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a.</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耕地优先，恢复农作物产量，需与项目建设前单位生产力相同。</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b.</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复垦率及工期、植被恢复期</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c.</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复垦率100%，施工结束后进行复垦，复垦种植恢复期2年。</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d.</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复垦土壤：主要采用临时占地剥离的表土。</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e.</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复垦范围：</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项目</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临时</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占用永久基本农田区域</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，进行平整、翻耕、培肥改良复垦。</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f.</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复垦要求：对土壤进行翻耕、平整及培肥改良。工程应按照土地复垦方案的相关要求进行，复垦后应满足《土地复垦质量控制标准》（TD/T1036-2013）中规定的要求。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（9）表土回填时，若土壤不够，优先选择本项目永久占地剥离的表土；防止发生外来物种入侵情况。</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2对黑土地保护措施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本项目占用耕地（</w:t>
      </w:r>
      <w:r>
        <w:rPr>
          <w:rFonts w:hint="eastAsia" w:cs="Times New Roman"/>
          <w:caps w:val="0"/>
          <w:smallCaps w:val="0"/>
          <w:snapToGrid/>
          <w:color w:val="auto"/>
          <w:spacing w:val="0"/>
          <w:w w:val="100"/>
          <w:kern w:val="0"/>
          <w:sz w:val="24"/>
          <w:szCs w:val="24"/>
          <w:highlight w:val="none"/>
          <w:lang w:val="en-US" w:eastAsia="zh-CN" w:bidi="ar-SA"/>
        </w:rPr>
        <w:t>水田+</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一般耕地+永久基本农田），项目所在区域土壤类型为腐殖质黑土。本项目建设采取以下黑土地保护措施：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（1）施工前制定表土剥离方案，根据所在区域土壤特性，选择合适的剥离作业方式。</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（2）将剥离得到表土与其他土层土壤分来堆存，每座表土堆放场最高堆高不超过3m，坡比为1:1，</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表面覆盖水土保持毯，定期洒水</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施工场地土壤分层开挖，分层堆放，分层回填。</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（3）严格控制施工占地，在施工场界设置标志旗；临时土堆及施工机械设备均堆放在施工占地内，不会造成占地外区域地表植被压实，造成植被死亡，表土裸露，产生表土流失，土壤沙化情况。</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cs="Times New Roman"/>
          <w:caps w:val="0"/>
          <w:smallCaps w:val="0"/>
          <w:snapToGrid/>
          <w:color w:val="auto"/>
          <w:spacing w:val="0"/>
          <w:w w:val="100"/>
          <w:kern w:val="0"/>
          <w:sz w:val="24"/>
          <w:szCs w:val="24"/>
          <w:highlight w:val="none"/>
          <w:lang w:val="en-US" w:eastAsia="zh-CN" w:bidi="ar-SA"/>
        </w:rPr>
        <w:t>4</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）做好施工现场排水工作，在站址周围设置排水沟；降雨期间，站址内雨水自然散排至四周的排水沟中，使用泵类将雨水转移至站址内临时沉淀池内，用于施工区域洒水抑尘，不外排至外环境。</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3对植物保护措施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要严格控制</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管沟</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开挖面积，严格控制临时占地面积，尽量减少施工扰动面积，减少对植被影响。</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在实施前细化管线施工方案，划定施工红线范围。施工运输及作业严格控制在划定的运输路线和作业区域，在施工红线范围内尽量保留</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地表</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植被，减少生物量损失。</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施工时尽可能避开植物生长旺盛期，减少对植物生长的影响</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在交通条件较好的施工时，不新建施工人抬便道，尽量利用既有道路；</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合理安排管线施工进度；减少管材现场堆放时间，减少对</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地表植被的碾</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压。在进行管材转移时，尽量采取设备吊起移动方式，减少管材与</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地表</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的摩擦造成</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的植被</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破坏。</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施工结束后，对临时占地进行表土回填，土地翻松，</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对耕地进行复垦</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4对</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野生动物保护措施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6.6.4.1对陆生</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动物保护措施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①啮齿类动物</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严格控制最小施工范围，保护好</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内齿类动物</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的活动区域</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对施工废物和施工人员的生活垃圾进行彻底清理，尽量避免生活垃圾为鼠类等疫源性兽类提供生活环境，避免疫源性兽类种群爆发。</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合理安排施工时间，</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禁止夜间施工，</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避开早晨和黄昏时段开展高噪声作业（多为动物的休息和觅食时段）</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通过减少施工</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振动</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、敲打、撞击等措施避免对野生动物产生惊扰。</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②</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鸟类</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尽量减少施工对鸟类活动区域的破坏，极力保留临时占地内的草本植物，条件允许时边施工边进行植被快速恢复，缩短施工裸露面。</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应加强水土保持，促进临时占地区植物群落的恢复，为鸟类提供良好的栖息、活动环境。</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禁止掏鸟窝、捡鸟蛋、捉幼鸟等行为，禁止捕捉鸟类野生动物。</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6.6.4.2对水生</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动物保护措施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本项目输液管道穿越坑塘水面及沟渠时，采取定向穿越施工方式，不进行涉水施工，不会造成水体阻断、浑浊，不会对水生生物及鱼类产生直接的影响。项目管道施工期间，采取以下保护措施：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（1）在穿越坑塘水面及沟渠施工时，需征得当地水利主管部门的同意；沿干渠沿岸设置围挡，防止施工扬尘飘落至水体内；</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（2）施工期间采取加套管保护方式，合理安排施工时段，进行安排在枯水期，一般大开挖施工期较短（参照同类工程及工程量，计划定向穿越施工时长为2-3天），不会对水流进行截断，不会明显减小下游流量。</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（3）水泥等建筑材料禁止堆放在水体附近，并应设篷盖和围拦，防止雨水冲刷进入水体</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（4）严禁在水体附近清洗施工器具、机械等；加强施工机械维护，防止施工机械漏油，若有漏油现象应及时收集，并用专门容器盛装后统一处理。</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（5）在穿越水体施工时，优先考虑在稳定渠边穿越，避免穿越正溯塬侵蚀；同时要注意河流的侧向侵蚀作用。</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（6）避免管道沿斜坡等高线敷设，斜坡区尽可能正上正下，不宜斜交。</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（7）施工结束后，对水体岸边扰动区域及时进行地表植被恢复，对泥浆坑进行覆土回填，植被恢复。同时保持原有地表高度，防止发生塌方或水力侵蚀情况。</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4林地保护措施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（1）管道在穿越林带时，采取定向穿越的方式，不涉及林木的砍伐，</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（2）管道在林地边界进行施工，在施工场界设置围挡，可采取加高围挡的方式，进行对乔木树冠部分进行保护；采取人工挖掘的施工方式，尽量避免较高、重型设备进场作业。</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（3）施工结束后，对林带外的泥浆坑进行覆土回填，植被恢复。</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（4）若施工过程，造成乔木死亡，需按照《中华人民共和国森林法》及《国家林业和草原局关于制定恢复植被和林业生产条件、树木补种标准的指导意见》等进行赔偿。</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水土保持措施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站址施工现场周围设置排水沟，沿站址厂界周边设置；降雨期间，站址内雨水自然散排至四周的排水沟中，使用泵类将雨水转移至站址内临时沉淀池内，用于施工区域洒水抑尘，不外排至外环境。</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管沟作业时，做好清挖管沟排水工作；因管线作业为分阶段、分区域施工，在降雨期间，可在每处施工现场设置，收集罐车，使用泵类将管沟内雨水转移至罐车内，可拉运回服务站站址，存储在临时沉淀池内，用于施工区域洒水抑尘。</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在临时堆土坡脚采用织袋土埂拦挡，编织袋土埂为矩形断面，编织袋土埂采用两排2层堆放的形式，若施工期过雨季则需以密目网遮盖，减小降雨对临时堆土的冲刷。</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施工结束后应对临时占地区域及时清除杂物和植被恢复，先将表土回填，土地平整，恢复植被至施工前原有生态量水平。做到无</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地表</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裸露。</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防沙治沙措施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位于大庆市肇源县境内。《关于印发&lt;关于贯彻落实《沙化土地封禁保护修复制度方案》的实施意见&gt;的通知》，大庆市让胡路区、红岗区、大同区、肇源县、杜尔伯特蒙古族自治县属于沙化土地所在县（区）。</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根据现场勘查，</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占地区域无大面积地表裸露，周围无</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沙化土壤分布</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。本项目在建设期间采取以下保护措施：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施工时要特别注意保护原始地表与天然植被，划定施工活动范围，严格控制和管理车辆及重型机械的运行范围，所有车辆采用“一”字型作业法，避免并行开辟新路，以减少风蚀沙化活动的范围。</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输液管道在进行公路穿越施工时，</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路基边坡采取索网固士法</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，使用钢索和钢网结构来进行固定，防止穿越时，发生路基塌方；</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（3）首先，在土坡上进行坡面修整，确保坡面平整。然后，按照坡面高度和坡度确定固定点的位置，沿坡面线路铺设钢索，并固定在起点和终点上。接着，在钢索上安装钢网进行加强固定。</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施工作业避免在大风天施工，施工结束后</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及时对</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临时占地</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进行平整，</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地表植被恢复。</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（5）对于临时占用的耕地进行复垦，复垦率为100%，复垦质量满足《土地复垦质量控制标准》（TD/T1036-2013）中规定的要求，要求临时占用的耕地内农作物生产能力恢复至施工前原有水平。</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（6）站址施工结束后，可在站内、周边播撒草种，草种的选择为当地区域常见的植被草种，防止发生外来物种入侵情况，与周围自然生态环境衔接，无地表裸露。</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7施工期穿越施工生态保护措施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本项目采用定向钻穿越</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施工方式穿越坑塘水面、沟渠及林带，在两侧设置泥浆坑，在进行泥浆坑清挖时，分层开挖，按照表土剥离方案，将表层土与下层土分别堆放。</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定向钻穿越施工需使用配制泥浆，用于成孔和护孔壁，清扫钻屑、传递动力、降低钻进及回拖阻力等。</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本项目施工期定向钻使用配制泥浆，主要成份为膨润土，含有少量Na</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CO</w:t>
      </w:r>
      <w:r>
        <w:rPr>
          <w:rFonts w:hint="default"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施工结束后，会有</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少量</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泥浆产生。本项目采取分阶段施工，对定向穿越产生的泥浆及时拉运至自然资源局指定地点处置。禁止外排至周围环境。对清挖的泥浆坑及时进行覆土分层回填，土地进行平整，对土地进行复垦。</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泥浆材料</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集中堆放，底部铺设防渗布，顶部进行苫盖，周围设置围挡。使用的防渗布可重复利用。</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泥浆池底要采用可降解防渗透膜进行防渗处理，保证泥浆不渗入地下、污染土壤和地下水。</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施工结束后，</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及时清理</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残留现场的固体废物，</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作到现场整洁、无杂物</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项目施工期采取以上生态保护措施，可减少项目建设对周围环境的影响，不回造成区域水土流失、土壤沙化。</w:t>
      </w:r>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1217" w:name="_Toc29352"/>
      <w:r>
        <w:rPr>
          <w:rFonts w:hint="default" w:ascii="Times New Roman" w:hAnsi="Times New Roman" w:eastAsia="宋体" w:cs="Times New Roman"/>
          <w:snapToGrid/>
          <w:color w:val="auto"/>
          <w:sz w:val="32"/>
          <w:highlight w:val="none"/>
          <w:lang w:val="en-US" w:eastAsia="zh-CN" w:bidi="ar-SA"/>
        </w:rPr>
        <w:t>6.</w:t>
      </w:r>
      <w:r>
        <w:rPr>
          <w:rFonts w:hint="eastAsia" w:ascii="Times New Roman" w:hAnsi="Times New Roman" w:eastAsia="宋体" w:cs="Times New Roman"/>
          <w:snapToGrid/>
          <w:color w:val="auto"/>
          <w:sz w:val="32"/>
          <w:highlight w:val="none"/>
          <w:lang w:val="en-US" w:eastAsia="zh-CN" w:bidi="ar-SA"/>
        </w:rPr>
        <w:t>7</w:t>
      </w:r>
      <w:r>
        <w:rPr>
          <w:rFonts w:hint="default" w:ascii="Times New Roman" w:hAnsi="Times New Roman" w:eastAsia="宋体" w:cs="Times New Roman"/>
          <w:snapToGrid/>
          <w:color w:val="auto"/>
          <w:sz w:val="32"/>
          <w:highlight w:val="none"/>
          <w:lang w:val="en-US" w:eastAsia="zh-CN" w:bidi="ar-SA"/>
        </w:rPr>
        <w:t>环境风险防范及减缓措施</w:t>
      </w:r>
      <w:bookmarkEnd w:id="1217"/>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6.7.1</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总图布置和建筑防范措施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（1）站址各区域、构建物布设满足《建筑设计防火规范》（GB50016-2014）（2018年版）及《石油化工企业设计防火标准》（GB50160-2008）（2018修订）的要求。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）罐区均设防火堤，防火堤的设计及堤内容积均</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满足《石油化工企业设计防火标准》（GB50160-2008）（2018修订）</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。施工建设中严格执行国家有关部门现行的设计规范、规定及标准。各生产装置之间严格按防火防爆间距布置，厂房及建筑物按规定等级设计，高温明火的设备尽可能远离散发可燃气体的场所。</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根据</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各构建物</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生产过程中火灾、爆炸危险等级及毒物危害程度分级进行分类、分区布置，合理划分</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办公生活区、废水处理区、废水暂存区及辅助用房区，</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各区按其危害程度采取相应的安全防范措施进行管理。</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6.7.2污油储罐区</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风险防范措施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①本项目</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污油</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储罐</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、输送的泵类及站内输油管道设计满足相关规范要求；同时管道布设计长度短，</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避免了由于管线过长而增加发生跑、渗、漏，由于阀门过多而出现操作上的混乱，发生泄漏等事故。</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②定期对</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储罐、站内输油</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管道进行探伤、测厚，避免因腐蚀、老化或损伤等隐患存在而引发的</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污油</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泄漏事故；对储罐和物料系统的阀门全部采用耐腐蚀材质，每年大修更换，以备万一情况下倒槽或倒罐急需。</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③槽车装卸车场，应采用现浇混凝土地面。</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④将储罐及</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输油管道</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区域设置为专门区域进行安全保护，可设立警示标志，可设立围挡，防止汽车或其他碰撞。</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⑤</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泄漏</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时佩戴适宜的保护器具，确认</w:t>
      </w:r>
      <w:r>
        <w:rPr>
          <w:rFonts w:hint="eastAsia" w:cs="Times New Roman"/>
          <w:caps w:val="0"/>
          <w:smallCaps w:val="0"/>
          <w:snapToGrid/>
          <w:color w:val="auto"/>
          <w:spacing w:val="0"/>
          <w:w w:val="100"/>
          <w:kern w:val="0"/>
          <w:sz w:val="24"/>
          <w:szCs w:val="24"/>
          <w:highlight w:val="none"/>
          <w:lang w:val="en-US" w:eastAsia="zh-CN" w:bidi="ar-SA"/>
        </w:rPr>
        <w:t>泄漏</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部位及</w:t>
      </w:r>
      <w:r>
        <w:rPr>
          <w:rFonts w:hint="eastAsia" w:cs="Times New Roman"/>
          <w:caps w:val="0"/>
          <w:smallCaps w:val="0"/>
          <w:snapToGrid/>
          <w:color w:val="auto"/>
          <w:spacing w:val="0"/>
          <w:w w:val="100"/>
          <w:kern w:val="0"/>
          <w:sz w:val="24"/>
          <w:szCs w:val="24"/>
          <w:highlight w:val="none"/>
          <w:lang w:val="en-US" w:eastAsia="zh-CN" w:bidi="ar-SA"/>
        </w:rPr>
        <w:t>泄漏</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程度。当</w:t>
      </w:r>
      <w:r>
        <w:rPr>
          <w:rFonts w:hint="eastAsia" w:cs="Times New Roman"/>
          <w:caps w:val="0"/>
          <w:smallCaps w:val="0"/>
          <w:snapToGrid/>
          <w:color w:val="auto"/>
          <w:spacing w:val="0"/>
          <w:w w:val="100"/>
          <w:kern w:val="0"/>
          <w:sz w:val="24"/>
          <w:szCs w:val="24"/>
          <w:highlight w:val="none"/>
          <w:lang w:val="en-US" w:eastAsia="zh-CN" w:bidi="ar-SA"/>
        </w:rPr>
        <w:t>泄漏</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严重时并判定为危险时，确定风向和扩散状态，以利于避难。</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⑥罐区设置围堰，围堰有效容积大于单个储罐的容积，围堰高1.5m，防止</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污油</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泄漏外流影响周围环境。</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6.7.3</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物料贮运安全防范措施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物料在运输过程中，各个路口应当保证有足够的视距；设置明显的</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站</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内道路交通安全标志；加强</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站</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外运输车辆的安全管理。</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站</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内道路经常保持路面平整、路基稳固、边坡整齐、排水良好，并应有完好的照明设施。制定合理的物料运输方案，定期对运输设备进行检查，保证设备无损坏。制定严格的风险、安全管理制度，严禁违章操作物料堆场应注意防火，禁止违章动火。</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6.7.4管道</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泄漏的主要预防和处理措施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（1）工程措施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①管材检验</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项目</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安装的</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管道</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、管件必须使用符合国家设计、制造规范的产品。管道采用钢丝网骨架塑料（聚乙烯）复合管，</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具有较高的防腐、耐磨特性</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②管道安装</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本项目管道采用</w:t>
      </w:r>
      <w:r>
        <w:rPr>
          <w:rFonts w:hint="eastAsia" w:cs="Times New Roman"/>
          <w:caps w:val="0"/>
          <w:smallCaps w:val="0"/>
          <w:snapToGrid/>
          <w:color w:val="auto"/>
          <w:spacing w:val="0"/>
          <w:w w:val="100"/>
          <w:kern w:val="0"/>
          <w:sz w:val="24"/>
          <w:szCs w:val="24"/>
          <w:highlight w:val="none"/>
          <w:lang w:val="en-US" w:eastAsia="zh-CN" w:bidi="ar-SA"/>
        </w:rPr>
        <w:t>热熔</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连接，管道的连接应符合相关规范要求，管道连接完成后按要求进行强度、严密性试压。</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况较好，</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定期为管道进行检测等作业，防止管道出现微漏等情况。③阀门井防水：按图纸要求阀门井采用钢制阀门井全封闭焊接外壁采用防水涂料进行涂刷，一般要求涂刷两遍，每遍之间要求干燥不少于24小时，管线间隔4公里设置阀门井一座，阀门井内安装排气阀及截止阀。</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④对长输管线每隔300m增设压力采集器，构建压力监测系统，同部增设电动阀门，电动阀门接收失压指令后，及时关闭，保障最小程度漏损量。</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（2）管理措施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①加强HSE管理手册的学习，严格操作程序；加强职工的环保意识和风险防范意识的宣传，制定完善的事故应急预案。</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②</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管道铺设区域地质情</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③优选施工单位，</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严格遵照施工方案，</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并实施工程施工监理制度。</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④加强设备的管理维护和管道巡检工作，</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定期对</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管道敷设情况检查，项目每5km的管线将设置</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名巡线人员</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（3）应急措施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①泵房管理人员对压力表进行监控，管道泄漏时将体现在压力表上，立即关闭泵房的输送，通知巡检人员和应急车辆前往现场巡查。</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②沿线配备应急物资车、同时每2km于沿线农户家中储存一定数量的水桶、土工布、防渗膜、沙包、装土编织袋、铲子等应急物资，在巡检人员发现</w:t>
      </w:r>
      <w:r>
        <w:rPr>
          <w:rFonts w:hint="eastAsia" w:cs="Times New Roman"/>
          <w:caps w:val="0"/>
          <w:smallCaps w:val="0"/>
          <w:snapToGrid/>
          <w:color w:val="auto"/>
          <w:spacing w:val="0"/>
          <w:w w:val="100"/>
          <w:kern w:val="0"/>
          <w:sz w:val="24"/>
          <w:szCs w:val="24"/>
          <w:highlight w:val="none"/>
          <w:lang w:val="en-US" w:eastAsia="zh-CN" w:bidi="ar-SA"/>
        </w:rPr>
        <w:t>泄漏</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时第一时间通知输送和接受压裂返排液的平台关闭泵站的运行，并关闭泄漏点前后的阀门，使用就近的应急物资，在管道泄漏口处采用沙包、装土编织袋等拦截措施阻拦外溢废水，切断废水与坑塘、沟渠、农田等之间的泄漏途径，并于阀门下方挖一处土坑用于放置水桶，挖出的表土置于旁边，应急措施完成后回填于坑中待罐车到达现场后，打开阀门将管道内的</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废水</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排入桶中，同时使用水泵将桶中的液体抽入罐车中运往</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最近的处理站处理</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。在管道检修后替换新的管道，确保无问题后再重新开始压裂返排液的运输。</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6.7.5</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事故状态下废水及物料</w:t>
      </w:r>
      <w:r>
        <w:rPr>
          <w:rFonts w:hint="eastAsia" w:cs="Times New Roman"/>
          <w:caps w:val="0"/>
          <w:smallCaps w:val="0"/>
          <w:snapToGrid/>
          <w:color w:val="auto"/>
          <w:spacing w:val="0"/>
          <w:w w:val="100"/>
          <w:kern w:val="0"/>
          <w:sz w:val="24"/>
          <w:szCs w:val="24"/>
          <w:highlight w:val="none"/>
          <w:lang w:val="en-US" w:eastAsia="zh-CN" w:bidi="ar-SA"/>
        </w:rPr>
        <w:t>泄漏</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风险防范措施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事故状态下</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站</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内</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危险废物</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发生泄漏事故，其所泄漏的物料一旦进入区域水环境，会对水质造成一定影响；同时当突发火灾事故时，还将会产生大量消防废水，其中所含的</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有害物质</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随地表雨水最终进入水体后，也将会对水质造成一定影响。为了防止事故发生时产生的事故废水对地表水体产生污染，本项目参照《事故状态下水体污染的预防与控制规范》（QSY08190-2019）设置了事故池。生产装置污染区事故水，拦截在围堰和事故池内，不会排入外环境中。综上所述，事故废水不会对外环境造成影响，事故废水待事故解除后，</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事故废水交由有资质单位处置</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在生产</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运行期间</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发生事故，</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泄漏</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废液进入事故池储存，事故池可满足</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泄漏</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物料以及消防废水等处需要</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本项目厂区事故池可满足项目需求。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6.7.6</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火灾、爆炸风险防范措施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（1）</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站</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区内的电气设备、照明设备输电线路及接线方法应符合防火爆安全规定。</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（2）严禁堆放杂物易燃品，泵房无积油。</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站</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内严禁吸烟和动用明火，应有明显的防火标志。若需动火，应执行相关的安全规定。</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（4）</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站</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内的油罐均设计防雷、防静电接地装置；对生产</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运行区域</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超过安全电压的电气设备均采取保护接零或接地措施。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（5）站内的防雷接地设施及报警装置必须定期校检，保证安全设施可靠有效。</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（6）新建管道与周边建构筑物防火间距符合规范要求。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（7）严格执行各项安全生产制度，在油气</w:t>
      </w:r>
      <w:r>
        <w:rPr>
          <w:rFonts w:hint="eastAsia" w:cs="Times New Roman"/>
          <w:caps w:val="0"/>
          <w:smallCaps w:val="0"/>
          <w:snapToGrid/>
          <w:color w:val="auto"/>
          <w:spacing w:val="0"/>
          <w:w w:val="100"/>
          <w:kern w:val="0"/>
          <w:sz w:val="24"/>
          <w:szCs w:val="24"/>
          <w:highlight w:val="none"/>
          <w:lang w:val="en-US" w:eastAsia="zh-CN" w:bidi="ar-SA"/>
        </w:rPr>
        <w:t>泄漏</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场所严禁静电和携带火种。</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（8）消防设施配备在易发生危险事故部位应设置消防器材，主要有提式灭火器、消火栓等，</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消防设备配置满足《石油化工企业设计防火标准》（GB50160-2008）（2018修订）及</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建筑灭火器配置设计规范》（GBS0140-2005）要求。使用与管理各岗位对灭火器设专人负责检查维护，并掌握灭火器材种类、规格及数量；各种灭火器材应有固定的存放地点、放置地点明显使用方便和防止腐蚀。灭火器应放在保温之处，不准随便搬运或到处乱扔；各种灭火器材在非火灾情况下一律禁止动用，更不准擅自损坏；每季度对灭火器材进行一次全面检查。</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6.7.7</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环境风险应急监测</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当项目发生事故，公司环境突发事件领导小组启动突发环境事件应急预案时，启动公司应急环境监测程序。</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表6.7-</w:t>
      </w:r>
      <w:r>
        <w:rPr>
          <w:rFonts w:hint="eastAsia" w:cs="Times New Roman"/>
          <w:b/>
          <w:bCs/>
          <w:caps w:val="0"/>
          <w:smallCaps w:val="0"/>
          <w:snapToGrid/>
          <w:color w:val="auto"/>
          <w:spacing w:val="0"/>
          <w:w w:val="100"/>
          <w:kern w:val="0"/>
          <w:sz w:val="21"/>
          <w:szCs w:val="21"/>
          <w:highlight w:val="none"/>
          <w:lang w:val="en-US" w:eastAsia="zh-CN" w:bidi="ar-SA"/>
        </w:rPr>
        <w:t>1</w:t>
      </w: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应急监测计划表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23"/>
        <w:gridCol w:w="1749"/>
        <w:gridCol w:w="1713"/>
        <w:gridCol w:w="1965"/>
        <w:gridCol w:w="196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872"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监测项目</w:t>
            </w:r>
          </w:p>
        </w:tc>
        <w:tc>
          <w:tcPr>
            <w:tcW w:w="17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监测点位</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应急监测频次</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跟踪监测频次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2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大气</w:t>
            </w:r>
          </w:p>
        </w:tc>
        <w:tc>
          <w:tcPr>
            <w:tcW w:w="174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非甲烷总烃、CO、硫化氢、</w:t>
            </w:r>
            <w:r>
              <w:rPr>
                <w:rFonts w:hint="eastAsia" w:cs="Times New Roman"/>
                <w:color w:val="auto"/>
                <w:sz w:val="21"/>
                <w:szCs w:val="21"/>
                <w:highlight w:val="none"/>
                <w:vertAlign w:val="baseline"/>
                <w:lang w:val="en-US" w:eastAsia="zh-CN"/>
              </w:rPr>
              <w:t>氨、</w:t>
            </w:r>
            <w:r>
              <w:rPr>
                <w:rFonts w:hint="eastAsia" w:ascii="Times New Roman" w:hAnsi="Times New Roman" w:eastAsia="宋体" w:cs="Times New Roman"/>
                <w:color w:val="auto"/>
                <w:sz w:val="21"/>
                <w:szCs w:val="21"/>
                <w:highlight w:val="none"/>
                <w:vertAlign w:val="baseline"/>
                <w:lang w:val="en-US" w:eastAsia="zh-CN"/>
              </w:rPr>
              <w:t>二氧化硫、二氧化氮</w:t>
            </w:r>
            <w:r>
              <w:rPr>
                <w:rFonts w:hint="eastAsia" w:cs="Times New Roman"/>
                <w:color w:val="auto"/>
                <w:sz w:val="21"/>
                <w:szCs w:val="21"/>
                <w:highlight w:val="none"/>
                <w:vertAlign w:val="baseline"/>
                <w:lang w:val="en-US" w:eastAsia="zh-CN"/>
              </w:rPr>
              <w:t>、苯并芘</w:t>
            </w:r>
          </w:p>
        </w:tc>
        <w:tc>
          <w:tcPr>
            <w:tcW w:w="17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事故地点</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初始加密（数次/天），随污染物浓度下降逐渐降低频次</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连续2次监测浓度均低于环境空气标准值或已接近可忽略水平为止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2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74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7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事故地点下风向500m，1000m</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4次/天</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连续监测2-3天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2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74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7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事发中心的上风向适当位置对照点、居民区等敏感区域</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2次/应急期间</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2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土壤</w:t>
            </w:r>
          </w:p>
        </w:tc>
        <w:tc>
          <w:tcPr>
            <w:tcW w:w="174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石油类、石油烃（C</w:t>
            </w:r>
            <w:r>
              <w:rPr>
                <w:rFonts w:hint="eastAsia" w:ascii="Times New Roman" w:hAnsi="Times New Roman" w:eastAsia="宋体" w:cs="Times New Roman"/>
                <w:color w:val="auto"/>
                <w:sz w:val="21"/>
                <w:szCs w:val="21"/>
                <w:highlight w:val="none"/>
                <w:vertAlign w:val="subscript"/>
                <w:lang w:val="en-US" w:eastAsia="zh-CN"/>
              </w:rPr>
              <w:t>6</w:t>
            </w:r>
            <w:r>
              <w:rPr>
                <w:rFonts w:hint="eastAsia" w:ascii="Times New Roman" w:hAnsi="Times New Roman" w:eastAsia="宋体" w:cs="Times New Roman"/>
                <w:color w:val="auto"/>
                <w:sz w:val="21"/>
                <w:szCs w:val="21"/>
                <w:highlight w:val="none"/>
                <w:vertAlign w:val="baseline"/>
                <w:lang w:val="en-US" w:eastAsia="zh-CN"/>
              </w:rPr>
              <w:t>~C</w:t>
            </w:r>
            <w:r>
              <w:rPr>
                <w:rFonts w:hint="eastAsia" w:ascii="Times New Roman" w:hAnsi="Times New Roman" w:eastAsia="宋体" w:cs="Times New Roman"/>
                <w:color w:val="auto"/>
                <w:sz w:val="21"/>
                <w:szCs w:val="21"/>
                <w:highlight w:val="none"/>
                <w:vertAlign w:val="subscript"/>
                <w:lang w:val="en-US" w:eastAsia="zh-CN"/>
              </w:rPr>
              <w:t>9</w:t>
            </w:r>
            <w:r>
              <w:rPr>
                <w:rFonts w:hint="eastAsia" w:ascii="Times New Roman" w:hAnsi="Times New Roman" w:eastAsia="宋体" w:cs="Times New Roman"/>
                <w:color w:val="auto"/>
                <w:sz w:val="21"/>
                <w:szCs w:val="21"/>
                <w:highlight w:val="none"/>
                <w:vertAlign w:val="baseline"/>
                <w:lang w:val="en-US" w:eastAsia="zh-CN"/>
              </w:rPr>
              <w:t>）、石油烃（C</w:t>
            </w:r>
            <w:r>
              <w:rPr>
                <w:rFonts w:hint="eastAsia" w:ascii="Times New Roman" w:hAnsi="Times New Roman" w:eastAsia="宋体" w:cs="Times New Roman"/>
                <w:color w:val="auto"/>
                <w:sz w:val="21"/>
                <w:szCs w:val="21"/>
                <w:highlight w:val="none"/>
                <w:vertAlign w:val="subscript"/>
                <w:lang w:val="en-US" w:eastAsia="zh-CN"/>
              </w:rPr>
              <w:t>10</w:t>
            </w:r>
            <w:r>
              <w:rPr>
                <w:rFonts w:hint="eastAsia" w:ascii="Times New Roman" w:hAnsi="Times New Roman" w:eastAsia="宋体" w:cs="Times New Roman"/>
                <w:color w:val="auto"/>
                <w:sz w:val="21"/>
                <w:szCs w:val="21"/>
                <w:highlight w:val="none"/>
                <w:vertAlign w:val="baseline"/>
                <w:lang w:val="en-US" w:eastAsia="zh-CN"/>
              </w:rPr>
              <w:t>~C</w:t>
            </w:r>
            <w:r>
              <w:rPr>
                <w:rFonts w:hint="eastAsia" w:ascii="Times New Roman" w:hAnsi="Times New Roman" w:eastAsia="宋体" w:cs="Times New Roman"/>
                <w:color w:val="auto"/>
                <w:sz w:val="21"/>
                <w:szCs w:val="21"/>
                <w:highlight w:val="none"/>
                <w:vertAlign w:val="subscript"/>
                <w:lang w:val="en-US" w:eastAsia="zh-CN"/>
              </w:rPr>
              <w:t>40</w:t>
            </w:r>
            <w:r>
              <w:rPr>
                <w:rFonts w:hint="eastAsia" w:ascii="Times New Roman" w:hAnsi="Times New Roman" w:eastAsia="宋体" w:cs="Times New Roman"/>
                <w:color w:val="auto"/>
                <w:sz w:val="21"/>
                <w:szCs w:val="21"/>
                <w:highlight w:val="none"/>
                <w:vertAlign w:val="baseline"/>
                <w:lang w:val="en-US" w:eastAsia="zh-CN"/>
              </w:rPr>
              <w:t>）、汞b、砷、六价铬</w:t>
            </w:r>
          </w:p>
        </w:tc>
        <w:tc>
          <w:tcPr>
            <w:tcW w:w="17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事故地点</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初始1~2次/天，视处置进展情况逐渐降低频次</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应急结束后1次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2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74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sz w:val="21"/>
                <w:szCs w:val="21"/>
                <w:highlight w:val="none"/>
                <w:vertAlign w:val="baseline"/>
                <w:lang w:val="en-US" w:eastAsia="zh-CN"/>
              </w:rPr>
            </w:pPr>
          </w:p>
        </w:tc>
        <w:tc>
          <w:tcPr>
            <w:tcW w:w="17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未受污染区域的样品作为对照样品</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1次/天（应急期间），以平行双样数据为准</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2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地表水</w:t>
            </w:r>
          </w:p>
        </w:tc>
        <w:tc>
          <w:tcPr>
            <w:tcW w:w="174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pH值、化学需氧量、五日生化需氧量、氨氮、总磷、石油类、挥发酚、硫化物、阴离子表面活性剂、汞、六价铬、镉、砷、镍、铅</w:t>
            </w:r>
          </w:p>
        </w:tc>
        <w:tc>
          <w:tcPr>
            <w:tcW w:w="17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事故地点周围地表水体</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初始加密（数次/天），随污染物浓度下降逐渐降低频次</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连续2次监测浓度均低于地表水质量标准值或已接近可忽略水平为止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2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74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sz w:val="21"/>
                <w:szCs w:val="21"/>
                <w:highlight w:val="none"/>
                <w:vertAlign w:val="baseline"/>
                <w:lang w:val="en-US" w:eastAsia="zh-CN"/>
              </w:rPr>
            </w:pPr>
          </w:p>
        </w:tc>
        <w:tc>
          <w:tcPr>
            <w:tcW w:w="17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事发地上游对照点</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1次/天（应急期间），以平行双样数据为准</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2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地下水</w:t>
            </w:r>
          </w:p>
        </w:tc>
        <w:tc>
          <w:tcPr>
            <w:tcW w:w="1749"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石油类、石油烃（C</w:t>
            </w:r>
            <w:r>
              <w:rPr>
                <w:rFonts w:hint="eastAsia" w:ascii="Times New Roman" w:hAnsi="Times New Roman" w:eastAsia="宋体" w:cs="Times New Roman"/>
                <w:color w:val="auto"/>
                <w:sz w:val="21"/>
                <w:szCs w:val="21"/>
                <w:highlight w:val="none"/>
                <w:vertAlign w:val="subscript"/>
                <w:lang w:val="en-US" w:eastAsia="zh-CN"/>
              </w:rPr>
              <w:t>6</w:t>
            </w:r>
            <w:r>
              <w:rPr>
                <w:rFonts w:hint="eastAsia" w:ascii="Times New Roman" w:hAnsi="Times New Roman" w:eastAsia="宋体" w:cs="Times New Roman"/>
                <w:color w:val="auto"/>
                <w:sz w:val="21"/>
                <w:szCs w:val="21"/>
                <w:highlight w:val="none"/>
                <w:vertAlign w:val="baseline"/>
                <w:lang w:val="en-US" w:eastAsia="zh-CN"/>
              </w:rPr>
              <w:t>~C</w:t>
            </w:r>
            <w:r>
              <w:rPr>
                <w:rFonts w:hint="eastAsia" w:ascii="Times New Roman" w:hAnsi="Times New Roman" w:eastAsia="宋体" w:cs="Times New Roman"/>
                <w:color w:val="auto"/>
                <w:sz w:val="21"/>
                <w:szCs w:val="21"/>
                <w:highlight w:val="none"/>
                <w:vertAlign w:val="subscript"/>
                <w:lang w:val="en-US" w:eastAsia="zh-CN"/>
              </w:rPr>
              <w:t>9</w:t>
            </w:r>
            <w:r>
              <w:rPr>
                <w:rFonts w:hint="eastAsia" w:ascii="Times New Roman" w:hAnsi="Times New Roman" w:eastAsia="宋体" w:cs="Times New Roman"/>
                <w:color w:val="auto"/>
                <w:sz w:val="21"/>
                <w:szCs w:val="21"/>
                <w:highlight w:val="none"/>
                <w:vertAlign w:val="baseline"/>
                <w:lang w:val="en-US" w:eastAsia="zh-CN"/>
              </w:rPr>
              <w:t>）、石油烃（C</w:t>
            </w:r>
            <w:r>
              <w:rPr>
                <w:rFonts w:hint="eastAsia" w:ascii="Times New Roman" w:hAnsi="Times New Roman" w:eastAsia="宋体" w:cs="Times New Roman"/>
                <w:color w:val="auto"/>
                <w:sz w:val="21"/>
                <w:szCs w:val="21"/>
                <w:highlight w:val="none"/>
                <w:vertAlign w:val="subscript"/>
                <w:lang w:val="en-US" w:eastAsia="zh-CN"/>
              </w:rPr>
              <w:t>10</w:t>
            </w:r>
            <w:r>
              <w:rPr>
                <w:rFonts w:hint="eastAsia" w:ascii="Times New Roman" w:hAnsi="Times New Roman" w:eastAsia="宋体" w:cs="Times New Roman"/>
                <w:color w:val="auto"/>
                <w:sz w:val="21"/>
                <w:szCs w:val="21"/>
                <w:highlight w:val="none"/>
                <w:vertAlign w:val="baseline"/>
                <w:lang w:val="en-US" w:eastAsia="zh-CN"/>
              </w:rPr>
              <w:t>~C</w:t>
            </w:r>
            <w:r>
              <w:rPr>
                <w:rFonts w:hint="eastAsia" w:ascii="Times New Roman" w:hAnsi="Times New Roman" w:eastAsia="宋体" w:cs="Times New Roman"/>
                <w:color w:val="auto"/>
                <w:sz w:val="21"/>
                <w:szCs w:val="21"/>
                <w:highlight w:val="none"/>
                <w:vertAlign w:val="subscript"/>
                <w:lang w:val="en-US" w:eastAsia="zh-CN"/>
              </w:rPr>
              <w:t>40</w:t>
            </w:r>
            <w:r>
              <w:rPr>
                <w:rFonts w:hint="eastAsia" w:ascii="Times New Roman" w:hAnsi="Times New Roman" w:eastAsia="宋体" w:cs="Times New Roman"/>
                <w:color w:val="auto"/>
                <w:sz w:val="21"/>
                <w:szCs w:val="21"/>
                <w:highlight w:val="none"/>
                <w:vertAlign w:val="baseline"/>
                <w:lang w:val="en-US" w:eastAsia="zh-CN"/>
              </w:rPr>
              <w:t>）、砷、六价铬、硫化物</w:t>
            </w:r>
          </w:p>
        </w:tc>
        <w:tc>
          <w:tcPr>
            <w:tcW w:w="17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事发地中心周围2km内水井</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初始1~2次/天，第3天后，1次/周直至应急结束</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连续2次监测浓度均低于地表水质量标准值或已接近可忽略水平为止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2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74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sz w:val="21"/>
                <w:szCs w:val="21"/>
                <w:highlight w:val="none"/>
                <w:vertAlign w:val="baseline"/>
                <w:lang w:val="en-US" w:eastAsia="zh-CN"/>
              </w:rPr>
            </w:pPr>
          </w:p>
        </w:tc>
        <w:tc>
          <w:tcPr>
            <w:tcW w:w="17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地下水流经区域沿线水井</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初始1~2次/天，第3天后，1次/周直至应急结束</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连续2次监测浓度均低于地表水质量标准值或已接近可忽略水平为止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2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1749"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sz w:val="21"/>
                <w:szCs w:val="21"/>
                <w:highlight w:val="none"/>
                <w:vertAlign w:val="baseline"/>
                <w:lang w:val="en-US" w:eastAsia="zh-CN"/>
              </w:rPr>
            </w:pPr>
          </w:p>
        </w:tc>
        <w:tc>
          <w:tcPr>
            <w:tcW w:w="17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地下水流补给源，在垂直于地下水流的上方，设置对照点</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1次/天（应急期间），以平行双样数据为准</w:t>
            </w:r>
          </w:p>
        </w:tc>
        <w:tc>
          <w:tcPr>
            <w:tcW w:w="196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bl>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6.7.8</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加强安全管理和人员培训措施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1）企业应针对本项目实际情况，设立相应的安全管理机构，建立有效的安全管理条例、制度和规定，并且要不断改进和提高管理水平，严防操作事故的发生。加强全厂干部、职工的风险意识和环境意识教育，增强安全、环境意识。</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（2）加强企业相关人员的安全环境保护相关知识的培训工作，定期、定向、定点的对企业各工作岗位和安全管理人员开展安全和环境保护防护的相关知识培训工作。使得员工掌握相关的安全和环境防护技能。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6.7.9</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分级应急响应机制及急响程序</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结合本公司实际情况，参考《突发环境事件信息报告办法》中规定的事件分级，针对可能产生环境污染事件的严重性、紧急程度、危害程序、影响范围、内部控制事态的能力及可以调动的应急资源，为方便管理、明确职责，将公司突发环境事件从重到轻依次分为重大环境事件（Ⅰ级社会级）、较大环境事件（Ⅱ级车间级）和一般环境事件（Ⅲ级岗位级）。</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（1）重大环境事件（Ⅰ级社会级）</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凡是符合下列情况之一的，为重大事件：发生危险品大量泄漏、爆炸事件，影响范围超出公司控制范围的；</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车间、仓库发生大型火灾等事件，其影响范围超出公司控制范围的。接受当地政府统一指挥。</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（2）较大环境事件（Ⅱ级企业级）</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凡是符合下列情况之一的，为较大事件：发生危险品泄漏且有发展为大量泄漏趋势的事件，影响范围在公司范围控制范围内的；车间、仓库发生火灾等事件，影响范围在公司控制范围的。由企业负责人统一指挥。</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（3）一般环境事件（Ⅲ级岗位级）</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除重大环境事件（Ⅰ级）、较大环境事件（Ⅱ级）以外的其它突发环境污染事件。车间主任统一指挥。</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（4）应急响应程序及范围</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一级应急响应程序：发生一级事件时，要密切关注事故现场情况，发展动态，当公司二级应急响应不能有效处理事故，事故有扩大发展的趋势，并影响周边环境时，应立即启动一级应急响应，同时报当地政府，外部联动单位请求支援，告知受事故影响的周边单位实施事故避险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二级应急响应程序：当班人员发现初期事故应立即就近使用应急器材消除、控制事故发展，同时报告当班现场负责人，现场负责人立即指挥当班人员采取应急处置措施及其他一切可行办法切断事故源，同时报告应急领导小组组长，公司进入二级应急响应。</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（5）应急权限的移交</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发生重大环境事件时，政府和其他有关部门介入后，企业应该无条件接受当地政府或有关部门的统一指挥，应急总指挥权限交接给政府或其他有关部门负责人。企业应该积极协调相关事宜，配合并参与到应急保障工作当中</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6.7.10</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突发环境事件环境风险应急预案的修编要求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根据《突发事件应急预案管理办法》（国办发〔2013〕101号），第二十五条有下列情形之一的，应当及时修订应急预案：</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（一）有关法律、行政法规、规章、标准、上位预案中的有关规定发生变化的；</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（二）应急指挥机构及其职责发生重大调整的；</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（三）面临的风险发生重大变化的；</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（四）重要应急资源发生重大变化的；</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（五）预案中的其他重要信息发生变化的；</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（六）在突发事件实际应对和应急演练中发现问题需要作出重大调整的；</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（七）应急预案制定单位认为应当修订的其他情况。</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本次环评要求涉及上述情形之一的，应当及时修订应急预案。</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6.7.11</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环境风险应急预案</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根据导则要求，本项目制定的环境风险应急预案主要内容见表6.</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7-2</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22" w:firstLineChars="200"/>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表6.7-2本项目环境风险应急预案主要内容一览表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66"/>
        <w:gridCol w:w="2004"/>
        <w:gridCol w:w="554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序号</w:t>
            </w:r>
          </w:p>
        </w:tc>
        <w:tc>
          <w:tcPr>
            <w:tcW w:w="20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项目</w:t>
            </w:r>
          </w:p>
        </w:tc>
        <w:tc>
          <w:tcPr>
            <w:tcW w:w="55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主要内容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w:t>
            </w:r>
          </w:p>
        </w:tc>
        <w:tc>
          <w:tcPr>
            <w:tcW w:w="20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应急计划区</w:t>
            </w:r>
          </w:p>
        </w:tc>
        <w:tc>
          <w:tcPr>
            <w:tcW w:w="55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主要危险源：</w:t>
            </w:r>
            <w:r>
              <w:rPr>
                <w:rFonts w:hint="eastAsia" w:ascii="Times New Roman" w:hAnsi="Times New Roman" w:eastAsia="宋体" w:cs="Times New Roman"/>
                <w:color w:val="auto"/>
                <w:sz w:val="21"/>
                <w:szCs w:val="21"/>
                <w:highlight w:val="none"/>
                <w:vertAlign w:val="baseline"/>
                <w:lang w:val="en-US" w:eastAsia="zh-CN"/>
              </w:rPr>
              <w:t>污油</w:t>
            </w:r>
            <w:r>
              <w:rPr>
                <w:rFonts w:hint="default" w:ascii="Times New Roman" w:hAnsi="Times New Roman" w:eastAsia="宋体" w:cs="Times New Roman"/>
                <w:color w:val="auto"/>
                <w:sz w:val="21"/>
                <w:szCs w:val="21"/>
                <w:highlight w:val="none"/>
                <w:vertAlign w:val="baseline"/>
                <w:lang w:val="en-US" w:eastAsia="zh-CN"/>
              </w:rPr>
              <w:t>储罐区、</w:t>
            </w:r>
            <w:r>
              <w:rPr>
                <w:rFonts w:hint="eastAsia" w:ascii="Times New Roman" w:hAnsi="Times New Roman" w:eastAsia="宋体" w:cs="Times New Roman"/>
                <w:color w:val="auto"/>
                <w:sz w:val="21"/>
                <w:szCs w:val="21"/>
                <w:highlight w:val="none"/>
                <w:vertAlign w:val="baseline"/>
                <w:lang w:val="en-US" w:eastAsia="zh-CN"/>
              </w:rPr>
              <w:t>管道</w:t>
            </w:r>
            <w:r>
              <w:rPr>
                <w:rFonts w:hint="default" w:ascii="Times New Roman" w:hAnsi="Times New Roman" w:eastAsia="宋体" w:cs="Times New Roman"/>
                <w:color w:val="auto"/>
                <w:sz w:val="21"/>
                <w:szCs w:val="21"/>
                <w:highlight w:val="none"/>
                <w:vertAlign w:val="baseline"/>
                <w:lang w:val="en-US" w:eastAsia="zh-CN"/>
              </w:rPr>
              <w:t>废水</w:t>
            </w:r>
            <w:r>
              <w:rPr>
                <w:rFonts w:hint="eastAsia" w:cs="Times New Roman"/>
                <w:color w:val="auto"/>
                <w:sz w:val="21"/>
                <w:szCs w:val="21"/>
                <w:highlight w:val="none"/>
                <w:vertAlign w:val="baseline"/>
                <w:lang w:val="en-US" w:eastAsia="zh-CN"/>
              </w:rPr>
              <w:t>泄漏</w:t>
            </w:r>
          </w:p>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环境保护目标：厂区</w:t>
            </w:r>
            <w:r>
              <w:rPr>
                <w:rFonts w:hint="eastAsia" w:ascii="Times New Roman" w:hAnsi="Times New Roman" w:eastAsia="宋体" w:cs="Times New Roman"/>
                <w:color w:val="auto"/>
                <w:sz w:val="21"/>
                <w:szCs w:val="21"/>
                <w:highlight w:val="none"/>
                <w:vertAlign w:val="baseline"/>
                <w:lang w:val="en-US" w:eastAsia="zh-CN"/>
              </w:rPr>
              <w:t>、管道</w:t>
            </w:r>
            <w:r>
              <w:rPr>
                <w:rFonts w:hint="default" w:ascii="Times New Roman" w:hAnsi="Times New Roman" w:eastAsia="宋体" w:cs="Times New Roman"/>
                <w:color w:val="auto"/>
                <w:sz w:val="21"/>
                <w:szCs w:val="21"/>
                <w:highlight w:val="none"/>
                <w:vertAlign w:val="baseline"/>
                <w:lang w:val="en-US" w:eastAsia="zh-CN"/>
              </w:rPr>
              <w:t>周围居民区，厂区工作人员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w:t>
            </w:r>
          </w:p>
        </w:tc>
        <w:tc>
          <w:tcPr>
            <w:tcW w:w="20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应急组织结构</w:t>
            </w:r>
          </w:p>
        </w:tc>
        <w:tc>
          <w:tcPr>
            <w:tcW w:w="55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应急组织机构分级，各级别主要负责人为应急计划、协调第一人，应急人员必须为培训上岗熟练工；区域应急组织结构由当地政府、相关行业专家、卫生安全相关单位组成，并由当地政府进行统一调度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w:t>
            </w:r>
          </w:p>
        </w:tc>
        <w:tc>
          <w:tcPr>
            <w:tcW w:w="20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预案分级响应条件</w:t>
            </w:r>
          </w:p>
        </w:tc>
        <w:tc>
          <w:tcPr>
            <w:tcW w:w="55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根据事故的严重程度制定相应级别的应急预案，以及适合相应情况的处理措施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4</w:t>
            </w:r>
          </w:p>
        </w:tc>
        <w:tc>
          <w:tcPr>
            <w:tcW w:w="20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报警、通讯联络方式</w:t>
            </w:r>
          </w:p>
        </w:tc>
        <w:tc>
          <w:tcPr>
            <w:tcW w:w="55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逐一细化应急状态下各主要负责部门的报警通讯方式、地点、电话号码以及相关配套的交通保障、管制、消防联络方法，涉及跨区域的还应与相关区域环境保护部门和上级环保部门保持联系，及时通报事故处理情况，以获得区域性支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5</w:t>
            </w:r>
          </w:p>
        </w:tc>
        <w:tc>
          <w:tcPr>
            <w:tcW w:w="20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应急环境监测</w:t>
            </w:r>
          </w:p>
        </w:tc>
        <w:tc>
          <w:tcPr>
            <w:tcW w:w="55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组织专业队伍负责对事故现场进行侦察监测，对事故性质、参数与后果进行评估，专为指挥部门提供决策依据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64" w:hRule="atLeast"/>
        </w:trPr>
        <w:tc>
          <w:tcPr>
            <w:tcW w:w="9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6</w:t>
            </w:r>
          </w:p>
        </w:tc>
        <w:tc>
          <w:tcPr>
            <w:tcW w:w="20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抢险、救援控制措施</w:t>
            </w:r>
          </w:p>
        </w:tc>
        <w:tc>
          <w:tcPr>
            <w:tcW w:w="55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严格规定事故多发区、事故现场、邻近区域、控制防火区域设置控制和清除污染措施及相应设备的数量、使用方法、使用人员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w:t>
            </w:r>
          </w:p>
        </w:tc>
        <w:tc>
          <w:tcPr>
            <w:tcW w:w="20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人员紧急撤离、疏散计划</w:t>
            </w:r>
          </w:p>
        </w:tc>
        <w:tc>
          <w:tcPr>
            <w:tcW w:w="55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事故现场、</w:t>
            </w:r>
            <w:r>
              <w:rPr>
                <w:rFonts w:hint="eastAsia" w:ascii="Times New Roman" w:hAnsi="Times New Roman" w:eastAsia="宋体" w:cs="Times New Roman"/>
                <w:color w:val="auto"/>
                <w:sz w:val="21"/>
                <w:szCs w:val="21"/>
                <w:highlight w:val="none"/>
                <w:vertAlign w:val="baseline"/>
                <w:lang w:val="en-US" w:eastAsia="zh-CN"/>
              </w:rPr>
              <w:t>站址</w:t>
            </w:r>
            <w:r>
              <w:rPr>
                <w:rFonts w:hint="default" w:ascii="Times New Roman" w:hAnsi="Times New Roman" w:eastAsia="宋体" w:cs="Times New Roman"/>
                <w:color w:val="auto"/>
                <w:sz w:val="21"/>
                <w:szCs w:val="21"/>
                <w:highlight w:val="none"/>
                <w:vertAlign w:val="baseline"/>
                <w:lang w:val="en-US" w:eastAsia="zh-CN"/>
              </w:rPr>
              <w:t>邻近区、受事故影响的区域人员及公众对有毒有害物质应急剂量控制规定，制定紧急撤离组织计划和救护，医疗救护与公众健康，项目西侧紧邻延川大街为城市主干道，可以做为项目紧急撤离及疏散计划的输送通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8</w:t>
            </w:r>
          </w:p>
        </w:tc>
        <w:tc>
          <w:tcPr>
            <w:tcW w:w="20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应急安置</w:t>
            </w:r>
          </w:p>
        </w:tc>
        <w:tc>
          <w:tcPr>
            <w:tcW w:w="55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应为应急疏散群众提供必要的食品、饮用水、安置地点等应急安置措施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9</w:t>
            </w:r>
          </w:p>
        </w:tc>
        <w:tc>
          <w:tcPr>
            <w:tcW w:w="20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事故应急救援关闭程序</w:t>
            </w:r>
          </w:p>
        </w:tc>
        <w:tc>
          <w:tcPr>
            <w:tcW w:w="55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制定相关应急状态终止程序，事故现场、受影响范围内的善后处理、恢复措施，邻近区域解除事故警戒及善后恢复措施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w:t>
            </w:r>
          </w:p>
        </w:tc>
        <w:tc>
          <w:tcPr>
            <w:tcW w:w="20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事故恢复措施</w:t>
            </w:r>
          </w:p>
        </w:tc>
        <w:tc>
          <w:tcPr>
            <w:tcW w:w="55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制定有关的环境恢复措施，组织专业人员对事故后的环境变化进行监测，对事故应急措施的环境可行性进行后影响评价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11</w:t>
            </w:r>
          </w:p>
        </w:tc>
        <w:tc>
          <w:tcPr>
            <w:tcW w:w="20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应急培训计划</w:t>
            </w:r>
          </w:p>
        </w:tc>
        <w:tc>
          <w:tcPr>
            <w:tcW w:w="55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定期安排有关人员进行培训与演练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12</w:t>
            </w:r>
          </w:p>
        </w:tc>
        <w:tc>
          <w:tcPr>
            <w:tcW w:w="200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公众教育和信息</w:t>
            </w:r>
          </w:p>
        </w:tc>
        <w:tc>
          <w:tcPr>
            <w:tcW w:w="554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对企业邻近地区开展公众教育、培训和发布有关信息</w:t>
            </w:r>
          </w:p>
        </w:tc>
      </w:tr>
    </w:tbl>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企业在实际生产中，需细化应急预案各项内容并定期进行演练，针对应急预案编制中存在的不足和缺陷进行修订，同时做好与其他企业单位、区域及社会的联动。另外，应急预案应明确污染状况下采取的控制污染源、切断污染途径等措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6.7.12</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环境风险评价结论</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在严格采取环境风险防范措施的情况下，本项目环境风险可防控。由于环境风险事故会对局部环境造成严重危害，因此须采取必要的预防措施，避免事故发生或最大程度地降低事故造成的危害。对于人为因素引起的事故，可以通过提高作业人员技术素质、加强责任心教育以及采取技术手段和管理手段加以避免；而对于自然因素导致的事故，主要靠采取各种措施，配备必要设备来预防。</w:t>
      </w:r>
    </w:p>
    <w:p>
      <w:pPr>
        <w:pStyle w:val="11"/>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p>
    <w:p>
      <w:pPr>
        <w:rPr>
          <w:rFonts w:hint="default"/>
          <w:color w:val="auto"/>
          <w:highlight w:val="none"/>
          <w:lang w:val="en-US" w:eastAsia="zh-CN"/>
        </w:rPr>
      </w:pPr>
      <w:r>
        <w:rPr>
          <w:rFonts w:hint="default"/>
          <w:color w:val="auto"/>
          <w:highlight w:val="none"/>
          <w:lang w:val="en-US" w:eastAsia="zh-CN"/>
        </w:rPr>
        <w:br w:type="page"/>
      </w:r>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1218" w:name="_Toc9860"/>
      <w:bookmarkStart w:id="1219" w:name="_Toc16260"/>
      <w:r>
        <w:rPr>
          <w:rFonts w:hint="default" w:ascii="Times New Roman" w:hAnsi="Times New Roman" w:eastAsia="宋体" w:cs="Times New Roman"/>
          <w:snapToGrid/>
          <w:color w:val="auto"/>
          <w:sz w:val="32"/>
          <w:highlight w:val="none"/>
          <w:lang w:val="en-US" w:eastAsia="zh-CN" w:bidi="ar-SA"/>
        </w:rPr>
        <w:t>7环境影响经济损益分析</w:t>
      </w:r>
      <w:bookmarkEnd w:id="1218"/>
      <w:bookmarkEnd w:id="1219"/>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项目本身就是一个治理污染、控制污染的环保工程，但在其运行过程中也不可避免的产生和排放某种污染物质，需对其本身各环节产生的污染物进行控制和治理，以充分发挥其环境效益、社会效益和经济效益</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1220" w:name="_Toc18546"/>
      <w:r>
        <w:rPr>
          <w:rFonts w:hint="default" w:ascii="Times New Roman" w:hAnsi="Times New Roman" w:eastAsia="宋体" w:cs="Times New Roman"/>
          <w:snapToGrid/>
          <w:color w:val="auto"/>
          <w:sz w:val="32"/>
          <w:highlight w:val="none"/>
          <w:lang w:val="en-US" w:eastAsia="zh-CN" w:bidi="ar-SA"/>
        </w:rPr>
        <w:t>7.1经济效益</w:t>
      </w:r>
      <w:bookmarkEnd w:id="1220"/>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本项目总投资30</w:t>
      </w:r>
      <w:r>
        <w:rPr>
          <w:rFonts w:hint="eastAsia" w:cs="Times New Roman"/>
          <w:caps w:val="0"/>
          <w:smallCaps w:val="0"/>
          <w:snapToGrid/>
          <w:color w:val="auto"/>
          <w:spacing w:val="0"/>
          <w:w w:val="100"/>
          <w:kern w:val="0"/>
          <w:sz w:val="24"/>
          <w:szCs w:val="24"/>
          <w:highlight w:val="none"/>
          <w:lang w:val="en-US" w:eastAsia="zh-CN" w:bidi="ar-SA"/>
        </w:rPr>
        <w:t>0</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00万元，经济分析表明，全投资内部收益率达15.02%（税后），投资回收期6.81年（税后），项目的经济效益较好。从经济角度分析，工程建设可行。</w:t>
      </w:r>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1221" w:name="_Toc20373"/>
      <w:r>
        <w:rPr>
          <w:rFonts w:hint="default" w:ascii="Times New Roman" w:hAnsi="Times New Roman" w:eastAsia="宋体" w:cs="Times New Roman"/>
          <w:snapToGrid/>
          <w:color w:val="auto"/>
          <w:sz w:val="32"/>
          <w:highlight w:val="none"/>
          <w:lang w:val="en-US" w:eastAsia="zh-CN" w:bidi="ar-SA"/>
        </w:rPr>
        <w:t>7.2社会效益</w:t>
      </w:r>
      <w:bookmarkEnd w:id="1221"/>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本项目油田企业的</w:t>
      </w:r>
      <w:r>
        <w:rPr>
          <w:rFonts w:hint="eastAsia" w:cs="Times New Roman"/>
          <w:caps w:val="0"/>
          <w:smallCaps w:val="0"/>
          <w:snapToGrid/>
          <w:color w:val="auto"/>
          <w:spacing w:val="0"/>
          <w:w w:val="100"/>
          <w:kern w:val="0"/>
          <w:sz w:val="24"/>
          <w:szCs w:val="24"/>
          <w:highlight w:val="none"/>
          <w:lang w:val="en-US" w:eastAsia="zh-CN" w:bidi="ar-SA"/>
        </w:rPr>
        <w:t>在开采过程中</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产生的压裂返排液，</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是以保护环境为主要目的</w:t>
      </w:r>
      <w:r>
        <w:rPr>
          <w:rFonts w:hint="eastAsia" w:cs="Times New Roman"/>
          <w:caps w:val="0"/>
          <w:smallCaps w:val="0"/>
          <w:snapToGrid/>
          <w:color w:val="auto"/>
          <w:spacing w:val="0"/>
          <w:w w:val="100"/>
          <w:kern w:val="0"/>
          <w:sz w:val="24"/>
          <w:szCs w:val="24"/>
          <w:highlight w:val="none"/>
          <w:lang w:val="en-US" w:eastAsia="zh-CN" w:bidi="ar-SA"/>
        </w:rPr>
        <w:t>的</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项目，项目的建设既是社会经济发展的迫切需要，又是相关群体的极大需求，对维护公共利益、构建和谐社会亦有积极作用。</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项目</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通过采用各种控制和减少污染物的环保措施，大大消减了工程建设和运行对环境产生的各种不利影响，对于保证地区环境质量起到积极作用。通过本项目建设及环保措施运行，</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对</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推进本地区的环境保护事业的发展起到了积极的促进作用。本项目建设投产后，可实现较好的经济效益，可增加地方财政税收，为本地区人民群众生活的提高和本地区的发展起到了定的促进作用</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1222" w:name="_Toc17177"/>
      <w:r>
        <w:rPr>
          <w:rFonts w:hint="default" w:ascii="Times New Roman" w:hAnsi="Times New Roman" w:eastAsia="宋体" w:cs="Times New Roman"/>
          <w:snapToGrid/>
          <w:color w:val="auto"/>
          <w:sz w:val="32"/>
          <w:highlight w:val="none"/>
          <w:lang w:val="en-US" w:eastAsia="zh-CN" w:bidi="ar-SA"/>
        </w:rPr>
        <w:t>7.3环境效益</w:t>
      </w:r>
      <w:bookmarkEnd w:id="1222"/>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7.3.1环境代价分析</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项目</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环境代价主要体现在</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服务站站址永久占地及管道施工临时占地，</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造成的地表植被破坏、</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农作物减产</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等方面的环境经济损失。</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（1）永久占地草地损失费</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本项目永久</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占用其他草地，占地面积103492m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据现场调查，草地生物量为0.82t/hm</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项目</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永久占地草地植被损失量为</w:t>
      </w:r>
      <w:r>
        <w:rPr>
          <w:rFonts w:hint="eastAsia" w:cs="Times New Roman"/>
          <w:caps w:val="0"/>
          <w:smallCaps w:val="0"/>
          <w:snapToGrid/>
          <w:color w:val="auto"/>
          <w:spacing w:val="0"/>
          <w:w w:val="100"/>
          <w:kern w:val="0"/>
          <w:sz w:val="24"/>
          <w:szCs w:val="24"/>
          <w:highlight w:val="none"/>
          <w:lang w:val="en-US" w:eastAsia="zh-CN" w:bidi="ar-SA"/>
        </w:rPr>
        <w:t>8.47t/a，项目计划服务年限为15年，则</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草地植被损失量</w:t>
      </w:r>
      <w:r>
        <w:rPr>
          <w:rFonts w:hint="eastAsia" w:cs="Times New Roman"/>
          <w:caps w:val="0"/>
          <w:smallCaps w:val="0"/>
          <w:snapToGrid/>
          <w:color w:val="auto"/>
          <w:spacing w:val="0"/>
          <w:w w:val="100"/>
          <w:kern w:val="0"/>
          <w:sz w:val="24"/>
          <w:szCs w:val="24"/>
          <w:highlight w:val="none"/>
          <w:lang w:val="en-US" w:eastAsia="zh-CN" w:bidi="ar-SA"/>
        </w:rPr>
        <w:t>为127.3t。草地价格按700元/t计，草地损失约为8.91万元。</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（2）临时占地农作物损失</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项目管道施工临时占用耕地177434</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，地表农作物主要为玉米，玉米损失量按7.5t/hm</w:t>
      </w:r>
      <w:r>
        <w:rPr>
          <w:rFonts w:hint="eastAsia" w:cs="Times New Roman"/>
          <w:caps w:val="0"/>
          <w:smallCaps w:val="0"/>
          <w:snapToGrid/>
          <w:color w:val="auto"/>
          <w:spacing w:val="0"/>
          <w:w w:val="100"/>
          <w:kern w:val="0"/>
          <w:sz w:val="24"/>
          <w:szCs w:val="24"/>
          <w:highlight w:val="none"/>
          <w:vertAlign w:val="superscript"/>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·a计算，管道施工时长为5个月，占用的农田在施工1～2年中完全丧失生产力计，本项目以2年计，则临时占地农作物损失量为266.15t。价格按玉</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米1500元/t，则玉米损失费用为39.92万元。</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7.3.2环保投资估算及环境效益分析</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（1）环保措施投资估算</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本项目总投资</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30</w:t>
      </w:r>
      <w:r>
        <w:rPr>
          <w:rFonts w:hint="eastAsia" w:cs="Times New Roman"/>
          <w:caps w:val="0"/>
          <w:smallCaps w:val="0"/>
          <w:snapToGrid/>
          <w:color w:val="auto"/>
          <w:spacing w:val="0"/>
          <w:w w:val="100"/>
          <w:kern w:val="0"/>
          <w:sz w:val="24"/>
          <w:szCs w:val="24"/>
          <w:highlight w:val="none"/>
          <w:lang w:val="en-US" w:eastAsia="zh-CN" w:bidi="ar-SA"/>
        </w:rPr>
        <w:t>0</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00</w:t>
      </w:r>
      <w:r>
        <w:rPr>
          <w:rFonts w:hint="eastAsia" w:cs="Times New Roman"/>
          <w:caps w:val="0"/>
          <w:smallCaps w:val="0"/>
          <w:snapToGrid/>
          <w:color w:val="auto"/>
          <w:spacing w:val="0"/>
          <w:w w:val="100"/>
          <w:kern w:val="0"/>
          <w:sz w:val="24"/>
          <w:szCs w:val="24"/>
          <w:highlight w:val="none"/>
          <w:lang w:val="en-US" w:eastAsia="zh-CN" w:bidi="ar-SA"/>
        </w:rPr>
        <w:t>万元，其中环保投资167万元，占总投资的0.56%，环保投资估算情况见表7.3-1。</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olor w:val="auto"/>
          <w:kern w:val="0"/>
          <w:sz w:val="24"/>
          <w:szCs w:val="24"/>
          <w:highlight w:val="none"/>
          <w:lang w:val="en-US" w:eastAsia="zh-CN" w:bidi="ar"/>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表7.3-1环境保护投资估算表  单位：万元</w:t>
      </w:r>
    </w:p>
    <w:tbl>
      <w:tblPr>
        <w:tblStyle w:val="16"/>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03"/>
        <w:gridCol w:w="1112"/>
        <w:gridCol w:w="4923"/>
        <w:gridCol w:w="177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66"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环保工程名称</w:t>
            </w: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措施内容</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环保投资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82" w:hRule="atLeast"/>
        </w:trPr>
        <w:tc>
          <w:tcPr>
            <w:tcW w:w="413"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施工期</w:t>
            </w:r>
          </w:p>
        </w:tc>
        <w:tc>
          <w:tcPr>
            <w:tcW w:w="65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废气</w:t>
            </w: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洒水抑尘</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设置</w:t>
            </w:r>
            <w:r>
              <w:rPr>
                <w:rFonts w:hint="eastAsia" w:ascii="Times New Roman" w:hAnsi="Times New Roman" w:cs="Times New Roman"/>
                <w:color w:val="auto"/>
                <w:sz w:val="21"/>
                <w:szCs w:val="21"/>
                <w:highlight w:val="none"/>
                <w:vertAlign w:val="baseline"/>
                <w:lang w:val="en-US" w:eastAsia="zh-CN"/>
              </w:rPr>
              <w:t>围挡，</w:t>
            </w:r>
            <w:r>
              <w:rPr>
                <w:rFonts w:hint="default" w:ascii="Times New Roman" w:hAnsi="Times New Roman" w:cs="Times New Roman"/>
                <w:color w:val="auto"/>
                <w:sz w:val="21"/>
                <w:szCs w:val="21"/>
                <w:highlight w:val="none"/>
                <w:vertAlign w:val="baseline"/>
                <w:lang w:val="en-US" w:eastAsia="zh-CN"/>
              </w:rPr>
              <w:t>遮盖苫布</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82" w:hRule="atLeast"/>
        </w:trPr>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废水</w:t>
            </w: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施工废水经临时沉淀池沉淀，洒水抑尘</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82" w:hRule="atLeast"/>
        </w:trPr>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站内化粪池、租用民房防渗化粪池内，定期清掏</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82" w:hRule="atLeast"/>
        </w:trPr>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噪声</w:t>
            </w: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隔音、减振、消声设施，定期养护</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82" w:hRule="atLeast"/>
        </w:trPr>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固废</w:t>
            </w: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建筑垃圾分类进行回收利用。对于不能回收的建筑垃圾，如砂石、石块、碎砖瓦等，经集中收集后运送至大庆市红岗区建筑垃圾场</w:t>
            </w:r>
          </w:p>
        </w:tc>
        <w:tc>
          <w:tcPr>
            <w:tcW w:w="104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82" w:hRule="atLeast"/>
        </w:trPr>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清管废物集中收集后，随建筑垃圾一起拉运处置</w:t>
            </w:r>
          </w:p>
        </w:tc>
        <w:tc>
          <w:tcPr>
            <w:tcW w:w="104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82" w:hRule="atLeast"/>
        </w:trPr>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废弃泥浆</w:t>
            </w:r>
            <w:r>
              <w:rPr>
                <w:rFonts w:hint="default" w:ascii="Times New Roman" w:hAnsi="Times New Roman" w:cs="Times New Roman"/>
                <w:color w:val="auto"/>
                <w:sz w:val="21"/>
                <w:szCs w:val="21"/>
                <w:highlight w:val="none"/>
                <w:vertAlign w:val="baseline"/>
                <w:lang w:val="en-US" w:eastAsia="zh-CN"/>
              </w:rPr>
              <w:t>集中收集，由建设单位拉运至自然资源局指定地点处置</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82" w:hRule="atLeast"/>
        </w:trPr>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生活垃圾由环卫部门清运至肇源县生活垃圾处理场处理</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生态保护措施</w:t>
            </w: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管道施工前表土剥离作业；表面覆盖水土保持毯，定期洒水，堆高不超过3m，边坡比可按1：0.75设置，周围设置围挡，周边修筑人工排水沟；</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管道施工作业分阶段、分区域，同时进行施工，尽量选在非农作物种植期间；管沟作业开挖时，分层开挖，将表层和下层土分别堆放，施工结束后，进行回填时，需先回填下层土，后回填表层</w:t>
            </w:r>
          </w:p>
        </w:tc>
        <w:tc>
          <w:tcPr>
            <w:tcW w:w="104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对临时占用的耕地进行土地平整、翻耕、复垦；复垦率为100%，复垦质量满足《土地复垦质量控制标准》（TD/T1036-2013）中规定的要求，农田农作物生态量恢复至施工前原有水平</w:t>
            </w:r>
          </w:p>
        </w:tc>
        <w:tc>
          <w:tcPr>
            <w:tcW w:w="104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运行期</w:t>
            </w:r>
          </w:p>
        </w:tc>
        <w:tc>
          <w:tcPr>
            <w:tcW w:w="653"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废气</w:t>
            </w: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废水处理、</w:t>
            </w:r>
            <w:r>
              <w:rPr>
                <w:rFonts w:hint="eastAsia" w:cs="Times New Roman"/>
                <w:color w:val="auto"/>
                <w:sz w:val="21"/>
                <w:szCs w:val="21"/>
                <w:highlight w:val="none"/>
                <w:vertAlign w:val="baseline"/>
                <w:lang w:val="en-US" w:eastAsia="zh-CN"/>
              </w:rPr>
              <w:t>污泥</w:t>
            </w:r>
            <w:r>
              <w:rPr>
                <w:rFonts w:hint="eastAsia" w:ascii="Times New Roman" w:hAnsi="Times New Roman" w:cs="Times New Roman"/>
                <w:color w:val="auto"/>
                <w:sz w:val="21"/>
                <w:szCs w:val="21"/>
                <w:highlight w:val="none"/>
                <w:vertAlign w:val="baseline"/>
                <w:lang w:val="en-US" w:eastAsia="zh-CN"/>
              </w:rPr>
              <w:t>处理产生的恶臭气体，负压收集，经离子除臭设施处理后，通过15m排气筒排放</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食堂油烟经集气罩负压收集，经油烟净化器处理后通过专用烟道高于屋顶排放</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653"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废水</w:t>
            </w: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生活污水排入化粪池内，定期清掏，拉运至新站镇生活污水处理厂处理</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初期雨水暂存在初期雨水收集池内，再进入站内废水处理系统，经处理达标后，回用于页岩油试验区压裂复配</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污泥</w:t>
            </w:r>
            <w:r>
              <w:rPr>
                <w:rFonts w:hint="default" w:ascii="Times New Roman" w:hAnsi="Times New Roman" w:cs="Times New Roman"/>
                <w:color w:val="auto"/>
                <w:sz w:val="21"/>
                <w:szCs w:val="21"/>
                <w:highlight w:val="none"/>
                <w:vertAlign w:val="baseline"/>
                <w:lang w:val="en-US" w:eastAsia="zh-CN"/>
              </w:rPr>
              <w:t>离心浓缩废水进入站内废水处理系统，经处理达标后，回用于页岩油试验区压裂复配</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事故废水经收集后，暂存于事故池中，交由有资质单位处置</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站内处理达标</w:t>
            </w:r>
            <w:r>
              <w:rPr>
                <w:rFonts w:hint="eastAsia" w:cs="Times New Roman"/>
                <w:color w:val="auto"/>
                <w:sz w:val="21"/>
                <w:szCs w:val="21"/>
                <w:highlight w:val="none"/>
                <w:vertAlign w:val="baseline"/>
                <w:lang w:val="en-US" w:eastAsia="zh-CN"/>
              </w:rPr>
              <w:t>的</w:t>
            </w:r>
            <w:r>
              <w:rPr>
                <w:rFonts w:hint="eastAsia" w:ascii="Times New Roman" w:hAnsi="Times New Roman" w:cs="Times New Roman"/>
                <w:color w:val="auto"/>
                <w:sz w:val="21"/>
                <w:szCs w:val="21"/>
                <w:highlight w:val="none"/>
                <w:vertAlign w:val="baseline"/>
                <w:lang w:val="en-US" w:eastAsia="zh-CN"/>
              </w:rPr>
              <w:t>水回用于页岩油试验区压裂复配</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噪声</w:t>
            </w: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安装减振垫，对设备进行维护和保养，墙体隔声</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固废</w:t>
            </w: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生活垃圾统一收集后，由环卫部门清运至肇源县生活垃圾处理场处理</w:t>
            </w:r>
          </w:p>
        </w:tc>
        <w:tc>
          <w:tcPr>
            <w:tcW w:w="104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废弃的含油抹布和劳保用品豁免管理，随生活垃圾一起拉运处置</w:t>
            </w:r>
          </w:p>
        </w:tc>
        <w:tc>
          <w:tcPr>
            <w:tcW w:w="104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胶状固体物质交由有资质单位处置</w:t>
            </w:r>
          </w:p>
        </w:tc>
        <w:tc>
          <w:tcPr>
            <w:tcW w:w="104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污泥</w:t>
            </w:r>
            <w:r>
              <w:rPr>
                <w:rFonts w:hint="eastAsia" w:ascii="Times New Roman" w:hAnsi="Times New Roman" w:cs="Times New Roman"/>
                <w:color w:val="auto"/>
                <w:sz w:val="21"/>
                <w:szCs w:val="21"/>
                <w:highlight w:val="none"/>
                <w:vertAlign w:val="baseline"/>
                <w:lang w:val="en-US" w:eastAsia="zh-CN"/>
              </w:rPr>
              <w:t>交由有资质单位处置</w:t>
            </w:r>
          </w:p>
        </w:tc>
        <w:tc>
          <w:tcPr>
            <w:tcW w:w="104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0" w:hRule="atLeast"/>
        </w:trPr>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罐底油泥交由有资质单位处置</w:t>
            </w:r>
          </w:p>
        </w:tc>
        <w:tc>
          <w:tcPr>
            <w:tcW w:w="104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污油定期由油田单位拉运回收利用</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药剂废弃包装袋集中收集，外售综合利用。</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地下水防渗</w:t>
            </w: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卸车平台、危废暂存间、预处理车间、污油储罐区、储液池</w:t>
            </w:r>
            <w:r>
              <w:rPr>
                <w:rFonts w:hint="eastAsia" w:cs="Times New Roman"/>
                <w:color w:val="auto"/>
                <w:sz w:val="21"/>
                <w:szCs w:val="21"/>
                <w:highlight w:val="none"/>
                <w:vertAlign w:val="baseline"/>
                <w:lang w:val="en-US" w:eastAsia="zh-CN"/>
              </w:rPr>
              <w:t>区</w:t>
            </w:r>
            <w:r>
              <w:rPr>
                <w:rFonts w:hint="eastAsia" w:ascii="Times New Roman" w:hAnsi="Times New Roman" w:cs="Times New Roman"/>
                <w:color w:val="auto"/>
                <w:sz w:val="21"/>
                <w:szCs w:val="21"/>
                <w:highlight w:val="none"/>
                <w:vertAlign w:val="baseline"/>
                <w:lang w:val="en-US" w:eastAsia="zh-CN"/>
              </w:rPr>
              <w:t>、事故池、初期雨水收集池，采取重点防渗措施，危废暂存间防渗性能满足《危险废物贮存污染控制标准》（GB18597-2023）防渗要求；其余区域满足《环境影响评价技术导则 地下水环境》（HJ610-2018）重点防渗性能要求</w:t>
            </w:r>
          </w:p>
        </w:tc>
        <w:tc>
          <w:tcPr>
            <w:tcW w:w="104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snapToGrid w:val="0"/>
                <w:color w:val="auto"/>
                <w:kern w:val="0"/>
                <w:sz w:val="21"/>
                <w:szCs w:val="21"/>
                <w:highlight w:val="none"/>
                <w:vertAlign w:val="baseline"/>
                <w:lang w:val="en-US" w:eastAsia="zh-CN"/>
              </w:rPr>
              <w:t>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库房</w:t>
            </w:r>
            <w:r>
              <w:rPr>
                <w:rFonts w:hint="eastAsia" w:ascii="Times New Roman" w:hAnsi="Times New Roman" w:cs="Times New Roman"/>
                <w:color w:val="auto"/>
                <w:sz w:val="21"/>
                <w:szCs w:val="21"/>
                <w:highlight w:val="none"/>
                <w:vertAlign w:val="baseline"/>
                <w:lang w:val="en-US" w:eastAsia="zh-CN"/>
              </w:rPr>
              <w:t>、配电间、值班室、消防水罐区、办公用房采取一般防渗措施，满足《环境影响评价技术导则 地下水环境》（HJ610-2018）一般防渗性能要求</w:t>
            </w:r>
          </w:p>
        </w:tc>
        <w:tc>
          <w:tcPr>
            <w:tcW w:w="104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snapToGrid w:val="0"/>
                <w:color w:val="auto"/>
                <w:kern w:val="0"/>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站址其他区域进行简单防渗，进行地面简单硬化，满足《环境影响评价技术导则 地下水环境》（HJ610-2018）简单防渗性能要求</w:t>
            </w:r>
          </w:p>
        </w:tc>
        <w:tc>
          <w:tcPr>
            <w:tcW w:w="104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snapToGrid w:val="0"/>
                <w:color w:val="auto"/>
                <w:kern w:val="0"/>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管道采用钢丝网骨架塑料（聚乙烯）复合管，耐磨耐腐蚀，无需进行额外防渗处置，管道铺设区域防渗性能满足《环境影响评价技术导则 地下水环境》（HJ610-2018）重点防渗性能要求</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napToGrid w:val="0"/>
                <w:color w:val="auto"/>
                <w:kern w:val="0"/>
                <w:sz w:val="21"/>
                <w:szCs w:val="21"/>
                <w:highlight w:val="none"/>
                <w:vertAlign w:val="baseline"/>
                <w:lang w:val="en-US" w:eastAsia="zh-CN"/>
              </w:rPr>
            </w:pPr>
            <w:r>
              <w:rPr>
                <w:rFonts w:hint="eastAsia" w:ascii="Times New Roman" w:hAnsi="Times New Roman" w:cs="Times New Roman"/>
                <w:snapToGrid w:val="0"/>
                <w:color w:val="auto"/>
                <w:kern w:val="0"/>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13"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65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跟踪</w:t>
            </w:r>
          </w:p>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w:t>
            </w:r>
          </w:p>
        </w:tc>
        <w:tc>
          <w:tcPr>
            <w:tcW w:w="289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大气环境、地下水、地表水及土壤</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957"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小计</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957"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占比（%）</w:t>
            </w:r>
          </w:p>
        </w:tc>
        <w:tc>
          <w:tcPr>
            <w:tcW w:w="104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0.5</w:t>
            </w:r>
            <w:r>
              <w:rPr>
                <w:rFonts w:hint="eastAsia" w:cs="Times New Roman"/>
                <w:color w:val="auto"/>
                <w:sz w:val="21"/>
                <w:szCs w:val="21"/>
                <w:highlight w:val="none"/>
                <w:vertAlign w:val="baseline"/>
                <w:lang w:val="en-US" w:eastAsia="zh-CN"/>
              </w:rPr>
              <w:t>6</w:t>
            </w:r>
          </w:p>
        </w:tc>
      </w:tr>
    </w:tbl>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（2）环境收益分析</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综上，建设单位建设可信性环保措施，本项目的对环境的影响较轻小，可满足既发展经济、又保护环境的目的，又具有比较明显的环境效益。本项目的建设不仅具有一定的经济效益，同时还具有明显的社会效益和环境效益，能真正做到社会效益、经济效益和环境效益三者的“统一”。</w:t>
      </w:r>
    </w:p>
    <w:p>
      <w:pP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p>
    <w:p>
      <w:pPr>
        <w:pStyle w:val="11"/>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p>
    <w:p>
      <w:pP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p>
    <w:p>
      <w:pPr>
        <w:pStyle w:val="11"/>
        <w:rPr>
          <w:rFonts w:hint="eastAsia"/>
          <w:color w:val="auto"/>
          <w:highlight w:val="none"/>
          <w:lang w:val="en-US" w:eastAsia="zh-CN"/>
        </w:rPr>
      </w:pPr>
    </w:p>
    <w:p>
      <w:pPr>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br w:type="page"/>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23" w:name="_Toc16822"/>
      <w:bookmarkStart w:id="1224" w:name="_Toc31643"/>
      <w:r>
        <w:rPr>
          <w:rFonts w:hint="eastAsia" w:ascii="Times New Roman" w:hAnsi="Times New Roman" w:eastAsia="宋体" w:cs="Times New Roman"/>
          <w:snapToGrid/>
          <w:color w:val="auto"/>
          <w:sz w:val="32"/>
          <w:highlight w:val="none"/>
          <w:lang w:val="en-US" w:eastAsia="zh-CN" w:bidi="ar-SA"/>
        </w:rPr>
        <w:t>8环境管理与环境监测</w:t>
      </w:r>
      <w:bookmarkEnd w:id="1223"/>
      <w:bookmarkEnd w:id="1224"/>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为了有效地掌握项目在施工期和运行期对周边环境产生的影响，按照国家有关环境监测条例的规定，需对建设项目的各个设施排放口实行监测、监督，有助于企业加强环境监督管理，及时采取相应措施，消除不利因素，以实现预定的各项环保目标。</w:t>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25" w:name="_Toc7822"/>
      <w:r>
        <w:rPr>
          <w:rFonts w:hint="eastAsia" w:ascii="Times New Roman" w:hAnsi="Times New Roman" w:eastAsia="宋体" w:cs="Times New Roman"/>
          <w:snapToGrid/>
          <w:color w:val="auto"/>
          <w:sz w:val="32"/>
          <w:highlight w:val="none"/>
          <w:lang w:val="en-US" w:eastAsia="zh-CN" w:bidi="ar-SA"/>
        </w:rPr>
        <w:t>8.1环境管理制度、机构及维护机制要求</w:t>
      </w:r>
      <w:bookmarkEnd w:id="1225"/>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8.1.1环境管理机构</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企业应设置安环部，全厂的环境保护管理工作由公司安环部负责，各装置配备兼职环保管理人员。</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8.1.2环境管理的职责</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（1）建立健全环保管理制度</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应结合工程运行特点，建立健全符合本企业实际的环境保护管理规章制度，强化环境管理行为。本次评价提出的企业环保管理制度主要内容见表8.1-1，环保设施与设备管理规程见表8.1-2。</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22" w:firstLineChars="200"/>
        <w:jc w:val="center"/>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表8.1-1环境保护管理制度表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36"/>
        <w:gridCol w:w="668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3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实施部门</w:t>
            </w:r>
          </w:p>
        </w:tc>
        <w:tc>
          <w:tcPr>
            <w:tcW w:w="6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主要内容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3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安环部</w:t>
            </w:r>
          </w:p>
        </w:tc>
        <w:tc>
          <w:tcPr>
            <w:tcW w:w="6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内部环境保护审核、例会制度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3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6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环境质量管理目标与指标考核制度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3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6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环境风险管理制度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3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6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清洁生产管理、环境保护宣传教育与环境保护岗位职责奖惩制度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3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6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内部环境管理监督与检查制度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3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6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环保设施与设备定期检查、保养和维护管理制度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3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6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环境保护定期、不定期监测制度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3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6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环境保护档案管理与环境污染事故管理规定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3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6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危险废物管理与转移联单制度</w:t>
            </w:r>
          </w:p>
        </w:tc>
      </w:tr>
    </w:tbl>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22" w:firstLineChars="200"/>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表8.1-2环保设施管理规程表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40"/>
        <w:gridCol w:w="667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0"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实施部门</w:t>
            </w:r>
          </w:p>
        </w:tc>
        <w:tc>
          <w:tcPr>
            <w:tcW w:w="6676"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主要管理内容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0"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环评科</w:t>
            </w:r>
          </w:p>
        </w:tc>
        <w:tc>
          <w:tcPr>
            <w:tcW w:w="6676"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环保设备操作规程及管理规章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0" w:type="dxa"/>
            <w:vMerge w:val="continue"/>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6676"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环保设施维护、保养管理规程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0" w:type="dxa"/>
            <w:vMerge w:val="continue"/>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6676"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重点环保设施污染控制点巡回检查制度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840" w:type="dxa"/>
            <w:vMerge w:val="continue"/>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6676" w:type="dxa"/>
            <w:tcBorders>
              <w:tl2br w:val="nil"/>
              <w:tr2bl w:val="nil"/>
            </w:tcBorders>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危险废物的收集、贮存与处理处置规程</w:t>
            </w:r>
          </w:p>
        </w:tc>
      </w:tr>
    </w:tbl>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（2）环境管理任务</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①项目进入运行期，应由建设单位组织验收，检查环保设施是否按“三同时”进行；</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②严格执行各项生产及环境管理制度，保证生产的正常运行；</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③按照监测计划定期组织进行厂内的污染源监测，对不达标环保措施及时处理；</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④加强环保设施的管理，定期检查环保设施的运行情况，排除故障，保证环保设施正常运转；</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⑤重视群众监督作用，提高企业职工环保意识，鼓励职工及外部人员对生产状况提出意见，并通过积极吸收宝贵意见，提高企业环境管理水平。</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8.1.3环境管理信息公开</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本项目应按照《企业事业单位环境信息公开办法》规定公开下列信息：</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（1）基础信息，包括单位名称、组织机构代码、法定代表人、生产地址、联系方式，以及生产经营和管理服务的主要内容、产品及规模；</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（2）排污信息，包括主要污染物及特征污染物的名称、排放方式、排放口数量和分布情况、排放浓度和总量、超标情况，以及执行的污染物排放标准、核定的排放总量；</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（3）防治污染设施的建设和运行情况；</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（4）建设项目环境影响评价及其他环境保护行政许可情况；</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（5）突发环境事件应急预案；</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（6）其他应当公开的环境信息。</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8.1.4排污口管理</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（1）站址接收废水处及排放口应进行规范化设计，设置流量计，并要具备采样、监测条件。接收处和排放口附近应竖立环保图形标志牌。</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（2）废水处理装置配套的</w:t>
      </w:r>
      <w:r>
        <w:rPr>
          <w:rFonts w:hint="eastAsia" w:cs="Times New Roman"/>
          <w:caps w:val="0"/>
          <w:smallCaps w:val="0"/>
          <w:snapToGrid/>
          <w:color w:val="auto"/>
          <w:spacing w:val="0"/>
          <w:w w:val="100"/>
          <w:kern w:val="0"/>
          <w:sz w:val="24"/>
          <w:szCs w:val="24"/>
          <w:highlight w:val="none"/>
          <w:lang w:val="en-US" w:eastAsia="zh-CN" w:bidi="ar-SA"/>
        </w:rPr>
        <w:t>污泥</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处理设施采取防流失、防渗漏等防止污染环境的措施，在醒目处设置环境保护图形标志牌，并且及时外运。</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固定噪声污染源附近应设置环境噪声监测点，并在附近醒目处设置环境保护图形标志牌。厂界设置若干个环境噪声监测点和环境保护图形标志牌。排污口应符合“一明显、二合理、三便于”的要求，即环保标志明显，排污口设置合理，排污去向合理，便于采集样品，便于监测计量，便于公众监督管理。</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按照国家环保局制定的《〈环境保护图形标志〉实施细则（试行）》（环监[1996]463号）的规定，在各排污口设立相应的环境保护图形标志牌。本项目应按《环境保护图形标志—排放口（源）》（GB/T15562.1-1995）规定的图形，在各气、水、声排污口（源）挂牌标识，做到各排污口（源）的环保标志明显，便于企业管理和公众监督。环境保护图形标志具体设置图形见图8.1-1。</w:t>
      </w:r>
    </w:p>
    <w:p>
      <w:pPr>
        <w:rPr>
          <w:rFonts w:hint="default"/>
          <w:color w:val="auto"/>
          <w:highlight w:val="none"/>
          <w:lang w:val="en-US" w:eastAsia="zh-CN"/>
        </w:rPr>
      </w:pPr>
      <w:r>
        <w:rPr>
          <w:rFonts w:hint="default"/>
          <w:color w:val="auto"/>
          <w:highlight w:val="none"/>
          <w:lang w:val="en-US" w:eastAsia="zh-CN"/>
        </w:rPr>
        <w:drawing>
          <wp:inline distT="0" distB="0" distL="114300" distR="114300">
            <wp:extent cx="5266690" cy="2656205"/>
            <wp:effectExtent l="0" t="0" r="10160" b="10795"/>
            <wp:docPr id="23" name="图片 23" descr="环保设施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环保设施照片"/>
                    <pic:cNvPicPr>
                      <a:picLocks noChangeAspect="1"/>
                    </pic:cNvPicPr>
                  </pic:nvPicPr>
                  <pic:blipFill>
                    <a:blip r:embed="rId57"/>
                    <a:stretch>
                      <a:fillRect/>
                    </a:stretch>
                  </pic:blipFill>
                  <pic:spPr>
                    <a:xfrm>
                      <a:off x="0" y="0"/>
                      <a:ext cx="5266690" cy="2656205"/>
                    </a:xfrm>
                    <a:prstGeom prst="rect">
                      <a:avLst/>
                    </a:prstGeom>
                  </pic:spPr>
                </pic:pic>
              </a:graphicData>
            </a:graphic>
          </wp:inline>
        </w:drawing>
      </w:r>
    </w:p>
    <w:p>
      <w:pPr>
        <w:pStyle w:val="11"/>
        <w:jc w:val="cente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图8.1-1环境保护设施照片</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8.1.5环境管理台账要求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企业应建立环境管理台账，主要包括以下内容：</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（1）接纳企业废水入厂的水量、水质监测的记录台账；</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（2）处理后废水出口处的排放量、水质的监测记录台账；</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（3）大气污染源监测记录台账，主要包括厂界无组织监测及排气筒出口污染物监测。</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（4）厂界噪声监测记录台账。</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8.1.6建立污染物排放许可证制度和排污申报登记制度</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关于做好环境影响评价制度与排污许可制衔接相关工作的通知》（环办环评[2017]84号）中相关内容：环境影响评价审批部门要做好建设项目环境影响报告书(表)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建设项目无证排污或不按证排污的，建设单位不得出具该项目验收合格的意见，验收报告中与污染物排放相关的主要内容应当纳入该项目验收完成当年排污许可证执行年报。</w:t>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26" w:name="_Toc4460"/>
      <w:r>
        <w:rPr>
          <w:rFonts w:hint="eastAsia" w:ascii="Times New Roman" w:hAnsi="Times New Roman" w:eastAsia="宋体" w:cs="Times New Roman"/>
          <w:snapToGrid/>
          <w:color w:val="auto"/>
          <w:sz w:val="32"/>
          <w:highlight w:val="none"/>
          <w:lang w:val="en-US" w:eastAsia="zh-CN" w:bidi="ar-SA"/>
        </w:rPr>
        <w:t>8.2污染物排放清单</w:t>
      </w:r>
      <w:bookmarkEnd w:id="1226"/>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本项目污染物排放清单见表8.2-1。</w:t>
      </w:r>
    </w:p>
    <w:p>
      <w:pP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br w:type="page"/>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表8.2-1本项目污染物排放清单</w:t>
      </w:r>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21"/>
        <w:gridCol w:w="1996"/>
        <w:gridCol w:w="2166"/>
        <w:gridCol w:w="2259"/>
        <w:gridCol w:w="3039"/>
        <w:gridCol w:w="338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污染物种类</w:t>
            </w:r>
          </w:p>
        </w:tc>
        <w:tc>
          <w:tcPr>
            <w:tcW w:w="7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污染物名称</w:t>
            </w:r>
          </w:p>
        </w:tc>
        <w:tc>
          <w:tcPr>
            <w:tcW w:w="76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主要污染因子</w:t>
            </w:r>
          </w:p>
        </w:tc>
        <w:tc>
          <w:tcPr>
            <w:tcW w:w="79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排放量</w:t>
            </w:r>
          </w:p>
        </w:tc>
        <w:tc>
          <w:tcPr>
            <w:tcW w:w="107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控制措施及去向</w:t>
            </w:r>
          </w:p>
        </w:tc>
        <w:tc>
          <w:tcPr>
            <w:tcW w:w="119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排放管理要求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5" w:hRule="atLeast"/>
        </w:trPr>
        <w:tc>
          <w:tcPr>
            <w:tcW w:w="466"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废气</w:t>
            </w:r>
          </w:p>
        </w:tc>
        <w:tc>
          <w:tcPr>
            <w:tcW w:w="704"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恶臭气体</w:t>
            </w:r>
          </w:p>
        </w:tc>
        <w:tc>
          <w:tcPr>
            <w:tcW w:w="76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NH</w:t>
            </w:r>
            <w:r>
              <w:rPr>
                <w:rFonts w:hint="eastAsia" w:ascii="Times New Roman" w:hAnsi="Times New Roman" w:eastAsia="宋体" w:cs="Times New Roman"/>
                <w:color w:val="auto"/>
                <w:sz w:val="21"/>
                <w:szCs w:val="21"/>
                <w:highlight w:val="none"/>
                <w:vertAlign w:val="subscript"/>
                <w:lang w:val="en-US" w:eastAsia="zh-CN"/>
              </w:rPr>
              <w:t>3</w:t>
            </w:r>
          </w:p>
        </w:tc>
        <w:tc>
          <w:tcPr>
            <w:tcW w:w="22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0.0076</w:t>
            </w:r>
            <w:r>
              <w:rPr>
                <w:rFonts w:hint="eastAsia" w:ascii="Times New Roman" w:hAnsi="Times New Roman" w:cs="Times New Roman"/>
                <w:color w:val="auto"/>
                <w:sz w:val="21"/>
                <w:szCs w:val="21"/>
                <w:highlight w:val="none"/>
                <w:vertAlign w:val="baseline"/>
                <w:lang w:val="en-US" w:eastAsia="zh-CN"/>
              </w:rPr>
              <w:t>kg/h</w:t>
            </w:r>
          </w:p>
        </w:tc>
        <w:tc>
          <w:tcPr>
            <w:tcW w:w="1072"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负压收集，经离子除臭系统后通过15m排气筒排放</w:t>
            </w:r>
          </w:p>
        </w:tc>
        <w:tc>
          <w:tcPr>
            <w:tcW w:w="1193"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《恶臭污染物排放标准》（GB14554-93）表2 15m排气筒排放量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5" w:hRule="atLeast"/>
        </w:trPr>
        <w:tc>
          <w:tcPr>
            <w:tcW w:w="46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704"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sz w:val="21"/>
                <w:szCs w:val="21"/>
                <w:highlight w:val="none"/>
              </w:rPr>
            </w:pPr>
          </w:p>
        </w:tc>
        <w:tc>
          <w:tcPr>
            <w:tcW w:w="76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H</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vertAlign w:val="baseline"/>
                <w:lang w:val="en-US" w:eastAsia="zh-CN"/>
              </w:rPr>
              <w:t>S</w:t>
            </w:r>
          </w:p>
        </w:tc>
        <w:tc>
          <w:tcPr>
            <w:tcW w:w="22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8.22E-05</w:t>
            </w:r>
            <w:r>
              <w:rPr>
                <w:rFonts w:hint="eastAsia" w:ascii="Times New Roman" w:hAnsi="Times New Roman" w:cs="Times New Roman"/>
                <w:color w:val="auto"/>
                <w:sz w:val="21"/>
                <w:szCs w:val="21"/>
                <w:highlight w:val="none"/>
                <w:vertAlign w:val="baseline"/>
                <w:lang w:val="en-US" w:eastAsia="zh-CN"/>
              </w:rPr>
              <w:t>kg/h</w:t>
            </w:r>
          </w:p>
        </w:tc>
        <w:tc>
          <w:tcPr>
            <w:tcW w:w="1072"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19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5" w:hRule="atLeast"/>
        </w:trPr>
        <w:tc>
          <w:tcPr>
            <w:tcW w:w="46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04"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6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NH</w:t>
            </w:r>
            <w:r>
              <w:rPr>
                <w:rFonts w:hint="eastAsia" w:ascii="Times New Roman" w:hAnsi="Times New Roman" w:eastAsia="宋体" w:cs="Times New Roman"/>
                <w:color w:val="auto"/>
                <w:sz w:val="21"/>
                <w:szCs w:val="21"/>
                <w:highlight w:val="none"/>
                <w:vertAlign w:val="subscript"/>
                <w:lang w:val="en-US" w:eastAsia="zh-CN"/>
              </w:rPr>
              <w:t>3</w:t>
            </w:r>
          </w:p>
        </w:tc>
        <w:tc>
          <w:tcPr>
            <w:tcW w:w="22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0.148t/a</w:t>
            </w:r>
          </w:p>
        </w:tc>
        <w:tc>
          <w:tcPr>
            <w:tcW w:w="1072"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无组织逸散</w:t>
            </w:r>
          </w:p>
        </w:tc>
        <w:tc>
          <w:tcPr>
            <w:tcW w:w="1193"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《恶臭污染物排放标准》（GB14554-93）表1二级厂界限值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5" w:hRule="atLeast"/>
        </w:trPr>
        <w:tc>
          <w:tcPr>
            <w:tcW w:w="46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04"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6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H</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vertAlign w:val="baseline"/>
                <w:lang w:val="en-US" w:eastAsia="zh-CN"/>
              </w:rPr>
              <w:t>S</w:t>
            </w:r>
          </w:p>
        </w:tc>
        <w:tc>
          <w:tcPr>
            <w:tcW w:w="225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0.0016t/a</w:t>
            </w:r>
          </w:p>
        </w:tc>
        <w:tc>
          <w:tcPr>
            <w:tcW w:w="1072"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19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挥发性气体</w:t>
            </w:r>
          </w:p>
        </w:tc>
        <w:tc>
          <w:tcPr>
            <w:tcW w:w="76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非甲烷总烃</w:t>
            </w:r>
          </w:p>
        </w:tc>
        <w:tc>
          <w:tcPr>
            <w:tcW w:w="79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w:t>
            </w:r>
            <w:r>
              <w:rPr>
                <w:rFonts w:hint="eastAsia" w:cs="Times New Roman"/>
                <w:color w:val="auto"/>
                <w:sz w:val="21"/>
                <w:szCs w:val="21"/>
                <w:highlight w:val="none"/>
                <w:vertAlign w:val="baseline"/>
                <w:lang w:val="en-US" w:eastAsia="zh-CN"/>
              </w:rPr>
              <w:t>1222</w:t>
            </w:r>
            <w:r>
              <w:rPr>
                <w:rFonts w:hint="eastAsia" w:cs="Times New Roman"/>
                <w:color w:val="auto"/>
                <w:kern w:val="2"/>
                <w:sz w:val="21"/>
                <w:szCs w:val="21"/>
                <w:highlight w:val="none"/>
                <w:vertAlign w:val="baseline"/>
                <w:lang w:val="en-US" w:eastAsia="zh-CN" w:bidi="ar-SA"/>
              </w:rPr>
              <w:t>t/a</w:t>
            </w:r>
          </w:p>
        </w:tc>
        <w:tc>
          <w:tcPr>
            <w:tcW w:w="107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无组织逸散</w:t>
            </w:r>
          </w:p>
        </w:tc>
        <w:tc>
          <w:tcPr>
            <w:tcW w:w="119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站内</w:t>
            </w:r>
            <w:r>
              <w:rPr>
                <w:rFonts w:hint="eastAsia" w:ascii="Times New Roman" w:hAnsi="Times New Roman" w:eastAsia="宋体" w:cs="Times New Roman"/>
                <w:color w:val="auto"/>
                <w:sz w:val="21"/>
                <w:szCs w:val="21"/>
                <w:highlight w:val="none"/>
                <w:vertAlign w:val="baseline"/>
                <w:lang w:val="en-US" w:eastAsia="zh-CN"/>
              </w:rPr>
              <w:t>非甲烷总烃</w:t>
            </w:r>
            <w:r>
              <w:rPr>
                <w:rFonts w:hint="eastAsia" w:cs="Times New Roman"/>
                <w:color w:val="auto"/>
                <w:sz w:val="21"/>
                <w:szCs w:val="21"/>
                <w:highlight w:val="none"/>
                <w:vertAlign w:val="baseline"/>
                <w:lang w:val="en-US" w:eastAsia="zh-CN"/>
              </w:rPr>
              <w:t>浓度满足</w:t>
            </w:r>
            <w:r>
              <w:rPr>
                <w:rFonts w:hint="eastAsia" w:ascii="Times New Roman" w:hAnsi="Times New Roman" w:cs="Times New Roman"/>
                <w:color w:val="auto"/>
                <w:sz w:val="21"/>
                <w:szCs w:val="21"/>
                <w:highlight w:val="none"/>
                <w:vertAlign w:val="baseline"/>
                <w:lang w:val="en-US" w:eastAsia="zh-CN"/>
              </w:rPr>
              <w:t>《挥发性有机物无组织排放控制标准》（GB37822-2019）附录A</w:t>
            </w:r>
            <w:r>
              <w:rPr>
                <w:rFonts w:hint="eastAsia" w:cs="Times New Roman"/>
                <w:color w:val="auto"/>
                <w:sz w:val="21"/>
                <w:szCs w:val="21"/>
                <w:highlight w:val="none"/>
                <w:vertAlign w:val="baseline"/>
                <w:lang w:val="en-US" w:eastAsia="zh-CN"/>
              </w:rPr>
              <w:t>；厂界</w:t>
            </w:r>
            <w:r>
              <w:rPr>
                <w:rFonts w:hint="eastAsia" w:ascii="Times New Roman" w:hAnsi="Times New Roman" w:eastAsia="宋体" w:cs="Times New Roman"/>
                <w:color w:val="auto"/>
                <w:sz w:val="21"/>
                <w:szCs w:val="21"/>
                <w:highlight w:val="none"/>
                <w:vertAlign w:val="baseline"/>
                <w:lang w:val="en-US" w:eastAsia="zh-CN"/>
              </w:rPr>
              <w:t>非甲烷总烃</w:t>
            </w:r>
            <w:r>
              <w:rPr>
                <w:rFonts w:hint="eastAsia" w:cs="Times New Roman"/>
                <w:color w:val="auto"/>
                <w:sz w:val="21"/>
                <w:szCs w:val="21"/>
                <w:highlight w:val="none"/>
                <w:vertAlign w:val="baseline"/>
                <w:lang w:val="en-US" w:eastAsia="zh-CN"/>
              </w:rPr>
              <w:t>浓度满足</w:t>
            </w:r>
            <w:r>
              <w:rPr>
                <w:rFonts w:hint="eastAsia" w:ascii="Times New Roman" w:hAnsi="Times New Roman" w:cs="Times New Roman"/>
                <w:color w:val="auto"/>
                <w:sz w:val="21"/>
                <w:szCs w:val="21"/>
                <w:highlight w:val="none"/>
                <w:vertAlign w:val="baseline"/>
                <w:lang w:val="en-US" w:eastAsia="zh-CN"/>
              </w:rPr>
              <w:t>《大气污染物综合排放标准》（GB16297-1996）表2新无组织排放监控浓度限值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食堂油烟</w:t>
            </w:r>
          </w:p>
        </w:tc>
        <w:tc>
          <w:tcPr>
            <w:tcW w:w="76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食堂油烟</w:t>
            </w:r>
          </w:p>
        </w:tc>
        <w:tc>
          <w:tcPr>
            <w:tcW w:w="79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0.0003</w:t>
            </w:r>
            <w:r>
              <w:rPr>
                <w:rFonts w:hint="eastAsia" w:cs="Times New Roman"/>
                <w:color w:val="auto"/>
                <w:kern w:val="2"/>
                <w:sz w:val="21"/>
                <w:szCs w:val="21"/>
                <w:highlight w:val="none"/>
                <w:vertAlign w:val="baseline"/>
                <w:lang w:val="en-US" w:eastAsia="zh-CN" w:bidi="ar-SA"/>
              </w:rPr>
              <w:t>t/a</w:t>
            </w:r>
          </w:p>
        </w:tc>
        <w:tc>
          <w:tcPr>
            <w:tcW w:w="107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集气罩+油烟净化器+专用烟道高于屋顶排放</w:t>
            </w:r>
          </w:p>
        </w:tc>
        <w:tc>
          <w:tcPr>
            <w:tcW w:w="119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食堂油烟净化器处理效率及食业油烟排放浓度执行《饮食业油烟排放标准》（GB18483-2001）小型规模食堂最高允许排放浓度和油烟净化设施最低去除效率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90" w:hRule="atLeast"/>
        </w:trPr>
        <w:tc>
          <w:tcPr>
            <w:tcW w:w="466"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废水</w:t>
            </w:r>
          </w:p>
        </w:tc>
        <w:tc>
          <w:tcPr>
            <w:tcW w:w="7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生活污水</w:t>
            </w:r>
          </w:p>
        </w:tc>
        <w:tc>
          <w:tcPr>
            <w:tcW w:w="76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COD、氨氮</w:t>
            </w:r>
          </w:p>
        </w:tc>
        <w:tc>
          <w:tcPr>
            <w:tcW w:w="79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701m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/a</w:t>
            </w:r>
          </w:p>
        </w:tc>
        <w:tc>
          <w:tcPr>
            <w:tcW w:w="1072" w:type="pct"/>
            <w:tcBorders>
              <w:tl2br w:val="nil"/>
              <w:tr2bl w:val="nil"/>
            </w:tcBorders>
            <w:vAlign w:val="center"/>
          </w:tcPr>
          <w:p>
            <w:pPr>
              <w:pageBreakBefore w:val="0"/>
              <w:widowControl/>
              <w:bidi w:val="0"/>
              <w:spacing w:line="360" w:lineRule="auto"/>
              <w:ind w:firstLine="0" w:firstLineChars="0"/>
              <w:jc w:val="both"/>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aps w:val="0"/>
                <w:smallCaps w:val="0"/>
                <w:color w:val="auto"/>
                <w:spacing w:val="0"/>
                <w:w w:val="100"/>
                <w:sz w:val="21"/>
                <w:szCs w:val="21"/>
                <w:highlight w:val="none"/>
                <w:lang w:val="en-US" w:eastAsia="zh-CN"/>
              </w:rPr>
              <w:t>排入化粪池内，定期清掏，拉运至新站镇生活污水处理厂处理</w:t>
            </w:r>
          </w:p>
        </w:tc>
        <w:tc>
          <w:tcPr>
            <w:tcW w:w="119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eastAsia="Arial" w:cs="Times New Roman"/>
                <w:snapToGrid w:val="0"/>
                <w:color w:val="auto"/>
                <w:kern w:val="0"/>
                <w:sz w:val="21"/>
                <w:szCs w:val="21"/>
                <w:highlight w:val="none"/>
                <w:vertAlign w:val="baseline"/>
                <w:lang w:val="en-US" w:eastAsia="zh-CN"/>
              </w:rPr>
              <w:t>《污水综合排放标准》（GB8978-1996）表4中三级标准要求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初期雨水</w:t>
            </w:r>
          </w:p>
        </w:tc>
        <w:tc>
          <w:tcPr>
            <w:tcW w:w="76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宋体" w:cs="Times New Roman"/>
                <w:caps w:val="0"/>
                <w:smallCaps w:val="0"/>
                <w:color w:val="auto"/>
                <w:spacing w:val="0"/>
                <w:w w:val="100"/>
                <w:sz w:val="21"/>
                <w:szCs w:val="21"/>
                <w:highlight w:val="none"/>
                <w:lang w:val="en-US" w:eastAsia="zh-CN"/>
              </w:rPr>
              <w:t>石油类</w:t>
            </w:r>
          </w:p>
        </w:tc>
        <w:tc>
          <w:tcPr>
            <w:tcW w:w="79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201.2m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/次</w:t>
            </w:r>
          </w:p>
        </w:tc>
        <w:tc>
          <w:tcPr>
            <w:tcW w:w="107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aps w:val="0"/>
                <w:smallCaps w:val="0"/>
                <w:color w:val="auto"/>
                <w:spacing w:val="0"/>
                <w:w w:val="100"/>
                <w:sz w:val="21"/>
                <w:szCs w:val="21"/>
                <w:highlight w:val="none"/>
                <w:lang w:val="en-US" w:eastAsia="zh-CN"/>
              </w:rPr>
              <w:t>暂存在初期雨水收集池内，再进入站内废水处理系统，经处理达标后，回用于页岩油试验区压裂复配</w:t>
            </w:r>
          </w:p>
        </w:tc>
        <w:tc>
          <w:tcPr>
            <w:tcW w:w="1193"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aps w:val="0"/>
                <w:smallCaps w:val="0"/>
                <w:color w:val="auto"/>
                <w:spacing w:val="0"/>
                <w:w w:val="100"/>
                <w:sz w:val="21"/>
                <w:szCs w:val="21"/>
                <w:highlight w:val="none"/>
                <w:lang w:val="en-US" w:eastAsia="zh-CN"/>
              </w:rPr>
              <w:t>《大庆油田地面工程建设设计规定》（Q/SYDQ0639-2015）“含油量≤20mg/L、悬浮固体含量≤20mg/L”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cs="Times New Roman"/>
                <w:caps w:val="0"/>
                <w:smallCaps w:val="0"/>
                <w:color w:val="auto"/>
                <w:spacing w:val="0"/>
                <w:w w:val="100"/>
                <w:sz w:val="21"/>
                <w:szCs w:val="21"/>
                <w:highlight w:val="none"/>
                <w:lang w:val="en-US" w:eastAsia="zh-CN"/>
              </w:rPr>
              <w:t>污泥</w:t>
            </w:r>
            <w:r>
              <w:rPr>
                <w:rFonts w:hint="eastAsia" w:ascii="Times New Roman" w:hAnsi="Times New Roman" w:eastAsia="宋体" w:cs="Times New Roman"/>
                <w:caps w:val="0"/>
                <w:smallCaps w:val="0"/>
                <w:color w:val="auto"/>
                <w:spacing w:val="0"/>
                <w:w w:val="100"/>
                <w:sz w:val="21"/>
                <w:szCs w:val="21"/>
                <w:highlight w:val="none"/>
                <w:lang w:val="en-US" w:eastAsia="zh-CN"/>
              </w:rPr>
              <w:t>离心浓缩废水</w:t>
            </w:r>
          </w:p>
        </w:tc>
        <w:tc>
          <w:tcPr>
            <w:tcW w:w="76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宋体" w:cs="Times New Roman"/>
                <w:caps w:val="0"/>
                <w:smallCaps w:val="0"/>
                <w:color w:val="auto"/>
                <w:spacing w:val="0"/>
                <w:w w:val="100"/>
                <w:sz w:val="21"/>
                <w:szCs w:val="21"/>
                <w:highlight w:val="none"/>
                <w:lang w:val="en-US" w:eastAsia="zh-CN"/>
              </w:rPr>
              <w:t>石油类</w:t>
            </w:r>
          </w:p>
        </w:tc>
        <w:tc>
          <w:tcPr>
            <w:tcW w:w="79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211.5t/a</w:t>
            </w:r>
          </w:p>
        </w:tc>
        <w:tc>
          <w:tcPr>
            <w:tcW w:w="107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aps w:val="0"/>
                <w:smallCaps w:val="0"/>
                <w:color w:val="auto"/>
                <w:spacing w:val="0"/>
                <w:w w:val="100"/>
                <w:sz w:val="21"/>
                <w:szCs w:val="21"/>
                <w:highlight w:val="none"/>
                <w:lang w:val="en-US" w:eastAsia="zh-CN"/>
              </w:rPr>
              <w:t>进入站内废水处理系统，经处理达标后，回用于页岩油试验区压裂复配</w:t>
            </w:r>
          </w:p>
        </w:tc>
        <w:tc>
          <w:tcPr>
            <w:tcW w:w="119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aps w:val="0"/>
                <w:smallCaps w:val="0"/>
                <w:color w:val="auto"/>
                <w:spacing w:val="0"/>
                <w:w w:val="100"/>
                <w:sz w:val="21"/>
                <w:szCs w:val="21"/>
                <w:highlight w:val="none"/>
                <w:lang w:val="en-US" w:eastAsia="zh-CN"/>
              </w:rPr>
            </w:pPr>
            <w:r>
              <w:rPr>
                <w:rFonts w:hint="eastAsia" w:cs="Times New Roman"/>
                <w:color w:val="auto"/>
                <w:sz w:val="21"/>
                <w:szCs w:val="21"/>
                <w:highlight w:val="none"/>
                <w:vertAlign w:val="baseline"/>
                <w:lang w:val="en-US" w:eastAsia="zh-CN"/>
              </w:rPr>
              <w:t>消防</w:t>
            </w:r>
            <w:r>
              <w:rPr>
                <w:rFonts w:hint="default" w:ascii="Times New Roman" w:hAnsi="Times New Roman" w:cs="Times New Roman"/>
                <w:color w:val="auto"/>
                <w:sz w:val="21"/>
                <w:szCs w:val="21"/>
                <w:highlight w:val="none"/>
                <w:vertAlign w:val="baseline"/>
                <w:lang w:val="en-US" w:eastAsia="zh-CN"/>
              </w:rPr>
              <w:t>废水</w:t>
            </w:r>
          </w:p>
        </w:tc>
        <w:tc>
          <w:tcPr>
            <w:tcW w:w="76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aps w:val="0"/>
                <w:smallCaps w:val="0"/>
                <w:color w:val="auto"/>
                <w:spacing w:val="0"/>
                <w:w w:val="100"/>
                <w:sz w:val="21"/>
                <w:szCs w:val="21"/>
                <w:highlight w:val="none"/>
                <w:lang w:val="en-US" w:eastAsia="zh-CN"/>
              </w:rPr>
            </w:pPr>
            <w:r>
              <w:rPr>
                <w:rFonts w:hint="eastAsia" w:ascii="Times New Roman" w:hAnsi="Times New Roman" w:eastAsia="宋体" w:cs="Times New Roman"/>
                <w:caps w:val="0"/>
                <w:smallCaps w:val="0"/>
                <w:color w:val="auto"/>
                <w:spacing w:val="0"/>
                <w:w w:val="100"/>
                <w:sz w:val="21"/>
                <w:szCs w:val="21"/>
                <w:highlight w:val="none"/>
                <w:lang w:val="en-US" w:eastAsia="zh-CN"/>
              </w:rPr>
              <w:t>有害物质</w:t>
            </w:r>
          </w:p>
        </w:tc>
        <w:tc>
          <w:tcPr>
            <w:tcW w:w="79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648m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/次</w:t>
            </w:r>
          </w:p>
        </w:tc>
        <w:tc>
          <w:tcPr>
            <w:tcW w:w="107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aps w:val="0"/>
                <w:smallCaps w:val="0"/>
                <w:color w:val="auto"/>
                <w:spacing w:val="0"/>
                <w:w w:val="100"/>
                <w:sz w:val="21"/>
                <w:szCs w:val="21"/>
                <w:highlight w:val="none"/>
                <w:lang w:val="en-US" w:eastAsia="zh-CN"/>
              </w:rPr>
              <w:t>交由有资质单位处置</w:t>
            </w:r>
          </w:p>
        </w:tc>
        <w:tc>
          <w:tcPr>
            <w:tcW w:w="119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噪声</w:t>
            </w:r>
          </w:p>
        </w:tc>
        <w:tc>
          <w:tcPr>
            <w:tcW w:w="7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泵类、风机及运行设备噪声</w:t>
            </w:r>
          </w:p>
        </w:tc>
        <w:tc>
          <w:tcPr>
            <w:tcW w:w="76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等效连续（A）声级</w:t>
            </w:r>
          </w:p>
        </w:tc>
        <w:tc>
          <w:tcPr>
            <w:tcW w:w="79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07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安装减振垫，对设备进行维护和保养，墙体隔声</w:t>
            </w:r>
          </w:p>
        </w:tc>
        <w:tc>
          <w:tcPr>
            <w:tcW w:w="119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aps w:val="0"/>
                <w:smallCaps w:val="0"/>
                <w:snapToGrid/>
                <w:color w:val="auto"/>
                <w:spacing w:val="0"/>
                <w:w w:val="100"/>
                <w:kern w:val="0"/>
                <w:sz w:val="21"/>
                <w:szCs w:val="21"/>
                <w:highlight w:val="none"/>
                <w:lang w:val="en-US" w:eastAsia="zh-CN" w:bidi="ar-SA"/>
              </w:rPr>
              <w:t>厂界噪声满足</w:t>
            </w:r>
            <w:r>
              <w:rPr>
                <w:rFonts w:hint="default" w:ascii="Times New Roman" w:hAnsi="Times New Roman" w:eastAsia="宋体" w:cs="Times New Roman"/>
                <w:caps w:val="0"/>
                <w:smallCaps w:val="0"/>
                <w:snapToGrid/>
                <w:color w:val="auto"/>
                <w:spacing w:val="0"/>
                <w:w w:val="100"/>
                <w:kern w:val="0"/>
                <w:sz w:val="21"/>
                <w:szCs w:val="21"/>
                <w:highlight w:val="none"/>
                <w:lang w:val="en-US" w:eastAsia="zh-CN" w:bidi="ar-SA"/>
              </w:rPr>
              <w:t>《工业企业厂界环境噪声排放标准》（GB12348-2008）2类</w:t>
            </w:r>
            <w:r>
              <w:rPr>
                <w:rFonts w:hint="eastAsia" w:ascii="Times New Roman" w:hAnsi="Times New Roman" w:eastAsia="宋体" w:cs="Times New Roman"/>
                <w:caps w:val="0"/>
                <w:smallCaps w:val="0"/>
                <w:snapToGrid/>
                <w:color w:val="auto"/>
                <w:spacing w:val="0"/>
                <w:w w:val="100"/>
                <w:kern w:val="0"/>
                <w:sz w:val="21"/>
                <w:szCs w:val="21"/>
                <w:highlight w:val="none"/>
                <w:lang w:val="en-US" w:eastAsia="zh-CN" w:bidi="ar-SA"/>
              </w:rPr>
              <w:t>和4类</w:t>
            </w:r>
            <w:r>
              <w:rPr>
                <w:rFonts w:hint="default" w:ascii="Times New Roman" w:hAnsi="Times New Roman" w:eastAsia="宋体" w:cs="Times New Roman"/>
                <w:caps w:val="0"/>
                <w:smallCaps w:val="0"/>
                <w:snapToGrid/>
                <w:color w:val="auto"/>
                <w:spacing w:val="0"/>
                <w:w w:val="100"/>
                <w:kern w:val="0"/>
                <w:sz w:val="21"/>
                <w:szCs w:val="21"/>
                <w:highlight w:val="none"/>
                <w:lang w:val="en-US" w:eastAsia="zh-CN" w:bidi="ar-SA"/>
              </w:rPr>
              <w:t>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6"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固体废物</w:t>
            </w:r>
          </w:p>
        </w:tc>
        <w:tc>
          <w:tcPr>
            <w:tcW w:w="7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生活垃圾</w:t>
            </w:r>
          </w:p>
        </w:tc>
        <w:tc>
          <w:tcPr>
            <w:tcW w:w="21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生活垃圾</w:t>
            </w:r>
          </w:p>
        </w:tc>
        <w:tc>
          <w:tcPr>
            <w:tcW w:w="79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5.475t/a</w:t>
            </w:r>
          </w:p>
        </w:tc>
        <w:tc>
          <w:tcPr>
            <w:tcW w:w="107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统一收集后，由环卫部门清运至肇源县生活垃圾处理场处理</w:t>
            </w:r>
          </w:p>
        </w:tc>
        <w:tc>
          <w:tcPr>
            <w:tcW w:w="119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废弃的含油抹布和劳保用品</w:t>
            </w:r>
          </w:p>
        </w:tc>
        <w:tc>
          <w:tcPr>
            <w:tcW w:w="21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废弃的含油抹布和劳保用品</w:t>
            </w:r>
          </w:p>
        </w:tc>
        <w:tc>
          <w:tcPr>
            <w:tcW w:w="79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0.05t/a</w:t>
            </w:r>
          </w:p>
        </w:tc>
        <w:tc>
          <w:tcPr>
            <w:tcW w:w="107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豁免管理，随生活垃圾一起拉运处置</w:t>
            </w:r>
          </w:p>
        </w:tc>
        <w:tc>
          <w:tcPr>
            <w:tcW w:w="119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胶状物质</w:t>
            </w:r>
          </w:p>
        </w:tc>
        <w:tc>
          <w:tcPr>
            <w:tcW w:w="21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胶状物质</w:t>
            </w:r>
          </w:p>
        </w:tc>
        <w:tc>
          <w:tcPr>
            <w:tcW w:w="79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37</w:t>
            </w:r>
            <w:r>
              <w:rPr>
                <w:rFonts w:hint="default" w:ascii="Times New Roman" w:hAnsi="Times New Roman" w:cs="Times New Roman"/>
                <w:color w:val="auto"/>
                <w:sz w:val="21"/>
                <w:szCs w:val="21"/>
                <w:highlight w:val="none"/>
                <w:vertAlign w:val="baseline"/>
                <w:lang w:val="en-US" w:eastAsia="zh-CN"/>
              </w:rPr>
              <w:t>t/a</w:t>
            </w:r>
          </w:p>
        </w:tc>
        <w:tc>
          <w:tcPr>
            <w:tcW w:w="1072"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交由有资质单位处置</w:t>
            </w:r>
          </w:p>
        </w:tc>
        <w:tc>
          <w:tcPr>
            <w:tcW w:w="119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aps w:val="0"/>
                <w:smallCaps w:val="0"/>
                <w:color w:val="auto"/>
                <w:spacing w:val="0"/>
                <w:w w:val="100"/>
                <w:sz w:val="21"/>
                <w:szCs w:val="21"/>
                <w:highlight w:val="none"/>
                <w:lang w:val="en-US" w:eastAsia="zh-CN"/>
              </w:rPr>
              <w:t>污泥</w:t>
            </w:r>
          </w:p>
        </w:tc>
        <w:tc>
          <w:tcPr>
            <w:tcW w:w="21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aps w:val="0"/>
                <w:smallCaps w:val="0"/>
                <w:color w:val="auto"/>
                <w:spacing w:val="0"/>
                <w:w w:val="100"/>
                <w:sz w:val="21"/>
                <w:szCs w:val="21"/>
                <w:highlight w:val="none"/>
                <w:lang w:val="en-US" w:eastAsia="zh-CN"/>
              </w:rPr>
              <w:t>污泥</w:t>
            </w:r>
          </w:p>
        </w:tc>
        <w:tc>
          <w:tcPr>
            <w:tcW w:w="79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211.5t/a</w:t>
            </w:r>
          </w:p>
        </w:tc>
        <w:tc>
          <w:tcPr>
            <w:tcW w:w="1072"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19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罐底油泥</w:t>
            </w:r>
          </w:p>
        </w:tc>
        <w:tc>
          <w:tcPr>
            <w:tcW w:w="21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罐底油泥</w:t>
            </w:r>
          </w:p>
        </w:tc>
        <w:tc>
          <w:tcPr>
            <w:tcW w:w="79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0.03</w:t>
            </w:r>
            <w:r>
              <w:rPr>
                <w:rFonts w:hint="eastAsia" w:ascii="Times New Roman" w:hAnsi="Times New Roman" w:eastAsia="Arial" w:cs="Times New Roman"/>
                <w:snapToGrid w:val="0"/>
                <w:color w:val="auto"/>
                <w:kern w:val="0"/>
                <w:sz w:val="21"/>
                <w:szCs w:val="21"/>
                <w:highlight w:val="none"/>
                <w:vertAlign w:val="baseline"/>
                <w:lang w:val="en-US" w:eastAsia="zh-CN"/>
              </w:rPr>
              <w:t>t/a</w:t>
            </w:r>
          </w:p>
        </w:tc>
        <w:tc>
          <w:tcPr>
            <w:tcW w:w="1072"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19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污油</w:t>
            </w:r>
          </w:p>
        </w:tc>
        <w:tc>
          <w:tcPr>
            <w:tcW w:w="21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污油</w:t>
            </w:r>
          </w:p>
        </w:tc>
        <w:tc>
          <w:tcPr>
            <w:tcW w:w="79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121</w:t>
            </w:r>
            <w:r>
              <w:rPr>
                <w:rFonts w:hint="eastAsia" w:ascii="Times New Roman" w:hAnsi="Times New Roman" w:eastAsia="Arial" w:cs="Times New Roman"/>
                <w:snapToGrid w:val="0"/>
                <w:color w:val="auto"/>
                <w:kern w:val="0"/>
                <w:sz w:val="21"/>
                <w:szCs w:val="21"/>
                <w:highlight w:val="none"/>
                <w:vertAlign w:val="baseline"/>
                <w:lang w:val="en-US" w:eastAsia="zh-CN"/>
              </w:rPr>
              <w:t>t/a</w:t>
            </w:r>
          </w:p>
        </w:tc>
        <w:tc>
          <w:tcPr>
            <w:tcW w:w="107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定期由油田单位拉运回收利用</w:t>
            </w:r>
          </w:p>
        </w:tc>
        <w:tc>
          <w:tcPr>
            <w:tcW w:w="119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66"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04"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药剂废弃包装袋</w:t>
            </w:r>
          </w:p>
        </w:tc>
        <w:tc>
          <w:tcPr>
            <w:tcW w:w="21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药剂废弃包装袋</w:t>
            </w:r>
          </w:p>
        </w:tc>
        <w:tc>
          <w:tcPr>
            <w:tcW w:w="797"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0.2</w:t>
            </w:r>
            <w:r>
              <w:rPr>
                <w:rFonts w:hint="eastAsia" w:ascii="Times New Roman" w:hAnsi="Times New Roman" w:eastAsia="Arial" w:cs="Times New Roman"/>
                <w:snapToGrid w:val="0"/>
                <w:color w:val="auto"/>
                <w:kern w:val="0"/>
                <w:sz w:val="21"/>
                <w:szCs w:val="21"/>
                <w:highlight w:val="none"/>
                <w:vertAlign w:val="baseline"/>
                <w:lang w:val="en-US" w:eastAsia="zh-CN"/>
              </w:rPr>
              <w:t>t/a</w:t>
            </w:r>
          </w:p>
        </w:tc>
        <w:tc>
          <w:tcPr>
            <w:tcW w:w="1072"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集中收集，定期外售</w:t>
            </w:r>
          </w:p>
        </w:tc>
        <w:tc>
          <w:tcPr>
            <w:tcW w:w="119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bl>
    <w:p>
      <w:pP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br w:type="page"/>
      </w:r>
    </w:p>
    <w:p>
      <w:pPr>
        <w:rPr>
          <w:rFonts w:hint="eastAsia"/>
          <w:color w:val="auto"/>
          <w:highlight w:val="none"/>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27" w:name="_Toc8785"/>
      <w:r>
        <w:rPr>
          <w:rFonts w:hint="eastAsia" w:ascii="Times New Roman" w:hAnsi="Times New Roman" w:eastAsia="宋体" w:cs="Times New Roman"/>
          <w:snapToGrid/>
          <w:color w:val="auto"/>
          <w:sz w:val="32"/>
          <w:highlight w:val="none"/>
          <w:lang w:val="en-US" w:eastAsia="zh-CN" w:bidi="ar-SA"/>
        </w:rPr>
        <w:t>8.3总量控制</w:t>
      </w:r>
      <w:bookmarkEnd w:id="1227"/>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中华人民共和国大气污染防治法》、《建设项目环境管理条例》、《国务院关于加强环境保护重点工作的意见》、《建设项目主要污染物排放总量指标审核及管理暂行办法》、《大气污染防治行动计划》、《水污染防治行动计划》等有关法律、法规和政策，项目需实施总量控制。</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综合考虑本项目的排污特点、所在区域环境质量现状以及当地环境管理部门的要求，本次评价确定实行总量考核和控制的因子为挥发性有机物（非甲烷总烃）。本项目产生的生产废水均不外排，生活污水拉运至其他单位进行处置，本次对废水污染因子不予以核算。</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表8.3-1大气污染物年排放量核算表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80"/>
        <w:gridCol w:w="3013"/>
        <w:gridCol w:w="33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序号</w:t>
            </w:r>
          </w:p>
        </w:tc>
        <w:tc>
          <w:tcPr>
            <w:tcW w:w="30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污染物</w:t>
            </w:r>
          </w:p>
        </w:tc>
        <w:tc>
          <w:tcPr>
            <w:tcW w:w="332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年排放量（t/a）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1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1</w:t>
            </w:r>
          </w:p>
        </w:tc>
        <w:tc>
          <w:tcPr>
            <w:tcW w:w="301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非甲烷总烃</w:t>
            </w:r>
          </w:p>
        </w:tc>
        <w:tc>
          <w:tcPr>
            <w:tcW w:w="3323"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cs="Times New Roman"/>
                <w:color w:val="auto"/>
                <w:sz w:val="21"/>
                <w:szCs w:val="21"/>
                <w:highlight w:val="none"/>
                <w:vertAlign w:val="baseline"/>
                <w:lang w:val="en-US" w:eastAsia="zh-CN"/>
              </w:rPr>
              <w:t>0.1222</w:t>
            </w:r>
          </w:p>
        </w:tc>
      </w:tr>
    </w:tbl>
    <w:p>
      <w:pPr>
        <w:pStyle w:val="3"/>
        <w:widowControl w:val="0"/>
        <w:kinsoku/>
        <w:autoSpaceDE/>
        <w:autoSpaceDN/>
        <w:adjustRightInd/>
        <w:snapToGrid/>
        <w:spacing w:before="120" w:after="120" w:line="360" w:lineRule="auto"/>
        <w:jc w:val="both"/>
        <w:textAlignment w:val="auto"/>
        <w:rPr>
          <w:rFonts w:hint="default" w:ascii="Times New Roman" w:hAnsi="Times New Roman" w:eastAsia="宋体" w:cs="Times New Roman"/>
          <w:snapToGrid/>
          <w:color w:val="auto"/>
          <w:sz w:val="32"/>
          <w:highlight w:val="none"/>
          <w:lang w:val="en-US" w:eastAsia="zh-CN" w:bidi="ar-SA"/>
        </w:rPr>
      </w:pPr>
      <w:bookmarkStart w:id="1228" w:name="_Toc25109"/>
      <w:r>
        <w:rPr>
          <w:rFonts w:hint="eastAsia" w:ascii="Times New Roman" w:hAnsi="Times New Roman" w:eastAsia="宋体" w:cs="Times New Roman"/>
          <w:snapToGrid/>
          <w:color w:val="auto"/>
          <w:sz w:val="32"/>
          <w:highlight w:val="none"/>
          <w:lang w:val="en-US" w:eastAsia="zh-CN" w:bidi="ar-SA"/>
        </w:rPr>
        <w:t>8.4建设项目环保“三同时”验收内容</w:t>
      </w:r>
      <w:bookmarkEnd w:id="1228"/>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本项目环境保护措施及验收清单见表8.</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4</w:t>
      </w: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-1</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br w:type="page"/>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center"/>
        <w:textAlignment w:val="baseline"/>
        <w:rPr>
          <w:rFonts w:hint="default"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表8.4-1“三同时”环境污染防治措施及环保验收一览表</w:t>
      </w:r>
    </w:p>
    <w:tbl>
      <w:tblPr>
        <w:tblStyle w:val="16"/>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57"/>
        <w:gridCol w:w="1079"/>
        <w:gridCol w:w="2524"/>
        <w:gridCol w:w="4967"/>
        <w:gridCol w:w="453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45" w:type="pct"/>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污染防治内容</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环保措施</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验收标准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施工期</w:t>
            </w:r>
          </w:p>
        </w:tc>
        <w:tc>
          <w:tcPr>
            <w:tcW w:w="38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废气</w:t>
            </w: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施工期扬尘</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洒水抑尘，设置围挡，遮盖苫布</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施工期场界扬尘浓度满足《大气污染物综合排放标准》（GB16297-1996）表2中无组织排放监控浓度限值要求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380"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废水</w:t>
            </w: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生活污水</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eastAsia="Arial" w:cs="Times New Roman"/>
                <w:snapToGrid w:val="0"/>
                <w:color w:val="auto"/>
                <w:kern w:val="0"/>
                <w:sz w:val="21"/>
                <w:szCs w:val="21"/>
                <w:highlight w:val="none"/>
                <w:vertAlign w:val="baseline"/>
                <w:lang w:val="en-US" w:eastAsia="zh-CN"/>
              </w:rPr>
              <w:t>3#服务站站址施工区域生活污水排入站内化粪池，施工结束后，可随站内运维人员生活污水一起拉运处置；管道施工区域</w:t>
            </w:r>
            <w:r>
              <w:rPr>
                <w:rFonts w:hint="eastAsia" w:ascii="Times New Roman" w:hAnsi="Times New Roman" w:eastAsia="Arial" w:cs="Times New Roman"/>
                <w:snapToGrid w:val="0"/>
                <w:color w:val="auto"/>
                <w:kern w:val="0"/>
                <w:sz w:val="21"/>
                <w:szCs w:val="21"/>
                <w:highlight w:val="none"/>
                <w:vertAlign w:val="baseline"/>
                <w:lang w:val="en-US" w:eastAsia="zh-CN"/>
              </w:rPr>
              <w:t>生活污水排入</w:t>
            </w:r>
            <w:r>
              <w:rPr>
                <w:rFonts w:hint="default" w:ascii="Times New Roman" w:hAnsi="Times New Roman" w:eastAsia="Arial" w:cs="Times New Roman"/>
                <w:snapToGrid w:val="0"/>
                <w:color w:val="auto"/>
                <w:kern w:val="0"/>
                <w:sz w:val="21"/>
                <w:szCs w:val="21"/>
                <w:highlight w:val="none"/>
                <w:vertAlign w:val="baseline"/>
                <w:lang w:val="en-US" w:eastAsia="zh-CN"/>
              </w:rPr>
              <w:t>租用民房防渗化粪池内，定期清掏</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eastAsia="Arial" w:cs="Times New Roman"/>
                <w:snapToGrid w:val="0"/>
                <w:color w:val="auto"/>
                <w:kern w:val="0"/>
                <w:sz w:val="21"/>
                <w:szCs w:val="21"/>
                <w:highlight w:val="none"/>
                <w:vertAlign w:val="baseline"/>
                <w:lang w:val="en-US" w:eastAsia="zh-CN"/>
              </w:rPr>
              <w:t>施工废水</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经站址内临时沉淀池沉淀后，用于施工洒水抑尘</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38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噪声</w:t>
            </w: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等效连续（A）声级</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选用低噪音设备，并采取减振降噪措施</w:t>
            </w:r>
            <w:r>
              <w:rPr>
                <w:rFonts w:hint="eastAsia" w:ascii="Times New Roman" w:hAnsi="Times New Roman" w:cs="Times New Roman"/>
                <w:color w:val="auto"/>
                <w:sz w:val="21"/>
                <w:szCs w:val="21"/>
                <w:highlight w:val="none"/>
                <w:vertAlign w:val="baseline"/>
                <w:lang w:val="en-US" w:eastAsia="zh-CN"/>
              </w:rPr>
              <w:t>，定期保养</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符合《建筑施工场界环境噪声排放标准》（GB12523-2011）要求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380"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固体废物</w:t>
            </w: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建筑垃圾</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分类进行回收利用。对于不能回收的建筑垃圾，如砂石、石块、碎砖瓦等，经集中收集后运送至大庆市红岗区建筑垃圾场</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清管废物</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集中收集后，随建筑垃圾一起拉运处置</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定向穿越泥浆</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eastAsia="Arial" w:cs="Times New Roman"/>
                <w:snapToGrid w:val="0"/>
                <w:color w:val="auto"/>
                <w:kern w:val="0"/>
                <w:sz w:val="21"/>
                <w:szCs w:val="21"/>
                <w:highlight w:val="none"/>
                <w:vertAlign w:val="baseline"/>
                <w:lang w:val="en-US" w:eastAsia="zh-CN"/>
              </w:rPr>
              <w:t>集中收集，由建设单位拉运至自然资源局指定地点处置</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生活垃圾</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由环卫部门清运至肇源县生活垃圾处理场处理</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运行期</w:t>
            </w:r>
          </w:p>
        </w:tc>
        <w:tc>
          <w:tcPr>
            <w:tcW w:w="380"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废气</w:t>
            </w:r>
          </w:p>
        </w:tc>
        <w:tc>
          <w:tcPr>
            <w:tcW w:w="891"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恶臭气体</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eastAsia="Arial" w:cs="Times New Roman"/>
                <w:snapToGrid w:val="0"/>
                <w:color w:val="auto"/>
                <w:kern w:val="0"/>
                <w:sz w:val="21"/>
                <w:szCs w:val="21"/>
                <w:highlight w:val="none"/>
                <w:vertAlign w:val="baseline"/>
                <w:lang w:val="en-US" w:eastAsia="zh-CN"/>
              </w:rPr>
              <w:t>密闭</w:t>
            </w:r>
            <w:r>
              <w:rPr>
                <w:rFonts w:hint="default" w:ascii="Times New Roman" w:hAnsi="Times New Roman" w:eastAsia="Arial" w:cs="Times New Roman"/>
                <w:snapToGrid w:val="0"/>
                <w:color w:val="auto"/>
                <w:kern w:val="0"/>
                <w:sz w:val="21"/>
                <w:szCs w:val="21"/>
                <w:highlight w:val="none"/>
                <w:vertAlign w:val="baseline"/>
                <w:lang w:val="en-US" w:eastAsia="zh-CN"/>
              </w:rPr>
              <w:t>负压收集，经离子除臭设施处理后，通过15m排气筒排放</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eastAsia="Arial" w:cs="Times New Roman"/>
                <w:snapToGrid w:val="0"/>
                <w:color w:val="auto"/>
                <w:kern w:val="0"/>
                <w:sz w:val="21"/>
                <w:szCs w:val="21"/>
                <w:highlight w:val="none"/>
                <w:vertAlign w:val="baseline"/>
                <w:lang w:val="en-US" w:eastAsia="zh-CN"/>
              </w:rPr>
              <w:t>《恶臭污染物排放标准》（GB14554-93）表2 15m排气筒排放量</w:t>
            </w:r>
            <w:r>
              <w:rPr>
                <w:rFonts w:hint="eastAsia" w:ascii="Times New Roman" w:hAnsi="Times New Roman" w:eastAsia="Arial" w:cs="Times New Roman"/>
                <w:snapToGrid w:val="0"/>
                <w:color w:val="auto"/>
                <w:kern w:val="0"/>
                <w:sz w:val="21"/>
                <w:szCs w:val="21"/>
                <w:highlight w:val="none"/>
                <w:vertAlign w:val="baseline"/>
                <w:lang w:val="en-US" w:eastAsia="zh-CN"/>
              </w:rPr>
              <w:t>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未经负压收集的气体无组织逸散</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《恶臭污染物排放标准》（GB14554-93）表1二级厂界限值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挥发性气体</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无组织逸散</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bidi="ar-SA"/>
              </w:rPr>
              <w:t>站址内</w:t>
            </w:r>
            <w:r>
              <w:rPr>
                <w:rFonts w:hint="eastAsia" w:ascii="Times New Roman" w:hAnsi="Times New Roman" w:eastAsia="宋体" w:cs="Times New Roman"/>
                <w:color w:val="auto"/>
                <w:kern w:val="2"/>
                <w:sz w:val="21"/>
                <w:szCs w:val="21"/>
                <w:highlight w:val="none"/>
                <w:vertAlign w:val="baseline"/>
                <w:lang w:val="en-US" w:eastAsia="zh-CN" w:bidi="ar-SA"/>
              </w:rPr>
              <w:t>非甲烷总烃满足</w:t>
            </w:r>
            <w:r>
              <w:rPr>
                <w:rFonts w:hint="eastAsia" w:ascii="Times New Roman" w:hAnsi="Times New Roman" w:cs="Times New Roman"/>
                <w:color w:val="auto"/>
                <w:sz w:val="21"/>
                <w:szCs w:val="21"/>
                <w:highlight w:val="none"/>
                <w:vertAlign w:val="baseline"/>
                <w:lang w:val="en-US" w:eastAsia="zh-CN"/>
              </w:rPr>
              <w:t>《挥发性有机物无组织排放控制标准》（GB37822-2019）附录A限值要求；厂界满足《大气污染物综合排放标准》（GB16297-1996）表2</w:t>
            </w:r>
            <w:r>
              <w:rPr>
                <w:rFonts w:hint="default" w:ascii="Times New Roman" w:hAnsi="Times New Roman" w:cs="Times New Roman"/>
                <w:color w:val="auto"/>
                <w:sz w:val="21"/>
                <w:szCs w:val="21"/>
                <w:highlight w:val="none"/>
                <w:vertAlign w:val="baseline"/>
                <w:lang w:val="en-US" w:eastAsia="zh-CN"/>
              </w:rPr>
              <w:t>无组织排放监控浓度限值要求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食堂油烟</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集气罩+油烟净化器+专用烟道高于屋顶排放</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《饮食业油烟排放标准》（GB18483-2001）小型规模食堂最高允许排放浓度和油烟净化设施最低去除效率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0"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废水</w:t>
            </w: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eastAsia="Arial" w:cs="Times New Roman"/>
                <w:snapToGrid w:val="0"/>
                <w:color w:val="auto"/>
                <w:kern w:val="0"/>
                <w:sz w:val="21"/>
                <w:szCs w:val="21"/>
                <w:highlight w:val="none"/>
                <w:vertAlign w:val="baseline"/>
                <w:lang w:val="en-US" w:eastAsia="zh-CN"/>
              </w:rPr>
              <w:t>生活污水</w:t>
            </w:r>
          </w:p>
        </w:tc>
        <w:tc>
          <w:tcPr>
            <w:tcW w:w="1753" w:type="pct"/>
            <w:tcBorders>
              <w:tl2br w:val="nil"/>
              <w:tr2bl w:val="nil"/>
            </w:tcBorders>
            <w:vAlign w:val="center"/>
          </w:tcPr>
          <w:p>
            <w:pPr>
              <w:pageBreakBefore w:val="0"/>
              <w:widowControl/>
              <w:bidi w:val="0"/>
              <w:spacing w:line="360" w:lineRule="auto"/>
              <w:ind w:firstLine="0" w:firstLineChars="0"/>
              <w:jc w:val="both"/>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eastAsia="宋体" w:cs="Times New Roman"/>
                <w:caps w:val="0"/>
                <w:smallCaps w:val="0"/>
                <w:color w:val="auto"/>
                <w:spacing w:val="0"/>
                <w:w w:val="100"/>
                <w:sz w:val="21"/>
                <w:szCs w:val="21"/>
                <w:highlight w:val="none"/>
                <w:lang w:val="en-US" w:eastAsia="zh-CN"/>
              </w:rPr>
              <w:t>排入化粪池内，定期清掏，拉运至新站镇生活污水处理厂处理</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Arial" w:cs="Times New Roman"/>
                <w:snapToGrid w:val="0"/>
                <w:color w:val="auto"/>
                <w:kern w:val="0"/>
                <w:sz w:val="21"/>
                <w:szCs w:val="21"/>
                <w:highlight w:val="none"/>
                <w:vertAlign w:val="baseline"/>
                <w:lang w:val="en-US" w:eastAsia="zh-CN" w:bidi="ar-SA"/>
              </w:rPr>
            </w:pPr>
            <w:r>
              <w:rPr>
                <w:rFonts w:hint="default" w:ascii="Times New Roman" w:hAnsi="Times New Roman" w:eastAsia="Arial" w:cs="Times New Roman"/>
                <w:snapToGrid w:val="0"/>
                <w:color w:val="auto"/>
                <w:kern w:val="0"/>
                <w:sz w:val="21"/>
                <w:szCs w:val="21"/>
                <w:highlight w:val="none"/>
                <w:vertAlign w:val="baseline"/>
                <w:lang w:val="en-US" w:eastAsia="zh-CN"/>
              </w:rPr>
              <w:t>《污水综合排放标准》（GB8978-1996）表4中三级标准要求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初期雨水</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eastAsia="宋体" w:cs="Times New Roman"/>
                <w:caps w:val="0"/>
                <w:smallCaps w:val="0"/>
                <w:color w:val="auto"/>
                <w:spacing w:val="0"/>
                <w:w w:val="100"/>
                <w:sz w:val="21"/>
                <w:szCs w:val="21"/>
                <w:highlight w:val="none"/>
                <w:lang w:val="en-US" w:eastAsia="zh-CN"/>
              </w:rPr>
              <w:t>暂存在初期雨水收集池内，再进入站内废水处理系统，经处理达标后，回用于页岩油试验区压裂复配</w:t>
            </w:r>
          </w:p>
        </w:tc>
        <w:tc>
          <w:tcPr>
            <w:tcW w:w="1601"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aps w:val="0"/>
                <w:smallCaps w:val="0"/>
                <w:color w:val="auto"/>
                <w:spacing w:val="0"/>
                <w:w w:val="100"/>
                <w:sz w:val="21"/>
                <w:szCs w:val="21"/>
                <w:highlight w:val="none"/>
                <w:lang w:val="en-US" w:eastAsia="zh-CN"/>
              </w:rPr>
              <w:t>《大庆油田地面工程建设设计规定》（Q/SYDQ0639-2015）“含油量≤20mg/L、悬浮固体含量≤20mg/L”</w:t>
            </w:r>
          </w:p>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宋体" w:cs="Times New Roman"/>
                <w:caps w:val="0"/>
                <w:smallCaps w:val="0"/>
                <w:snapToGrid/>
                <w:color w:val="auto"/>
                <w:spacing w:val="0"/>
                <w:w w:val="100"/>
                <w:kern w:val="0"/>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aps w:val="0"/>
                <w:smallCaps w:val="0"/>
                <w:color w:val="auto"/>
                <w:spacing w:val="0"/>
                <w:w w:val="100"/>
                <w:sz w:val="21"/>
                <w:szCs w:val="21"/>
                <w:highlight w:val="none"/>
                <w:lang w:val="en-US" w:eastAsia="zh-CN"/>
              </w:rPr>
              <w:t>污泥</w:t>
            </w:r>
            <w:r>
              <w:rPr>
                <w:rFonts w:hint="eastAsia" w:ascii="Times New Roman" w:hAnsi="Times New Roman" w:eastAsia="宋体" w:cs="Times New Roman"/>
                <w:caps w:val="0"/>
                <w:smallCaps w:val="0"/>
                <w:color w:val="auto"/>
                <w:spacing w:val="0"/>
                <w:w w:val="100"/>
                <w:sz w:val="21"/>
                <w:szCs w:val="21"/>
                <w:highlight w:val="none"/>
                <w:lang w:val="en-US" w:eastAsia="zh-CN"/>
              </w:rPr>
              <w:t>离心浓缩废水</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eastAsia="宋体" w:cs="Times New Roman"/>
                <w:caps w:val="0"/>
                <w:smallCaps w:val="0"/>
                <w:color w:val="auto"/>
                <w:spacing w:val="0"/>
                <w:w w:val="100"/>
                <w:sz w:val="21"/>
                <w:szCs w:val="21"/>
                <w:highlight w:val="none"/>
                <w:lang w:val="en-US" w:eastAsia="zh-CN"/>
              </w:rPr>
              <w:t>进入站内废水处理系统，经处理达标后，回用于页岩油试验区压裂复配</w:t>
            </w:r>
          </w:p>
        </w:tc>
        <w:tc>
          <w:tcPr>
            <w:tcW w:w="1601"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处理达标的水</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aps w:val="0"/>
                <w:smallCaps w:val="0"/>
                <w:color w:val="auto"/>
                <w:spacing w:val="0"/>
                <w:w w:val="100"/>
                <w:kern w:val="2"/>
                <w:sz w:val="21"/>
                <w:szCs w:val="21"/>
                <w:highlight w:val="none"/>
                <w:lang w:val="en-US" w:eastAsia="zh-CN" w:bidi="ar-SA"/>
              </w:rPr>
            </w:pPr>
            <w:r>
              <w:rPr>
                <w:rFonts w:hint="default" w:ascii="Times New Roman" w:hAnsi="Times New Roman" w:eastAsia="宋体" w:cs="Times New Roman"/>
                <w:caps w:val="0"/>
                <w:smallCaps w:val="0"/>
                <w:color w:val="auto"/>
                <w:spacing w:val="0"/>
                <w:w w:val="100"/>
                <w:sz w:val="21"/>
                <w:szCs w:val="21"/>
                <w:highlight w:val="none"/>
                <w:lang w:val="en-US" w:eastAsia="zh-CN"/>
              </w:rPr>
              <w:t>回用于页岩油试验区压裂复配</w:t>
            </w:r>
          </w:p>
        </w:tc>
        <w:tc>
          <w:tcPr>
            <w:tcW w:w="1601"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消防废水</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aps w:val="0"/>
                <w:smallCaps w:val="0"/>
                <w:color w:val="auto"/>
                <w:spacing w:val="0"/>
                <w:w w:val="100"/>
                <w:sz w:val="21"/>
                <w:szCs w:val="21"/>
                <w:highlight w:val="none"/>
                <w:lang w:val="en-US" w:eastAsia="zh-CN"/>
              </w:rPr>
            </w:pPr>
            <w:r>
              <w:rPr>
                <w:rFonts w:hint="default" w:ascii="Times New Roman" w:hAnsi="Times New Roman" w:eastAsia="宋体" w:cs="Times New Roman"/>
                <w:caps w:val="0"/>
                <w:smallCaps w:val="0"/>
                <w:color w:val="auto"/>
                <w:spacing w:val="0"/>
                <w:w w:val="100"/>
                <w:sz w:val="21"/>
                <w:szCs w:val="21"/>
                <w:highlight w:val="none"/>
                <w:lang w:val="en-US" w:eastAsia="zh-CN"/>
              </w:rPr>
              <w:t>交由有资质单位处置</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0"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噪声</w:t>
            </w: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等效连续（A）声级</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安装减振垫，对设备进行维护和保养，墙体隔声</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aps w:val="0"/>
                <w:smallCaps w:val="0"/>
                <w:snapToGrid/>
                <w:color w:val="auto"/>
                <w:spacing w:val="0"/>
                <w:w w:val="100"/>
                <w:kern w:val="0"/>
                <w:sz w:val="21"/>
                <w:szCs w:val="21"/>
                <w:highlight w:val="none"/>
                <w:lang w:val="en-US" w:eastAsia="zh-CN" w:bidi="ar-SA"/>
              </w:rPr>
              <w:t>厂界噪声满足</w:t>
            </w:r>
            <w:r>
              <w:rPr>
                <w:rFonts w:hint="default" w:ascii="Times New Roman" w:hAnsi="Times New Roman" w:eastAsia="宋体" w:cs="Times New Roman"/>
                <w:caps w:val="0"/>
                <w:smallCaps w:val="0"/>
                <w:snapToGrid/>
                <w:color w:val="auto"/>
                <w:spacing w:val="0"/>
                <w:w w:val="100"/>
                <w:kern w:val="0"/>
                <w:sz w:val="21"/>
                <w:szCs w:val="21"/>
                <w:highlight w:val="none"/>
                <w:lang w:val="en-US" w:eastAsia="zh-CN" w:bidi="ar-SA"/>
              </w:rPr>
              <w:t>《工业企业厂界环境噪声排放标准》（GB12348-2008）2类</w:t>
            </w:r>
            <w:r>
              <w:rPr>
                <w:rFonts w:hint="eastAsia" w:ascii="Times New Roman" w:hAnsi="Times New Roman" w:eastAsia="宋体" w:cs="Times New Roman"/>
                <w:caps w:val="0"/>
                <w:smallCaps w:val="0"/>
                <w:snapToGrid/>
                <w:color w:val="auto"/>
                <w:spacing w:val="0"/>
                <w:w w:val="100"/>
                <w:kern w:val="0"/>
                <w:sz w:val="21"/>
                <w:szCs w:val="21"/>
                <w:highlight w:val="none"/>
                <w:lang w:val="en-US" w:eastAsia="zh-CN" w:bidi="ar-SA"/>
              </w:rPr>
              <w:t>和4类</w:t>
            </w:r>
            <w:r>
              <w:rPr>
                <w:rFonts w:hint="default" w:ascii="Times New Roman" w:hAnsi="Times New Roman" w:eastAsia="宋体" w:cs="Times New Roman"/>
                <w:caps w:val="0"/>
                <w:smallCaps w:val="0"/>
                <w:snapToGrid/>
                <w:color w:val="auto"/>
                <w:spacing w:val="0"/>
                <w:w w:val="100"/>
                <w:kern w:val="0"/>
                <w:sz w:val="21"/>
                <w:szCs w:val="21"/>
                <w:highlight w:val="none"/>
                <w:lang w:val="en-US" w:eastAsia="zh-CN" w:bidi="ar-SA"/>
              </w:rPr>
              <w:t>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0"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固体废物</w:t>
            </w: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生活垃圾</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统一收集后，由环卫部门清运至肇源县生活垃圾处理场处理</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废弃的含油抹布和劳保用品</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豁免管理，随生活垃圾一起拉运处置</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胶状物质</w:t>
            </w:r>
          </w:p>
        </w:tc>
        <w:tc>
          <w:tcPr>
            <w:tcW w:w="1753" w:type="pct"/>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交由有资质单位处置</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aps w:val="0"/>
                <w:smallCaps w:val="0"/>
                <w:color w:val="auto"/>
                <w:spacing w:val="0"/>
                <w:w w:val="100"/>
                <w:sz w:val="21"/>
                <w:szCs w:val="21"/>
                <w:highlight w:val="none"/>
                <w:lang w:val="en-US" w:eastAsia="zh-CN"/>
              </w:rPr>
              <w:t>污泥</w:t>
            </w:r>
          </w:p>
        </w:tc>
        <w:tc>
          <w:tcPr>
            <w:tcW w:w="175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罐底油泥</w:t>
            </w:r>
          </w:p>
        </w:tc>
        <w:tc>
          <w:tcPr>
            <w:tcW w:w="175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污油</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定期由油田单位拉运回收利用</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73"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80" w:type="pct"/>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药剂废弃包装袋</w:t>
            </w:r>
          </w:p>
        </w:tc>
        <w:tc>
          <w:tcPr>
            <w:tcW w:w="1753"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集中收集，定期外售</w:t>
            </w:r>
          </w:p>
        </w:tc>
        <w:tc>
          <w:tcPr>
            <w:tcW w:w="160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54" w:type="pct"/>
            <w:gridSpan w:val="2"/>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生态保护</w:t>
            </w: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永久基本农田</w:t>
            </w:r>
          </w:p>
        </w:tc>
        <w:tc>
          <w:tcPr>
            <w:tcW w:w="3354" w:type="pct"/>
            <w:gridSpan w:val="2"/>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详见“6.6生态保护对策措施”章节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54" w:type="pct"/>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黑土地</w:t>
            </w:r>
          </w:p>
        </w:tc>
        <w:tc>
          <w:tcPr>
            <w:tcW w:w="3354" w:type="pct"/>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54" w:type="pct"/>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植物保护</w:t>
            </w:r>
          </w:p>
        </w:tc>
        <w:tc>
          <w:tcPr>
            <w:tcW w:w="3354" w:type="pct"/>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54" w:type="pct"/>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野生动物保护</w:t>
            </w:r>
          </w:p>
        </w:tc>
        <w:tc>
          <w:tcPr>
            <w:tcW w:w="3354" w:type="pct"/>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54" w:type="pct"/>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水生</w:t>
            </w:r>
            <w:r>
              <w:rPr>
                <w:rFonts w:hint="default" w:ascii="Times New Roman" w:hAnsi="Times New Roman" w:cs="Times New Roman"/>
                <w:color w:val="auto"/>
                <w:sz w:val="21"/>
                <w:szCs w:val="21"/>
                <w:highlight w:val="none"/>
                <w:vertAlign w:val="baseline"/>
                <w:lang w:val="en-US" w:eastAsia="zh-CN"/>
              </w:rPr>
              <w:t>动物保护措施</w:t>
            </w:r>
          </w:p>
        </w:tc>
        <w:tc>
          <w:tcPr>
            <w:tcW w:w="3354" w:type="pct"/>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54" w:type="pct"/>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林地保护措施</w:t>
            </w:r>
          </w:p>
        </w:tc>
        <w:tc>
          <w:tcPr>
            <w:tcW w:w="3354" w:type="pct"/>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54" w:type="pct"/>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水土保持措施</w:t>
            </w:r>
          </w:p>
        </w:tc>
        <w:tc>
          <w:tcPr>
            <w:tcW w:w="3354" w:type="pct"/>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54" w:type="pct"/>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防沙治沙措施</w:t>
            </w:r>
          </w:p>
        </w:tc>
        <w:tc>
          <w:tcPr>
            <w:tcW w:w="3354" w:type="pct"/>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54" w:type="pct"/>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891"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定向穿越施工生态穿越修复措施</w:t>
            </w:r>
          </w:p>
        </w:tc>
        <w:tc>
          <w:tcPr>
            <w:tcW w:w="3354" w:type="pct"/>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645" w:type="pct"/>
            <w:gridSpan w:val="3"/>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生态补偿</w:t>
            </w:r>
          </w:p>
        </w:tc>
        <w:tc>
          <w:tcPr>
            <w:tcW w:w="3354" w:type="pct"/>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对永久占用的其他草地，按照土地管理法给与补偿。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45" w:type="pct"/>
            <w:gridSpan w:val="3"/>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3354" w:type="pct"/>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施工期间，若造成乔木死亡，按照《中华人民共和国森林法》及《国家林业和草原局关于制定恢复植被和林业生产条件、树木补种标准的指导意见》及《关于对我省征收、占用和临时使用林地补偿费等标准的批复》（黑价联字[2011]27号）等进行赔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45" w:type="pct"/>
            <w:gridSpan w:val="3"/>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地下水保护</w:t>
            </w:r>
          </w:p>
        </w:tc>
        <w:tc>
          <w:tcPr>
            <w:tcW w:w="3354" w:type="pct"/>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卸车平台、危废暂存间、预处理车间、污油储罐区、储液池区、事故池、初期雨水收集池，采取重点防渗措施，危废暂存间防渗性能满足《危险废物贮存污染控制标准》（GB18597-2023）防渗要求；其余区域满足《环境影响评价技术导则 地下水环境》（HJ610-2018）重点防渗性能要求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45" w:type="pct"/>
            <w:gridSpan w:val="3"/>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p>
        </w:tc>
        <w:tc>
          <w:tcPr>
            <w:tcW w:w="3354" w:type="pct"/>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库</w:t>
            </w:r>
            <w:r>
              <w:rPr>
                <w:rFonts w:hint="eastAsia" w:ascii="Times New Roman" w:hAnsi="Times New Roman" w:cs="Times New Roman"/>
                <w:color w:val="auto"/>
                <w:sz w:val="21"/>
                <w:szCs w:val="21"/>
                <w:highlight w:val="none"/>
                <w:vertAlign w:val="baseline"/>
                <w:lang w:val="en-US" w:eastAsia="zh-CN"/>
              </w:rPr>
              <w:t>房、配电间、值班室、消防水罐区、办公用房采取一般防渗措施，满足《环境影响评价技术导则 地下水环境》（HJ610-2018）一般防渗性能要求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45" w:type="pct"/>
            <w:gridSpan w:val="3"/>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p>
        </w:tc>
        <w:tc>
          <w:tcPr>
            <w:tcW w:w="3354" w:type="pct"/>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站址其他区域进行简单防渗，进行地面简单硬化，满足《环境影响评价技术导则 地下水环境》（HJ610-2018）简单防渗性能要求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45" w:type="pct"/>
            <w:gridSpan w:val="3"/>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p>
        </w:tc>
        <w:tc>
          <w:tcPr>
            <w:tcW w:w="3354" w:type="pct"/>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输液管道采用钢丝网骨架塑料（聚乙烯）复合管，耐磨耐腐蚀，无需进行额外防渗处置，管道铺设区域防渗性能满足《环境影响评价技术导则 地下水环境》（HJ610-2018）重点防渗性能要求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45" w:type="pct"/>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Arial" w:cs="Times New Roman"/>
                <w:snapToGrid w:val="0"/>
                <w:color w:val="auto"/>
                <w:kern w:val="0"/>
                <w:sz w:val="21"/>
                <w:szCs w:val="21"/>
                <w:highlight w:val="none"/>
                <w:vertAlign w:val="baseline"/>
                <w:lang w:val="en-US" w:eastAsia="zh-CN"/>
              </w:rPr>
            </w:pPr>
            <w:r>
              <w:rPr>
                <w:rFonts w:hint="default" w:ascii="Times New Roman" w:hAnsi="Times New Roman" w:eastAsia="Arial" w:cs="Times New Roman"/>
                <w:snapToGrid w:val="0"/>
                <w:color w:val="auto"/>
                <w:kern w:val="0"/>
                <w:sz w:val="21"/>
                <w:szCs w:val="21"/>
                <w:highlight w:val="none"/>
                <w:vertAlign w:val="baseline"/>
                <w:lang w:val="en-US" w:eastAsia="zh-CN"/>
              </w:rPr>
              <w:t>风险防范</w:t>
            </w:r>
          </w:p>
        </w:tc>
        <w:tc>
          <w:tcPr>
            <w:tcW w:w="3354" w:type="pct"/>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站内事故池建设；应急预案编制</w:t>
            </w:r>
          </w:p>
        </w:tc>
      </w:tr>
    </w:tbl>
    <w:p>
      <w:pP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br w:type="page"/>
      </w:r>
    </w:p>
    <w:p>
      <w:pPr>
        <w:rPr>
          <w:rFonts w:hint="eastAsia"/>
          <w:color w:val="auto"/>
          <w:highlight w:val="none"/>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29" w:name="_Toc32416"/>
      <w:r>
        <w:rPr>
          <w:rFonts w:hint="eastAsia" w:ascii="Times New Roman" w:hAnsi="Times New Roman" w:eastAsia="宋体" w:cs="Times New Roman"/>
          <w:snapToGrid/>
          <w:color w:val="auto"/>
          <w:sz w:val="32"/>
          <w:highlight w:val="none"/>
          <w:lang w:val="en-US" w:eastAsia="zh-CN" w:bidi="ar-SA"/>
        </w:rPr>
        <w:t>8.5环境监测</w:t>
      </w:r>
      <w:bookmarkEnd w:id="1229"/>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8.5.1监测机构</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项目建成后，配备专职的环保工作人员，可自行设置或委托有环境监测资质的监测机构负责定期进行本站址的污染源及环境质量监测。要求监测人员应具备一定的环境监测基础知识，具有较强的仪器操作能力。监测人员还应经常参加培训学习，了解最新的环保科技动态，学习掌握的监测方法，并了解国家和地方环保部门的有关环保法规、政策、标准等，使环境监测工作规范化、标准化。</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建设项目排放的各类污染物、环境噪声的测试方法；样品的采集、保存、处理的技术规范；监测数据的处理，监测结果的表示及监测仪器仪表的精度要求等，均执行国家标准、部颁标准和有关规定。</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环境监测机构主要负责对污染源、厂界及周边环境质量进行监测，同时应具备对突发的环境污染事故进行环境应急监测的能力。</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8.5.2监测计划</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center"/>
        <w:textAlignment w:val="baseline"/>
        <w:rPr>
          <w:rFonts w:hint="eastAsia" w:ascii="Times New Roman" w:hAnsi="Times New Roman" w:eastAsia="宋体" w:cs="Times New Roman"/>
          <w:b/>
          <w:bCs/>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t>表8.5-1运行期污染源监测计划表</w:t>
      </w:r>
    </w:p>
    <w:tbl>
      <w:tblPr>
        <w:tblStyle w:val="1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55"/>
        <w:gridCol w:w="470"/>
        <w:gridCol w:w="471"/>
        <w:gridCol w:w="1375"/>
        <w:gridCol w:w="1266"/>
        <w:gridCol w:w="1943"/>
        <w:gridCol w:w="1430"/>
        <w:gridCol w:w="70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监测内容</w:t>
            </w:r>
          </w:p>
        </w:tc>
        <w:tc>
          <w:tcPr>
            <w:tcW w:w="941"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监测项目</w:t>
            </w:r>
          </w:p>
        </w:tc>
        <w:tc>
          <w:tcPr>
            <w:tcW w:w="13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监测点位</w:t>
            </w:r>
          </w:p>
        </w:tc>
        <w:tc>
          <w:tcPr>
            <w:tcW w:w="12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监测频次</w:t>
            </w:r>
          </w:p>
        </w:tc>
        <w:tc>
          <w:tcPr>
            <w:tcW w:w="4079"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执行标准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废气</w:t>
            </w:r>
          </w:p>
        </w:tc>
        <w:tc>
          <w:tcPr>
            <w:tcW w:w="941"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NH</w:t>
            </w:r>
            <w:r>
              <w:rPr>
                <w:rFonts w:hint="eastAsia" w:ascii="Times New Roman" w:hAnsi="Times New Roman" w:eastAsia="宋体" w:cs="Times New Roman"/>
                <w:color w:val="auto"/>
                <w:sz w:val="21"/>
                <w:szCs w:val="21"/>
                <w:highlight w:val="none"/>
                <w:vertAlign w:val="subscript"/>
                <w:lang w:val="en-US" w:eastAsia="zh-CN"/>
              </w:rPr>
              <w:t>3</w:t>
            </w:r>
          </w:p>
        </w:tc>
        <w:tc>
          <w:tcPr>
            <w:tcW w:w="137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恶臭气体15m排气筒</w:t>
            </w:r>
          </w:p>
        </w:tc>
        <w:tc>
          <w:tcPr>
            <w:tcW w:w="126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1次/半年</w:t>
            </w:r>
          </w:p>
        </w:tc>
        <w:tc>
          <w:tcPr>
            <w:tcW w:w="4079" w:type="dxa"/>
            <w:gridSpan w:val="3"/>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《恶臭污染物排放标准》（GB14554-93）表2 15m排气筒排放量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941"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H</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vertAlign w:val="baseline"/>
                <w:lang w:val="en-US" w:eastAsia="zh-CN"/>
              </w:rPr>
              <w:t>S</w:t>
            </w:r>
          </w:p>
        </w:tc>
        <w:tc>
          <w:tcPr>
            <w:tcW w:w="137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26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4079" w:type="dxa"/>
            <w:gridSpan w:val="3"/>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941"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NH</w:t>
            </w:r>
            <w:r>
              <w:rPr>
                <w:rFonts w:hint="eastAsia" w:ascii="Times New Roman" w:hAnsi="Times New Roman" w:eastAsia="宋体" w:cs="Times New Roman"/>
                <w:color w:val="auto"/>
                <w:sz w:val="21"/>
                <w:szCs w:val="21"/>
                <w:highlight w:val="none"/>
                <w:vertAlign w:val="subscript"/>
                <w:lang w:val="en-US" w:eastAsia="zh-CN"/>
              </w:rPr>
              <w:t>3</w:t>
            </w:r>
          </w:p>
        </w:tc>
        <w:tc>
          <w:tcPr>
            <w:tcW w:w="137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站址厂界</w:t>
            </w:r>
          </w:p>
        </w:tc>
        <w:tc>
          <w:tcPr>
            <w:tcW w:w="126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color w:val="auto"/>
                <w:highlight w:val="none"/>
                <w:lang w:val="en-US" w:eastAsia="zh-CN"/>
              </w:rPr>
            </w:pPr>
            <w:r>
              <w:rPr>
                <w:rFonts w:hint="eastAsia" w:ascii="Times New Roman" w:hAnsi="Times New Roman" w:cs="Times New Roman"/>
                <w:color w:val="auto"/>
                <w:sz w:val="21"/>
                <w:szCs w:val="21"/>
                <w:highlight w:val="none"/>
                <w:vertAlign w:val="baseline"/>
                <w:lang w:val="en-US" w:eastAsia="zh-CN"/>
              </w:rPr>
              <w:t>1次/半年</w:t>
            </w:r>
          </w:p>
        </w:tc>
        <w:tc>
          <w:tcPr>
            <w:tcW w:w="4079" w:type="dxa"/>
            <w:gridSpan w:val="3"/>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《恶臭污染物排放标准》（GB14554-93）表1二级厂界限值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941"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H</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vertAlign w:val="baseline"/>
                <w:lang w:val="en-US" w:eastAsia="zh-CN"/>
              </w:rPr>
              <w:t>S</w:t>
            </w:r>
          </w:p>
        </w:tc>
        <w:tc>
          <w:tcPr>
            <w:tcW w:w="137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126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4079" w:type="dxa"/>
            <w:gridSpan w:val="3"/>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2" w:hRule="atLeast"/>
        </w:trPr>
        <w:tc>
          <w:tcPr>
            <w:tcW w:w="85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941" w:type="dxa"/>
            <w:gridSpan w:val="2"/>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非甲烷总烃</w:t>
            </w:r>
          </w:p>
        </w:tc>
        <w:tc>
          <w:tcPr>
            <w:tcW w:w="137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站址内</w:t>
            </w:r>
          </w:p>
        </w:tc>
        <w:tc>
          <w:tcPr>
            <w:tcW w:w="126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1次/半年</w:t>
            </w:r>
          </w:p>
        </w:tc>
        <w:tc>
          <w:tcPr>
            <w:tcW w:w="1943"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《挥发性有机物无组织排放控制标准》（GB37822-2019）附录A</w:t>
            </w:r>
          </w:p>
        </w:tc>
        <w:tc>
          <w:tcPr>
            <w:tcW w:w="14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站</w:t>
            </w:r>
            <w:r>
              <w:rPr>
                <w:rFonts w:hint="eastAsia" w:ascii="Times New Roman" w:hAnsi="Times New Roman" w:cs="Times New Roman"/>
                <w:color w:val="auto"/>
                <w:sz w:val="21"/>
                <w:szCs w:val="21"/>
                <w:highlight w:val="none"/>
                <w:vertAlign w:val="baseline"/>
                <w:lang w:val="en-US" w:eastAsia="zh-CN"/>
              </w:rPr>
              <w:t>内1h平均浓度值</w:t>
            </w:r>
          </w:p>
        </w:tc>
        <w:tc>
          <w:tcPr>
            <w:tcW w:w="70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2" w:hRule="atLeast"/>
        </w:trPr>
        <w:tc>
          <w:tcPr>
            <w:tcW w:w="85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941"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137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126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1943"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143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color w:val="auto"/>
                <w:highlight w:val="none"/>
              </w:rPr>
            </w:pPr>
            <w:r>
              <w:rPr>
                <w:rFonts w:hint="eastAsia" w:cs="Times New Roman"/>
                <w:color w:val="auto"/>
                <w:sz w:val="21"/>
                <w:szCs w:val="21"/>
                <w:highlight w:val="none"/>
                <w:vertAlign w:val="baseline"/>
                <w:lang w:val="en-US" w:eastAsia="zh-CN"/>
              </w:rPr>
              <w:t>站</w:t>
            </w:r>
            <w:r>
              <w:rPr>
                <w:rFonts w:hint="eastAsia" w:ascii="Times New Roman" w:hAnsi="Times New Roman" w:cs="Times New Roman"/>
                <w:color w:val="auto"/>
                <w:sz w:val="21"/>
                <w:szCs w:val="21"/>
                <w:highlight w:val="none"/>
                <w:vertAlign w:val="baseline"/>
                <w:lang w:val="en-US" w:eastAsia="zh-CN"/>
              </w:rPr>
              <w:t>内任意一次浓度值</w:t>
            </w:r>
          </w:p>
        </w:tc>
        <w:tc>
          <w:tcPr>
            <w:tcW w:w="70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r>
              <w:rPr>
                <w:rFonts w:hint="eastAsia" w:ascii="Times New Roman" w:hAnsi="Times New Roman" w:cs="Times New Roman"/>
                <w:color w:val="auto"/>
                <w:sz w:val="21"/>
                <w:szCs w:val="21"/>
                <w:highlight w:val="none"/>
                <w:vertAlign w:val="baseli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2" w:hRule="atLeast"/>
        </w:trPr>
        <w:tc>
          <w:tcPr>
            <w:tcW w:w="85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941" w:type="dxa"/>
            <w:gridSpan w:val="2"/>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13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站址厂界</w:t>
            </w:r>
          </w:p>
        </w:tc>
        <w:tc>
          <w:tcPr>
            <w:tcW w:w="12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cs="Times New Roman"/>
                <w:color w:val="auto"/>
                <w:sz w:val="21"/>
                <w:szCs w:val="21"/>
                <w:highlight w:val="none"/>
                <w:vertAlign w:val="baseline"/>
                <w:lang w:val="en-US" w:eastAsia="zh-CN"/>
              </w:rPr>
              <w:t>1次/半年</w:t>
            </w:r>
          </w:p>
        </w:tc>
        <w:tc>
          <w:tcPr>
            <w:tcW w:w="4079"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《大气污染物综合排放标准》（GB16297-1996）表2</w:t>
            </w:r>
            <w:r>
              <w:rPr>
                <w:rFonts w:hint="default" w:ascii="Times New Roman" w:hAnsi="Times New Roman" w:cs="Times New Roman"/>
                <w:color w:val="auto"/>
                <w:sz w:val="21"/>
                <w:szCs w:val="21"/>
                <w:highlight w:val="none"/>
                <w:vertAlign w:val="baseline"/>
                <w:lang w:val="en-US" w:eastAsia="zh-CN"/>
              </w:rPr>
              <w:t>无组织排放监控浓度限值要求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2" w:hRule="atLeast"/>
        </w:trPr>
        <w:tc>
          <w:tcPr>
            <w:tcW w:w="85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color w:val="auto"/>
                <w:highlight w:val="none"/>
              </w:rPr>
            </w:pPr>
          </w:p>
        </w:tc>
        <w:tc>
          <w:tcPr>
            <w:tcW w:w="941" w:type="dxa"/>
            <w:gridSpan w:val="2"/>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eastAsia="宋体"/>
                <w:color w:val="auto"/>
                <w:highlight w:val="none"/>
                <w:lang w:val="en-US" w:eastAsia="zh-CN"/>
              </w:rPr>
            </w:pPr>
            <w:r>
              <w:rPr>
                <w:rFonts w:hint="eastAsia"/>
                <w:color w:val="auto"/>
                <w:highlight w:val="none"/>
                <w:lang w:val="en-US" w:eastAsia="zh-CN"/>
              </w:rPr>
              <w:t>食堂油烟</w:t>
            </w:r>
          </w:p>
        </w:tc>
        <w:tc>
          <w:tcPr>
            <w:tcW w:w="13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lang w:val="en-US" w:eastAsia="zh-CN"/>
              </w:rPr>
              <w:t>油烟净化器处理前、食堂油烟排放专用烟道</w:t>
            </w:r>
          </w:p>
        </w:tc>
        <w:tc>
          <w:tcPr>
            <w:tcW w:w="12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1次/年</w:t>
            </w:r>
          </w:p>
        </w:tc>
        <w:tc>
          <w:tcPr>
            <w:tcW w:w="4079"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color w:val="auto"/>
                <w:highlight w:val="none"/>
                <w:lang w:val="en-US" w:eastAsia="zh-CN"/>
              </w:rPr>
              <w:t>执行《饮食业油烟排放标准》（GB18483-2001）小型规模食堂最高允许排放浓度和油烟净化设施最低去除效率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废水</w:t>
            </w:r>
          </w:p>
        </w:tc>
        <w:tc>
          <w:tcPr>
            <w:tcW w:w="470" w:type="dxa"/>
            <w:vMerge w:val="restart"/>
            <w:tcBorders>
              <w:tl2br w:val="nil"/>
              <w:tr2bl w:val="nil"/>
            </w:tcBorders>
            <w:vAlign w:val="center"/>
          </w:tcPr>
          <w:p>
            <w:pPr>
              <w:keepNext w:val="0"/>
              <w:keepLines w:val="0"/>
              <w:widowControl/>
              <w:suppressLineNumbers w:val="0"/>
              <w:jc w:val="center"/>
              <w:textAlignment w:val="center"/>
              <w:rPr>
                <w:rFonts w:hint="default" w:ascii="宋体" w:hAnsi="宋体" w:eastAsia="宋体" w:cs="宋体"/>
                <w:i w:val="0"/>
                <w:iCs w:val="0"/>
                <w:snapToGrid w:val="0"/>
                <w:color w:val="auto"/>
                <w:kern w:val="0"/>
                <w:sz w:val="21"/>
                <w:szCs w:val="21"/>
                <w:highlight w:val="none"/>
                <w:u w:val="none"/>
                <w:lang w:val="en-US" w:eastAsia="zh-CN" w:bidi="ar"/>
              </w:rPr>
            </w:pPr>
            <w:r>
              <w:rPr>
                <w:rFonts w:hint="eastAsia" w:ascii="宋体" w:hAnsi="宋体" w:eastAsia="宋体" w:cs="宋体"/>
                <w:i w:val="0"/>
                <w:iCs w:val="0"/>
                <w:snapToGrid w:val="0"/>
                <w:color w:val="auto"/>
                <w:kern w:val="0"/>
                <w:sz w:val="21"/>
                <w:szCs w:val="21"/>
                <w:highlight w:val="none"/>
                <w:u w:val="none"/>
                <w:lang w:val="en-US" w:eastAsia="zh-CN" w:bidi="ar"/>
              </w:rPr>
              <w:t>处理达标水质</w:t>
            </w:r>
          </w:p>
        </w:tc>
        <w:tc>
          <w:tcPr>
            <w:tcW w:w="471" w:type="dxa"/>
            <w:tcBorders>
              <w:tl2br w:val="nil"/>
              <w:tr2bl w:val="nil"/>
            </w:tcBorders>
            <w:vAlign w:val="center"/>
          </w:tcPr>
          <w:p>
            <w:pPr>
              <w:keepNext w:val="0"/>
              <w:keepLines w:val="0"/>
              <w:widowControl/>
              <w:suppressLineNumbers w:val="0"/>
              <w:jc w:val="center"/>
              <w:textAlignment w:val="center"/>
              <w:rPr>
                <w:rFonts w:hint="default" w:ascii="宋体" w:hAnsi="宋体" w:eastAsia="宋体" w:cs="宋体"/>
                <w:i w:val="0"/>
                <w:iCs w:val="0"/>
                <w:snapToGrid w:val="0"/>
                <w:color w:val="auto"/>
                <w:kern w:val="0"/>
                <w:sz w:val="21"/>
                <w:szCs w:val="21"/>
                <w:highlight w:val="none"/>
                <w:u w:val="none"/>
                <w:lang w:val="en-US" w:eastAsia="zh-CN" w:bidi="ar"/>
              </w:rPr>
            </w:pPr>
            <w:r>
              <w:rPr>
                <w:rFonts w:hint="eastAsia" w:ascii="宋体" w:hAnsi="宋体" w:eastAsia="宋体" w:cs="宋体"/>
                <w:i w:val="0"/>
                <w:iCs w:val="0"/>
                <w:snapToGrid w:val="0"/>
                <w:color w:val="auto"/>
                <w:kern w:val="0"/>
                <w:sz w:val="21"/>
                <w:szCs w:val="21"/>
                <w:highlight w:val="none"/>
                <w:u w:val="none"/>
                <w:lang w:val="en-US" w:eastAsia="zh-CN" w:bidi="ar"/>
              </w:rPr>
              <w:t>含油量</w:t>
            </w:r>
          </w:p>
        </w:tc>
        <w:tc>
          <w:tcPr>
            <w:tcW w:w="1375"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废水处理前，处理后</w:t>
            </w:r>
          </w:p>
        </w:tc>
        <w:tc>
          <w:tcPr>
            <w:tcW w:w="1266" w:type="dxa"/>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1次/季度</w:t>
            </w:r>
          </w:p>
        </w:tc>
        <w:tc>
          <w:tcPr>
            <w:tcW w:w="4079" w:type="dxa"/>
            <w:gridSpan w:val="3"/>
            <w:vMerge w:val="restar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出水满足</w:t>
            </w:r>
            <w:r>
              <w:rPr>
                <w:rFonts w:hint="default" w:ascii="Times New Roman" w:hAnsi="Times New Roman" w:eastAsia="宋体" w:cs="Times New Roman"/>
                <w:caps w:val="0"/>
                <w:smallCaps w:val="0"/>
                <w:color w:val="auto"/>
                <w:spacing w:val="0"/>
                <w:w w:val="100"/>
                <w:sz w:val="21"/>
                <w:szCs w:val="21"/>
                <w:highlight w:val="none"/>
                <w:lang w:val="en-US" w:eastAsia="zh-CN"/>
              </w:rPr>
              <w:t>《大庆油田地面工程建设设计规定》（Q/SYDQ0639-2015）“含油量≤20mg/L、悬浮固体含量≤20mg/L”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470" w:type="dxa"/>
            <w:vMerge w:val="continue"/>
            <w:tcBorders>
              <w:tl2br w:val="nil"/>
              <w:tr2bl w:val="nil"/>
            </w:tcBorders>
            <w:vAlign w:val="center"/>
          </w:tcPr>
          <w:p>
            <w:pPr>
              <w:keepNext w:val="0"/>
              <w:keepLines w:val="0"/>
              <w:widowControl/>
              <w:suppressLineNumbers w:val="0"/>
              <w:jc w:val="center"/>
              <w:textAlignment w:val="center"/>
              <w:rPr>
                <w:rFonts w:hint="eastAsia" w:ascii="宋体" w:hAnsi="宋体" w:eastAsia="宋体" w:cs="宋体"/>
                <w:i w:val="0"/>
                <w:iCs w:val="0"/>
                <w:snapToGrid w:val="0"/>
                <w:color w:val="auto"/>
                <w:kern w:val="0"/>
                <w:sz w:val="21"/>
                <w:szCs w:val="21"/>
                <w:highlight w:val="none"/>
                <w:u w:val="none"/>
                <w:lang w:val="en-US" w:eastAsia="zh-CN" w:bidi="ar"/>
              </w:rPr>
            </w:pPr>
          </w:p>
        </w:tc>
        <w:tc>
          <w:tcPr>
            <w:tcW w:w="471" w:type="dxa"/>
            <w:tcBorders>
              <w:tl2br w:val="nil"/>
              <w:tr2bl w:val="nil"/>
            </w:tcBorders>
            <w:vAlign w:val="center"/>
          </w:tcPr>
          <w:p>
            <w:pPr>
              <w:keepNext w:val="0"/>
              <w:keepLines w:val="0"/>
              <w:widowControl/>
              <w:suppressLineNumbers w:val="0"/>
              <w:jc w:val="center"/>
              <w:textAlignment w:val="center"/>
              <w:rPr>
                <w:rFonts w:hint="default" w:ascii="宋体" w:hAnsi="宋体" w:eastAsia="宋体" w:cs="宋体"/>
                <w:i w:val="0"/>
                <w:iCs w:val="0"/>
                <w:snapToGrid w:val="0"/>
                <w:color w:val="auto"/>
                <w:kern w:val="0"/>
                <w:sz w:val="21"/>
                <w:szCs w:val="21"/>
                <w:highlight w:val="none"/>
                <w:u w:val="none"/>
                <w:lang w:val="en-US" w:eastAsia="zh-CN" w:bidi="ar"/>
              </w:rPr>
            </w:pPr>
            <w:r>
              <w:rPr>
                <w:rFonts w:hint="eastAsia" w:ascii="宋体" w:hAnsi="宋体" w:eastAsia="宋体" w:cs="宋体"/>
                <w:i w:val="0"/>
                <w:iCs w:val="0"/>
                <w:snapToGrid w:val="0"/>
                <w:color w:val="auto"/>
                <w:kern w:val="0"/>
                <w:sz w:val="21"/>
                <w:szCs w:val="21"/>
                <w:highlight w:val="none"/>
                <w:u w:val="none"/>
                <w:lang w:val="en-US" w:eastAsia="zh-CN" w:bidi="ar"/>
              </w:rPr>
              <w:t>悬浮固体</w:t>
            </w:r>
          </w:p>
        </w:tc>
        <w:tc>
          <w:tcPr>
            <w:tcW w:w="1375"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Times New Roman" w:hAnsi="Times New Roman" w:cs="Times New Roman"/>
                <w:color w:val="auto"/>
                <w:sz w:val="21"/>
                <w:szCs w:val="21"/>
                <w:highlight w:val="none"/>
                <w:vertAlign w:val="baseline"/>
                <w:lang w:val="en-US" w:eastAsia="zh-CN"/>
              </w:rPr>
            </w:pPr>
          </w:p>
        </w:tc>
        <w:tc>
          <w:tcPr>
            <w:tcW w:w="1266" w:type="dxa"/>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c>
          <w:tcPr>
            <w:tcW w:w="4079" w:type="dxa"/>
            <w:gridSpan w:val="3"/>
            <w:vMerge w:val="continue"/>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5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噪声</w:t>
            </w:r>
          </w:p>
        </w:tc>
        <w:tc>
          <w:tcPr>
            <w:tcW w:w="941" w:type="dxa"/>
            <w:gridSpan w:val="2"/>
            <w:tcBorders>
              <w:tl2br w:val="nil"/>
              <w:tr2bl w:val="nil"/>
            </w:tcBorders>
            <w:vAlign w:val="center"/>
          </w:tcPr>
          <w:p>
            <w:pPr>
              <w:keepNext w:val="0"/>
              <w:keepLines w:val="0"/>
              <w:widowControl/>
              <w:suppressLineNumbers w:val="0"/>
              <w:jc w:val="both"/>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等效连续A声级</w:t>
            </w:r>
          </w:p>
        </w:tc>
        <w:tc>
          <w:tcPr>
            <w:tcW w:w="13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站址厂界噪声</w:t>
            </w:r>
          </w:p>
        </w:tc>
        <w:tc>
          <w:tcPr>
            <w:tcW w:w="126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1次/季度</w:t>
            </w:r>
          </w:p>
        </w:tc>
        <w:tc>
          <w:tcPr>
            <w:tcW w:w="4079" w:type="dxa"/>
            <w:gridSpan w:val="3"/>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《工业企业厂界环境噪声排放标准》（GB12348-2008）2类</w:t>
            </w:r>
            <w:r>
              <w:rPr>
                <w:rFonts w:hint="eastAsia" w:ascii="Times New Roman" w:hAnsi="Times New Roman" w:cs="Times New Roman"/>
                <w:color w:val="auto"/>
                <w:sz w:val="21"/>
                <w:szCs w:val="21"/>
                <w:highlight w:val="none"/>
                <w:vertAlign w:val="baseline"/>
                <w:lang w:val="en-US" w:eastAsia="zh-CN"/>
              </w:rPr>
              <w:t>、4类</w:t>
            </w:r>
            <w:r>
              <w:rPr>
                <w:rFonts w:hint="default" w:ascii="Times New Roman" w:hAnsi="Times New Roman" w:cs="Times New Roman"/>
                <w:color w:val="auto"/>
                <w:sz w:val="21"/>
                <w:szCs w:val="21"/>
                <w:highlight w:val="none"/>
                <w:vertAlign w:val="baseline"/>
                <w:lang w:val="en-US" w:eastAsia="zh-CN"/>
              </w:rPr>
              <w:t>标准</w:t>
            </w:r>
          </w:p>
        </w:tc>
      </w:tr>
    </w:tbl>
    <w:p>
      <w:pP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p>
    <w:p>
      <w:pP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pPr>
      <w:r>
        <w:rPr>
          <w:rFonts w:hint="eastAsia" w:ascii="Times New Roman" w:hAnsi="Times New Roman" w:eastAsia="宋体" w:cs="Times New Roman"/>
          <w:b/>
          <w:bCs/>
          <w:caps w:val="0"/>
          <w:smallCaps w:val="0"/>
          <w:snapToGrid/>
          <w:color w:val="auto"/>
          <w:spacing w:val="0"/>
          <w:w w:val="100"/>
          <w:kern w:val="0"/>
          <w:sz w:val="21"/>
          <w:szCs w:val="21"/>
          <w:highlight w:val="none"/>
          <w:lang w:val="en-US" w:eastAsia="zh-CN" w:bidi="ar-SA"/>
        </w:rPr>
        <w:br w:type="page"/>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30" w:name="_Toc15338"/>
      <w:r>
        <w:rPr>
          <w:rFonts w:hint="eastAsia" w:ascii="Times New Roman" w:hAnsi="Times New Roman" w:eastAsia="宋体" w:cs="Times New Roman"/>
          <w:snapToGrid/>
          <w:color w:val="auto"/>
          <w:sz w:val="32"/>
          <w:highlight w:val="none"/>
          <w:lang w:val="en-US" w:eastAsia="zh-CN" w:bidi="ar-SA"/>
        </w:rPr>
        <w:t>9结论与建议</w:t>
      </w:r>
      <w:bookmarkEnd w:id="1230"/>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31" w:name="_Toc6137"/>
      <w:r>
        <w:rPr>
          <w:rFonts w:hint="eastAsia" w:ascii="Times New Roman" w:hAnsi="Times New Roman" w:eastAsia="宋体" w:cs="Times New Roman"/>
          <w:snapToGrid/>
          <w:color w:val="auto"/>
          <w:sz w:val="32"/>
          <w:highlight w:val="none"/>
          <w:lang w:val="en-US" w:eastAsia="zh-CN" w:bidi="ar-SA"/>
        </w:rPr>
        <w:t>9.1建设项目概况</w:t>
      </w:r>
      <w:bookmarkEnd w:id="1231"/>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本项目新建3#服务站站址位于大庆市肇源县发展村东侧空地处</w:t>
      </w:r>
      <w:r>
        <w:rPr>
          <w:rFonts w:hint="eastAsia" w:cs="Times New Roman"/>
          <w:caps w:val="0"/>
          <w:smallCaps w:val="0"/>
          <w:snapToGrid/>
          <w:color w:val="auto"/>
          <w:spacing w:val="0"/>
          <w:w w:val="100"/>
          <w:kern w:val="0"/>
          <w:sz w:val="24"/>
          <w:szCs w:val="24"/>
          <w:highlight w:val="none"/>
          <w:lang w:val="en-US" w:eastAsia="zh-CN" w:bidi="ar-SA"/>
        </w:rPr>
        <w:t>，3#站外输液管道由本次新建服务站西北角出线，沿西北向北布设，管道整体呈南北走向，管道终点由西南侧接入风瀚环保科技有限公司已建的2#服务站，</w:t>
      </w:r>
      <w:r>
        <w:rPr>
          <w:rFonts w:hint="eastAsia" w:cs="Times New Roman"/>
          <w:caps w:val="0"/>
          <w:smallCaps w:val="0"/>
          <w:color w:val="auto"/>
          <w:spacing w:val="0"/>
          <w:w w:val="100"/>
          <w:kern w:val="0"/>
          <w:sz w:val="24"/>
          <w:szCs w:val="24"/>
          <w:highlight w:val="none"/>
          <w:lang w:val="en-US" w:eastAsia="zh-CN"/>
        </w:rPr>
        <w:t>长度均为29km</w:t>
      </w:r>
      <w:r>
        <w:rPr>
          <w:rFonts w:hint="eastAsia" w:cs="Times New Roman"/>
          <w:caps w:val="0"/>
          <w:smallCaps w:val="0"/>
          <w:snapToGrid/>
          <w:color w:val="auto"/>
          <w:spacing w:val="0"/>
          <w:w w:val="100"/>
          <w:kern w:val="0"/>
          <w:sz w:val="24"/>
          <w:szCs w:val="24"/>
          <w:highlight w:val="none"/>
          <w:lang w:val="en-US" w:eastAsia="zh-CN" w:bidi="ar-SA"/>
        </w:rPr>
        <w:t>。2#外输液管道由已建的2#服务站站址西北侧出线，向北侧铺设，与1#服务站已建的输液管道连接，管道并列铺设，</w:t>
      </w:r>
      <w:r>
        <w:rPr>
          <w:rFonts w:hint="eastAsia" w:ascii="Times New Roman" w:hAnsi="Times New Roman" w:cs="Times New Roman"/>
          <w:caps w:val="0"/>
          <w:smallCaps w:val="0"/>
          <w:color w:val="auto"/>
          <w:spacing w:val="0"/>
          <w:w w:val="100"/>
          <w:kern w:val="0"/>
          <w:sz w:val="24"/>
          <w:szCs w:val="24"/>
          <w:highlight w:val="none"/>
          <w:lang w:val="en-US" w:eastAsia="zh-CN"/>
        </w:rPr>
        <w:t>长度均为4km</w:t>
      </w:r>
      <w:r>
        <w:rPr>
          <w:rFonts w:hint="eastAsia" w:cs="Times New Roman"/>
          <w:caps w:val="0"/>
          <w:smallCaps w:val="0"/>
          <w:color w:val="auto"/>
          <w:spacing w:val="0"/>
          <w:w w:val="100"/>
          <w:kern w:val="0"/>
          <w:sz w:val="24"/>
          <w:szCs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rPr>
          <w:rFonts w:hint="default" w:cs="Times New Roman"/>
          <w:caps w:val="0"/>
          <w:smallCaps w:val="0"/>
          <w:snapToGrid/>
          <w:color w:val="auto"/>
          <w:spacing w:val="0"/>
          <w:w w:val="100"/>
          <w:kern w:val="0"/>
          <w:sz w:val="24"/>
          <w:szCs w:val="24"/>
          <w:highlight w:val="none"/>
          <w:vertAlign w:val="baseli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本项目接收岩页油试验区产生的压裂返排液，</w:t>
      </w:r>
      <w:r>
        <w:rPr>
          <w:rFonts w:hint="eastAsia" w:cs="Times New Roman"/>
          <w:caps w:val="0"/>
          <w:smallCaps w:val="0"/>
          <w:snapToGrid/>
          <w:color w:val="auto"/>
          <w:spacing w:val="0"/>
          <w:w w:val="100"/>
          <w:kern w:val="0"/>
          <w:sz w:val="24"/>
          <w:szCs w:val="24"/>
          <w:highlight w:val="none"/>
          <w:vertAlign w:val="baseline"/>
          <w:lang w:val="en-US" w:eastAsia="zh-CN" w:bidi="ar-SA"/>
        </w:rPr>
        <w:t>设计处理量为4500t/d，站外来水先经卸料槽+均质池，均质调节水质、水量后，进入预处理车间，依次经进水池→隔油沉沙池→混凝池1#→絮凝池1#→沉淀池→混凝池2#→絮凝池2#→涡凹反应池→涡凹气浮刮渣池→外排水池，处理满足《大庆油田地面工程建设设计规定》（Q/SYDQ 0639-2015）“含油量≤20mg/L、悬浮固体含量≤20mg/L”，通过管道进入站内设置的储液池区域，暂存，尽快回用。</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本项目总占地面积</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296234m</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；永久占地111295m</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，临时占地184939m</w:t>
      </w:r>
      <w:r>
        <w:rPr>
          <w:rFonts w:hint="default"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2</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w:t>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32" w:name="_Toc8691"/>
      <w:r>
        <w:rPr>
          <w:rFonts w:hint="eastAsia" w:ascii="Times New Roman" w:hAnsi="Times New Roman" w:eastAsia="宋体" w:cs="Times New Roman"/>
          <w:snapToGrid/>
          <w:color w:val="auto"/>
          <w:sz w:val="32"/>
          <w:highlight w:val="none"/>
          <w:lang w:val="en-US" w:eastAsia="zh-CN" w:bidi="ar-SA"/>
        </w:rPr>
        <w:t>9.2环境质量现状</w:t>
      </w:r>
      <w:bookmarkEnd w:id="1232"/>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9.2.1环境空气</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项目所在区域内空气污染因子PM</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10</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、PM</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2.5</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、SO</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、NO</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2</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、CO、O</w:t>
      </w:r>
      <w:r>
        <w:rPr>
          <w:rFonts w:hint="eastAsia" w:ascii="Times New Roman" w:hAnsi="Times New Roman" w:eastAsia="宋体" w:cs="Times New Roman"/>
          <w:caps w:val="0"/>
          <w:smallCaps w:val="0"/>
          <w:snapToGrid/>
          <w:color w:val="auto"/>
          <w:spacing w:val="0"/>
          <w:w w:val="100"/>
          <w:kern w:val="0"/>
          <w:sz w:val="24"/>
          <w:szCs w:val="24"/>
          <w:highlight w:val="none"/>
          <w:vertAlign w:val="sub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均满足《环境空气质量标准》</w:t>
      </w:r>
      <w:r>
        <w:rPr>
          <w:rFonts w:hint="eastAsia"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GB3095-2012</w:t>
      </w:r>
      <w:r>
        <w:rPr>
          <w:rFonts w:hint="eastAsia"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及其修改单中二级标准的要求，判定项目所在区域为达标区。非甲烷总烃满足《大气污染物综合标准详解》中规定的小时均值2.0mg/m</w:t>
      </w:r>
      <w:r>
        <w:rPr>
          <w:rFonts w:hint="eastAsia" w:ascii="Times New Roman" w:hAnsi="Times New Roman" w:eastAsia="宋体" w:cs="Times New Roman"/>
          <w:caps w:val="0"/>
          <w:smallCaps w:val="0"/>
          <w:snapToGrid/>
          <w:color w:val="auto"/>
          <w:spacing w:val="0"/>
          <w:w w:val="100"/>
          <w:kern w:val="0"/>
          <w:sz w:val="24"/>
          <w:szCs w:val="24"/>
          <w:highlight w:val="none"/>
          <w:vertAlign w:val="superscript"/>
          <w:lang w:val="en-US" w:eastAsia="zh-CN" w:bidi="ar-SA"/>
        </w:rPr>
        <w:t>3</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要求。TSP日均值满足《环境空气质量标准》（GB3095-2012）及修改单中的二级标准。</w:t>
      </w:r>
      <w:r>
        <w:rPr>
          <w:rFonts w:hint="eastAsia" w:cs="Times New Roman"/>
          <w:caps w:val="0"/>
          <w:smallCaps w:val="0"/>
          <w:snapToGrid/>
          <w:color w:val="auto"/>
          <w:spacing w:val="0"/>
          <w:w w:val="100"/>
          <w:kern w:val="0"/>
          <w:sz w:val="24"/>
          <w:szCs w:val="24"/>
          <w:highlight w:val="none"/>
          <w:lang w:val="en-US" w:eastAsia="zh-CN" w:bidi="ar-SA"/>
        </w:rPr>
        <w:t>区域氨和硫化氢未检出，满足</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《环境影响评价技术导则 大气环境》（HJ2.2-2018）</w:t>
      </w:r>
      <w:r>
        <w:rPr>
          <w:rFonts w:hint="eastAsia" w:eastAsia="宋体" w:cs="Times New Roman"/>
          <w:caps w:val="0"/>
          <w:smallCaps w:val="0"/>
          <w:snapToGrid/>
          <w:color w:val="auto"/>
          <w:spacing w:val="0"/>
          <w:w w:val="100"/>
          <w:kern w:val="0"/>
          <w:sz w:val="24"/>
          <w:szCs w:val="24"/>
          <w:highlight w:val="none"/>
          <w:lang w:val="en-US" w:eastAsia="zh-CN" w:bidi="ar-SA"/>
        </w:rPr>
        <w:t>附录D限值要求。</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说明评价区域内大气环境质量较好。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9.2.</w:t>
      </w:r>
      <w:r>
        <w:rPr>
          <w:rFonts w:hint="eastAsia" w:cs="Times New Roman"/>
          <w:caps w:val="0"/>
          <w:smallCaps w:val="0"/>
          <w:snapToGrid/>
          <w:color w:val="auto"/>
          <w:spacing w:val="0"/>
          <w:w w:val="100"/>
          <w:kern w:val="0"/>
          <w:sz w:val="24"/>
          <w:szCs w:val="24"/>
          <w:highlight w:val="none"/>
          <w:lang w:val="en-US" w:eastAsia="zh-CN" w:bidi="ar-SA"/>
        </w:rPr>
        <w:t>2地表水</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项目周围地表水体</w:t>
      </w:r>
      <w:r>
        <w:rPr>
          <w:rFonts w:hint="eastAsia" w:eastAsia="宋体" w:cs="Times New Roman"/>
          <w:caps w:val="0"/>
          <w:smallCaps w:val="0"/>
          <w:snapToGrid/>
          <w:color w:val="auto"/>
          <w:spacing w:val="0"/>
          <w:w w:val="100"/>
          <w:kern w:val="0"/>
          <w:sz w:val="24"/>
          <w:szCs w:val="24"/>
          <w:highlight w:val="none"/>
          <w:lang w:val="en-US" w:eastAsia="zh-CN" w:bidi="ar-SA"/>
        </w:rPr>
        <w:t>为乡级河湖，</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按照河湖保护要求，保持水体、水面和堤岸保洁，暂不执行《地表水环境质量标准》（GB3838-2002）。</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9.2.</w:t>
      </w:r>
      <w:r>
        <w:rPr>
          <w:rFonts w:hint="eastAsia" w:cs="Times New Roman"/>
          <w:caps w:val="0"/>
          <w:smallCaps w:val="0"/>
          <w:snapToGrid/>
          <w:color w:val="auto"/>
          <w:spacing w:val="0"/>
          <w:w w:val="100"/>
          <w:kern w:val="0"/>
          <w:sz w:val="24"/>
          <w:szCs w:val="24"/>
          <w:highlight w:val="none"/>
          <w:lang w:val="en-US" w:eastAsia="zh-CN" w:bidi="ar-SA"/>
        </w:rPr>
        <w:t>3地下水</w:t>
      </w:r>
    </w:p>
    <w:p>
      <w:pPr>
        <w:pStyle w:val="26"/>
        <w:keepNext w:val="0"/>
        <w:keepLines w:val="0"/>
        <w:pageBreakBefore w:val="0"/>
        <w:widowControl/>
        <w:numPr>
          <w:ilvl w:val="0"/>
          <w:numId w:val="0"/>
        </w:numPr>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t>根据现状评价结果可以看出，区域地下水中，铁、锰、氨氮现状超过《地下水质量标准》（GB/T14848-2017）III类标准限值，特征污染物石油类未检出，其余监测数据满足《地下水质量标准》（GB/T14848-2017）III类标准限值；氨氮超标可能由于该区域人类活动频繁，导致地下水受到影响；铁、锰超标由于该区域地质特性原因。</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9.2.4声环境</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根据监测数据，项目区域附近村屯声环境满足《声环境质量标准》（GB3096-2008）中的1类</w:t>
      </w:r>
      <w:r>
        <w:rPr>
          <w:rFonts w:hint="eastAsia" w:cs="Times New Roman"/>
          <w:caps w:val="0"/>
          <w:smallCaps w:val="0"/>
          <w:snapToGrid/>
          <w:color w:val="auto"/>
          <w:spacing w:val="0"/>
          <w:w w:val="100"/>
          <w:kern w:val="0"/>
          <w:sz w:val="24"/>
          <w:szCs w:val="24"/>
          <w:highlight w:val="none"/>
          <w:lang w:val="en-US" w:eastAsia="zh-CN" w:bidi="ar-SA"/>
        </w:rPr>
        <w:t>和2类</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标准，现状良好。</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9.2.5土壤环境</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项目拟建</w:t>
      </w:r>
      <w:r>
        <w:rPr>
          <w:rFonts w:hint="eastAsia" w:cs="Times New Roman"/>
          <w:caps w:val="0"/>
          <w:smallCaps w:val="0"/>
          <w:snapToGrid/>
          <w:color w:val="auto"/>
          <w:spacing w:val="0"/>
          <w:w w:val="100"/>
          <w:kern w:val="0"/>
          <w:sz w:val="24"/>
          <w:szCs w:val="24"/>
          <w:highlight w:val="none"/>
          <w:lang w:val="en-US" w:eastAsia="zh-CN" w:bidi="ar-SA"/>
        </w:rPr>
        <w:t>站址</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永久占地内土壤现状监测结果满足《土壤环境质量建设用地土壤污染风险管控标准（试行）（GB36600-2018）中表1建设用地土壤污染风险管控标准第二类用地值要求，占地外土壤满足《土壤环境质量农用地土壤污染风险管控标准（试行）（GB15618-2018）表1农用地土壤污染风险筛选值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9.2.6生态环境</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项目</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所在区域内主要土壤类型草甸土，黑土层一般为30-50cm，有机质含量4%-7%，是一种较肥的土壤，这类土壤多处在江河沿岸，地势低平，水资源条件好。自然植被以蒿属等植物为主，同时还分布有碱草、碱蒿等耐盐碱植物，由于人类不断外扩开垦，项目区域内土地已全部开垦为草地，区域内农作物主要为水稻、玉米、大豆等，草地间分布有以杨树为主的防护林带。</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评价范围内工农业生产活动频度和强度都比较高，地域原有的野生动物基本消失，伴之而来的地域物种主要与农业生产活动有关，较大型哺乳类动物基本绝迹，但小型哺乳类特别是鼠类仍为常见种。区域内原始动物中鸟类主要有喜鹊、麻雀等，兽类主要有山兔、鼠等。评价范围内数量较多的主要为伴随人类生存的农田小型鼠类、麻雀、家燕等种群</w:t>
      </w:r>
      <w:r>
        <w:rPr>
          <w:rFonts w:hint="eastAsia" w:cs="Times New Roman"/>
          <w:caps w:val="0"/>
          <w:smallCaps w:val="0"/>
          <w:snapToGrid/>
          <w:color w:val="auto"/>
          <w:spacing w:val="0"/>
          <w:w w:val="100"/>
          <w:kern w:val="0"/>
          <w:sz w:val="24"/>
          <w:szCs w:val="24"/>
          <w:highlight w:val="none"/>
          <w:lang w:val="en-US" w:eastAsia="zh-CN" w:bidi="ar-SA"/>
        </w:rPr>
        <w:t>。</w:t>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33" w:name="_Toc23489"/>
      <w:r>
        <w:rPr>
          <w:rFonts w:hint="eastAsia" w:ascii="Times New Roman" w:hAnsi="Times New Roman" w:eastAsia="宋体" w:cs="Times New Roman"/>
          <w:snapToGrid/>
          <w:color w:val="auto"/>
          <w:sz w:val="32"/>
          <w:highlight w:val="none"/>
          <w:lang w:val="en-US" w:eastAsia="zh-CN" w:bidi="ar-SA"/>
        </w:rPr>
        <w:t>9.3主要环境影响</w:t>
      </w:r>
      <w:bookmarkEnd w:id="1233"/>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9.3.1大气环境影响</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根据《环境影响评价技术导则大气环境》（HJ2.2-2018）分级判据，确定本项目大气环境影响评价工作等级为二级。不进行进一步预测与评价，只对污染物排放量进行核算。根据《环境影响评价技术导则大气环境》（HJ2.2-2018），本项目厂界外大气污染物短期贡献浓度不超过环境质量浓度限值，无需设大气环境防护距离</w:t>
      </w:r>
      <w:r>
        <w:rPr>
          <w:rFonts w:hint="eastAsia"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本项目运行期间，预处理车间为封闭构建物，车间内无组织逸散的恶臭气体采用负压封闭收集，经离子除臭设施处理后，通过15m高排气筒排放。设计收集效率为90%，除臭效率≧90%，风机排气流量5000m</w:t>
      </w:r>
      <w:r>
        <w:rPr>
          <w:rFonts w:hint="eastAsia" w:cs="Times New Roman"/>
          <w:caps w:val="0"/>
          <w:smallCaps w:val="0"/>
          <w:snapToGrid/>
          <w:color w:val="auto"/>
          <w:spacing w:val="0"/>
          <w:w w:val="100"/>
          <w:kern w:val="0"/>
          <w:sz w:val="24"/>
          <w:szCs w:val="24"/>
          <w:highlight w:val="none"/>
          <w:vertAlign w:val="super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/h。卸车平台的均质池为地下构建物，顶部加盖设置，从源头减少废气产生。</w:t>
      </w:r>
    </w:p>
    <w:p>
      <w:pPr>
        <w:keepNext w:val="0"/>
        <w:keepLines w:val="0"/>
        <w:pageBreakBefore w:val="0"/>
        <w:widowControl/>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项目站址距离村屯近，为了减少运行期间，站址产生的恶臭气体对周围村屯的影响，本评价要求，冬季存储期间，储液池区域处理达标的废水不能超过1周，夏季存储时间不超过3天。若储液池区域水体存储期间较长，在储液池区域周围及顶部假设钢板及顶棚，设置为密封式区域。</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采取以上防治措施，站址内非甲烷总烃浓度满足《挥发性有机物无组织排放控制标准》（GB37822-2019）附录A限值要求。站址厂界NH</w:t>
      </w:r>
      <w:r>
        <w:rPr>
          <w:rFonts w:hint="eastAsia" w:cs="Times New Roman"/>
          <w:caps w:val="0"/>
          <w:smallCaps w:val="0"/>
          <w:snapToGrid/>
          <w:color w:val="auto"/>
          <w:spacing w:val="0"/>
          <w:w w:val="100"/>
          <w:kern w:val="0"/>
          <w:sz w:val="24"/>
          <w:szCs w:val="24"/>
          <w:highlight w:val="none"/>
          <w:vertAlign w:val="subscript"/>
          <w:lang w:val="en-US" w:eastAsia="zh-CN" w:bidi="ar-SA"/>
        </w:rPr>
        <w:t>3</w:t>
      </w:r>
      <w:r>
        <w:rPr>
          <w:rFonts w:hint="eastAsia" w:cs="Times New Roman"/>
          <w:caps w:val="0"/>
          <w:smallCaps w:val="0"/>
          <w:snapToGrid/>
          <w:color w:val="auto"/>
          <w:spacing w:val="0"/>
          <w:w w:val="100"/>
          <w:kern w:val="0"/>
          <w:sz w:val="24"/>
          <w:szCs w:val="24"/>
          <w:highlight w:val="none"/>
          <w:lang w:val="en-US" w:eastAsia="zh-CN" w:bidi="ar-SA"/>
        </w:rPr>
        <w:t>和H</w:t>
      </w:r>
      <w:r>
        <w:rPr>
          <w:rFonts w:hint="eastAsia" w:cs="Times New Roman"/>
          <w:caps w:val="0"/>
          <w:smallCaps w:val="0"/>
          <w:snapToGrid/>
          <w:color w:val="auto"/>
          <w:spacing w:val="0"/>
          <w:w w:val="100"/>
          <w:kern w:val="0"/>
          <w:sz w:val="24"/>
          <w:szCs w:val="24"/>
          <w:highlight w:val="none"/>
          <w:vertAlign w:val="subscript"/>
          <w:lang w:val="en-US" w:eastAsia="zh-CN" w:bidi="ar-SA"/>
        </w:rPr>
        <w:t>2</w:t>
      </w:r>
      <w:r>
        <w:rPr>
          <w:rFonts w:hint="eastAsia" w:cs="Times New Roman"/>
          <w:caps w:val="0"/>
          <w:smallCaps w:val="0"/>
          <w:snapToGrid/>
          <w:color w:val="auto"/>
          <w:spacing w:val="0"/>
          <w:w w:val="100"/>
          <w:kern w:val="0"/>
          <w:sz w:val="24"/>
          <w:szCs w:val="24"/>
          <w:highlight w:val="none"/>
          <w:lang w:val="en-US" w:eastAsia="zh-CN" w:bidi="ar-SA"/>
        </w:rPr>
        <w:t>S满足《恶臭污染物排放标准》（GB14554-93）厂界二级限值要求。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9.3.2地表水环境影响</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w:t>
      </w:r>
      <w:r>
        <w:rPr>
          <w:rFonts w:hint="eastAsia" w:cs="Times New Roman"/>
          <w:caps w:val="0"/>
          <w:smallCaps w:val="0"/>
          <w:snapToGrid/>
          <w:color w:val="auto"/>
          <w:spacing w:val="0"/>
          <w:w w:val="100"/>
          <w:kern w:val="0"/>
          <w:sz w:val="24"/>
          <w:szCs w:val="24"/>
          <w:highlight w:val="none"/>
          <w:lang w:val="en-US" w:eastAsia="zh-CN" w:bidi="ar-SA"/>
        </w:rPr>
        <w:t>项目</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建成运行后，生活污水排入化粪池，满足《污水综合排放标准》（GB8978-1996）表4中三级标准要求，</w:t>
      </w:r>
      <w:r>
        <w:rPr>
          <w:rFonts w:hint="eastAsia" w:cs="Times New Roman"/>
          <w:caps w:val="0"/>
          <w:smallCaps w:val="0"/>
          <w:snapToGrid/>
          <w:color w:val="auto"/>
          <w:spacing w:val="0"/>
          <w:w w:val="100"/>
          <w:kern w:val="0"/>
          <w:sz w:val="24"/>
          <w:szCs w:val="24"/>
          <w:highlight w:val="none"/>
          <w:lang w:val="en-US" w:eastAsia="zh-CN" w:bidi="ar-SA"/>
        </w:rPr>
        <w:t>定期清掏，拉运至新站镇生活污水处理厂处理。</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站内接收的废水、初期雨水、污泥浓缩废水进入站内废水处理系统，经处理满足《大庆油田地面工程建设设计规定》（Q/SYDQ0639-2015）中“含油量≤20mg/L，</w:t>
      </w:r>
      <w:r>
        <w:rPr>
          <w:rFonts w:hint="default"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悬浮固体含量</w:t>
      </w:r>
      <w:r>
        <w:rPr>
          <w:rFonts w:hint="eastAsia" w:cs="Times New Roman"/>
          <w:caps w:val="0"/>
          <w:smallCaps w:val="0"/>
          <w:snapToGrid/>
          <w:color w:val="auto"/>
          <w:spacing w:val="0"/>
          <w:w w:val="100"/>
          <w:kern w:val="0"/>
          <w:sz w:val="24"/>
          <w:szCs w:val="24"/>
          <w:highlight w:val="none"/>
          <w:lang w:val="en-US" w:eastAsia="zh-CN" w:bidi="ar-SA"/>
        </w:rPr>
        <w:t>≤20mg/L”限值要求，回用于页岩油试验区压裂复配。</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vertAlign w:val="baseline"/>
          <w:lang w:val="en-US" w:eastAsia="zh-CN" w:bidi="ar-SA"/>
        </w:rPr>
        <w:t>本项目</w:t>
      </w:r>
      <w:r>
        <w:rPr>
          <w:rFonts w:hint="eastAsia" w:cs="Times New Roman"/>
          <w:caps w:val="0"/>
          <w:smallCaps w:val="0"/>
          <w:snapToGrid/>
          <w:color w:val="auto"/>
          <w:spacing w:val="0"/>
          <w:w w:val="100"/>
          <w:kern w:val="0"/>
          <w:sz w:val="24"/>
          <w:szCs w:val="24"/>
          <w:highlight w:val="none"/>
          <w:vertAlign w:val="baseline"/>
          <w:lang w:val="en-US" w:eastAsia="zh-CN" w:bidi="ar-SA"/>
        </w:rPr>
        <w:t>采取“均质+隔油沉沙+混凝絮凝沉淀+气浮”的工艺对运来的压裂返排液进行处理；处理达标中水满足《大庆油田地面工程建设设计规定》（Q/SYDQ 0639-2015）“含油量≤20mg/L、悬浮固体含量≤20mg/L”，</w:t>
      </w:r>
      <w:r>
        <w:rPr>
          <w:rFonts w:hint="eastAsia" w:cs="Times New Roman"/>
          <w:caps w:val="0"/>
          <w:smallCaps w:val="0"/>
          <w:snapToGrid/>
          <w:color w:val="auto"/>
          <w:spacing w:val="0"/>
          <w:w w:val="100"/>
          <w:kern w:val="0"/>
          <w:sz w:val="24"/>
          <w:szCs w:val="24"/>
          <w:highlight w:val="none"/>
          <w:lang w:val="en-US" w:eastAsia="zh-CN" w:bidi="ar-SA"/>
        </w:rPr>
        <w:t>对照《排污许可证申请与核发技术规范 水处理通用工序》（HJ1120-2020）附录A，废水处理工艺属于物理处理技术，为可行性技术；同时项目处理页岩油试验区待处理废水满足《关于进一步加强石油天然气行业环境影响评价管理的通知》（环办环评函〔2019〕910号）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9.3.3地下水环境影响</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本项目在正常且各项环境保护措施落实到位情况下对地下水环境影响较小，但在事故状态下可能对地下水环境造成影响，但在各项地下水污染防控措施及应急措施落实到位的情况下，对地下水环境影响</w:t>
      </w:r>
      <w:r>
        <w:rPr>
          <w:rFonts w:hint="eastAsia" w:cs="Times New Roman"/>
          <w:caps w:val="0"/>
          <w:smallCaps w:val="0"/>
          <w:snapToGrid/>
          <w:color w:val="auto"/>
          <w:spacing w:val="0"/>
          <w:w w:val="100"/>
          <w:kern w:val="0"/>
          <w:sz w:val="24"/>
          <w:szCs w:val="24"/>
          <w:highlight w:val="none"/>
          <w:lang w:val="en-US" w:eastAsia="zh-CN" w:bidi="ar-SA"/>
        </w:rPr>
        <w:t>可被接受</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9.3.4声环境</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在采取选用低噪声设备，采用减振、隔声</w:t>
      </w:r>
      <w:r>
        <w:rPr>
          <w:rFonts w:hint="eastAsia" w:cs="Times New Roman"/>
          <w:caps w:val="0"/>
          <w:smallCaps w:val="0"/>
          <w:snapToGrid/>
          <w:color w:val="auto"/>
          <w:spacing w:val="0"/>
          <w:w w:val="100"/>
          <w:kern w:val="0"/>
          <w:sz w:val="24"/>
          <w:szCs w:val="24"/>
          <w:highlight w:val="none"/>
          <w:lang w:val="en-US" w:eastAsia="zh-CN" w:bidi="ar-SA"/>
        </w:rPr>
        <w:t>、墙体隔音</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等降噪措施，注意对设备的维护保养适当的降噪措施后，本项目</w:t>
      </w:r>
      <w:r>
        <w:rPr>
          <w:rFonts w:hint="eastAsia" w:cs="Times New Roman"/>
          <w:caps w:val="0"/>
          <w:smallCaps w:val="0"/>
          <w:snapToGrid/>
          <w:color w:val="auto"/>
          <w:spacing w:val="0"/>
          <w:w w:val="100"/>
          <w:kern w:val="0"/>
          <w:sz w:val="24"/>
          <w:szCs w:val="24"/>
          <w:highlight w:val="none"/>
          <w:lang w:val="en-US" w:eastAsia="zh-CN" w:bidi="ar-SA"/>
        </w:rPr>
        <w:t>运行期站址厂界噪声</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满足《工业企业厂界环境噪声排放标准》（GB12348-2008）2类</w:t>
      </w:r>
      <w:r>
        <w:rPr>
          <w:rFonts w:hint="eastAsia" w:cs="Times New Roman"/>
          <w:caps w:val="0"/>
          <w:smallCaps w:val="0"/>
          <w:snapToGrid/>
          <w:color w:val="auto"/>
          <w:spacing w:val="0"/>
          <w:w w:val="100"/>
          <w:kern w:val="0"/>
          <w:sz w:val="24"/>
          <w:szCs w:val="24"/>
          <w:highlight w:val="none"/>
          <w:lang w:val="en-US" w:eastAsia="zh-CN" w:bidi="ar-SA"/>
        </w:rPr>
        <w:t>和4类</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标准要求，</w:t>
      </w:r>
      <w:r>
        <w:rPr>
          <w:rFonts w:hint="eastAsia" w:cs="Times New Roman"/>
          <w:caps w:val="0"/>
          <w:smallCaps w:val="0"/>
          <w:snapToGrid/>
          <w:color w:val="auto"/>
          <w:spacing w:val="0"/>
          <w:w w:val="100"/>
          <w:kern w:val="0"/>
          <w:sz w:val="24"/>
          <w:szCs w:val="24"/>
          <w:highlight w:val="none"/>
          <w:lang w:val="en-US" w:eastAsia="zh-CN" w:bidi="ar-SA"/>
        </w:rPr>
        <w:t>站址西侧发展村处噪声可满足</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《声环境质量标准》（GB3096-2008）中的</w:t>
      </w:r>
      <w:r>
        <w:rPr>
          <w:rFonts w:hint="eastAsia" w:cs="Times New Roman"/>
          <w:caps w:val="0"/>
          <w:smallCaps w:val="0"/>
          <w:snapToGrid/>
          <w:color w:val="auto"/>
          <w:spacing w:val="0"/>
          <w:w w:val="100"/>
          <w:kern w:val="0"/>
          <w:sz w:val="24"/>
          <w:szCs w:val="24"/>
          <w:highlight w:val="none"/>
          <w:lang w:val="en-US" w:eastAsia="zh-CN" w:bidi="ar-SA"/>
        </w:rPr>
        <w:t>2类</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标准，</w:t>
      </w:r>
      <w:r>
        <w:rPr>
          <w:rFonts w:hint="eastAsia" w:cs="Times New Roman"/>
          <w:caps w:val="0"/>
          <w:smallCaps w:val="0"/>
          <w:snapToGrid/>
          <w:color w:val="auto"/>
          <w:spacing w:val="0"/>
          <w:w w:val="100"/>
          <w:kern w:val="0"/>
          <w:sz w:val="24"/>
          <w:szCs w:val="24"/>
          <w:highlight w:val="none"/>
          <w:lang w:val="en-US" w:eastAsia="zh-CN" w:bidi="ar-SA"/>
        </w:rPr>
        <w:t>新立屯散户噪声可满足</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《声环境质量标准》（GB3096-2008）中的</w:t>
      </w:r>
      <w:r>
        <w:rPr>
          <w:rFonts w:hint="eastAsia" w:cs="Times New Roman"/>
          <w:caps w:val="0"/>
          <w:smallCaps w:val="0"/>
          <w:snapToGrid/>
          <w:color w:val="auto"/>
          <w:spacing w:val="0"/>
          <w:w w:val="100"/>
          <w:kern w:val="0"/>
          <w:sz w:val="24"/>
          <w:szCs w:val="24"/>
          <w:highlight w:val="none"/>
          <w:lang w:val="en-US" w:eastAsia="zh-CN" w:bidi="ar-SA"/>
        </w:rPr>
        <w:t>1类</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标</w:t>
      </w:r>
      <w:r>
        <w:rPr>
          <w:rFonts w:hint="eastAsia" w:cs="Times New Roman"/>
          <w:caps w:val="0"/>
          <w:smallCaps w:val="0"/>
          <w:snapToGrid/>
          <w:color w:val="auto"/>
          <w:spacing w:val="0"/>
          <w:w w:val="100"/>
          <w:kern w:val="0"/>
          <w:sz w:val="24"/>
          <w:szCs w:val="24"/>
          <w:highlight w:val="none"/>
          <w:lang w:val="en-US" w:eastAsia="zh-CN" w:bidi="ar-SA"/>
        </w:rPr>
        <w:t>，</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对村屯影响可被接受。</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9.3.5固体废物</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本项目运行期产生的生活垃圾统一收集后，由环卫部门清运至肇源县生活垃圾处理场处理；废弃的含油抹布和劳保用品进行豁免管理，随生活垃圾一起拉运处置。</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胶状固体物质、污泥、罐底油泥交由有资质单位处置；污油定期由油田单位拉运回收利用。</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本项目产生的各类固体废弃物均进行了合理的处置，能够实现固废的减量化、资源化和无害化，对环境影响较小。</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9.3.</w:t>
      </w:r>
      <w:r>
        <w:rPr>
          <w:rFonts w:hint="eastAsia" w:cs="Times New Roman"/>
          <w:caps w:val="0"/>
          <w:smallCaps w:val="0"/>
          <w:snapToGrid/>
          <w:color w:val="auto"/>
          <w:spacing w:val="0"/>
          <w:w w:val="100"/>
          <w:kern w:val="0"/>
          <w:sz w:val="24"/>
          <w:szCs w:val="24"/>
          <w:highlight w:val="none"/>
          <w:lang w:val="en-US" w:eastAsia="zh-CN" w:bidi="ar-SA"/>
        </w:rPr>
        <w:t>6</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土壤环境影响</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项目站址内采取分区防渗措施；卸车平台、危废暂存间、预处理车间、污油储罐区、储液池、事故池、初期雨水收集池，采取重点防渗措施，危废暂存间防渗性能满足《危险废物贮存污染控制标准》（GB18597-2023）防渗要求；其余区域满足《环境影响评价技术导则 地下水环境》（HJ610-2018）重点防渗性能要求。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cs="Times New Roman"/>
          <w:caps w:val="0"/>
          <w:smallCaps w:val="0"/>
          <w:snapToGrid/>
          <w:color w:val="auto"/>
          <w:spacing w:val="0"/>
          <w:w w:val="100"/>
          <w:kern w:val="0"/>
          <w:sz w:val="24"/>
          <w:szCs w:val="24"/>
          <w:highlight w:val="none"/>
          <w:lang w:val="en-US" w:eastAsia="zh-CN" w:bidi="ar-SA"/>
        </w:rPr>
        <w:t>库房、配电间、值班室、消防水罐区、办公用房采取一般防渗措施，满足《环境影响评价技术导则 地下水环境》（HJ610-2018）一般防渗性能要求。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其他区域进行简单防渗，满足《环境影响评价技术导则 地下水环境》（HJ610-2018）简单防渗性能要求。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输液管道采用钢丝网骨架塑料（聚乙烯）复合管，耐磨耐腐蚀，其内衬层、外护层通常为高分子材料结构，具有天然的防腐蚀性能；增强层通常采用高强纤维或者连续玻纤带材料，因此钢丝网骨架塑料（聚乙烯）复合管除了耐腐蚀性能和柔韧性优越，还可以承受较高的荷载。管道防腐性能较好，无需进行额外的防腐工程，管道铺设区域防渗性能满足《环境影响评价技术导则 地下水环境》（HJ610-2018）重点防渗性能要求。</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正常情况下不会因泄漏下渗造成土壤污染影响；事故状态下，可及时发现并处理。</w:t>
      </w:r>
      <w:r>
        <w:rPr>
          <w:rFonts w:hint="eastAsia" w:cs="Times New Roman"/>
          <w:caps w:val="0"/>
          <w:smallCaps w:val="0"/>
          <w:snapToGrid/>
          <w:color w:val="auto"/>
          <w:spacing w:val="0"/>
          <w:w w:val="100"/>
          <w:kern w:val="0"/>
          <w:sz w:val="24"/>
          <w:szCs w:val="24"/>
          <w:highlight w:val="none"/>
          <w:lang w:val="en-US" w:eastAsia="zh-CN" w:bidi="ar-SA"/>
        </w:rPr>
        <w:t>对</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土壤环境影响较小。</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9.3.</w:t>
      </w:r>
      <w:r>
        <w:rPr>
          <w:rFonts w:hint="eastAsia" w:cs="Times New Roman"/>
          <w:caps w:val="0"/>
          <w:smallCaps w:val="0"/>
          <w:snapToGrid/>
          <w:color w:val="auto"/>
          <w:spacing w:val="0"/>
          <w:w w:val="100"/>
          <w:kern w:val="0"/>
          <w:sz w:val="24"/>
          <w:szCs w:val="24"/>
          <w:highlight w:val="none"/>
          <w:lang w:val="en-US" w:eastAsia="zh-CN" w:bidi="ar-SA"/>
        </w:rPr>
        <w:t>7</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生态环境影响</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由于项目的建设使土地的使用性质产生改变、构筑物</w:t>
      </w:r>
      <w:r>
        <w:rPr>
          <w:rFonts w:hint="eastAsia" w:cs="Times New Roman"/>
          <w:caps w:val="0"/>
          <w:smallCaps w:val="0"/>
          <w:snapToGrid/>
          <w:color w:val="auto"/>
          <w:spacing w:val="0"/>
          <w:w w:val="100"/>
          <w:kern w:val="0"/>
          <w:sz w:val="24"/>
          <w:szCs w:val="24"/>
          <w:highlight w:val="none"/>
          <w:lang w:val="en-US" w:eastAsia="zh-CN" w:bidi="ar-SA"/>
        </w:rPr>
        <w:t>建设</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、道路硬化导致当地土地利用结构发生变化，将对原来的生态系统产生一定的影响，但对区域生态环境影响较小。</w:t>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34" w:name="_Toc20630"/>
      <w:r>
        <w:rPr>
          <w:rFonts w:hint="eastAsia" w:ascii="Times New Roman" w:hAnsi="Times New Roman" w:eastAsia="宋体" w:cs="Times New Roman"/>
          <w:snapToGrid/>
          <w:color w:val="auto"/>
          <w:sz w:val="32"/>
          <w:highlight w:val="none"/>
          <w:lang w:val="en-US" w:eastAsia="zh-CN" w:bidi="ar-SA"/>
        </w:rPr>
        <w:t>9.4环境影响经济损益分析结论</w:t>
      </w:r>
      <w:bookmarkEnd w:id="1234"/>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建设单位建设可信性环保措施，本项目对环境的影响较轻小，可满足既发展经济、又保护环境的目的，又具有比较明显的环境效益。本项目的建设不仅具有一定的经济效益，同时还具有明显的社会效益和环境效益，能真正做到社会效益、经济效益和环境效益三者的“统一”。</w:t>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35" w:name="_Toc20238"/>
      <w:r>
        <w:rPr>
          <w:rFonts w:hint="eastAsia" w:ascii="Times New Roman" w:hAnsi="Times New Roman" w:eastAsia="宋体" w:cs="Times New Roman"/>
          <w:snapToGrid/>
          <w:color w:val="auto"/>
          <w:sz w:val="32"/>
          <w:highlight w:val="none"/>
          <w:lang w:val="en-US" w:eastAsia="zh-CN" w:bidi="ar-SA"/>
        </w:rPr>
        <w:t>9.5公众意见采纳情况</w:t>
      </w:r>
      <w:bookmarkEnd w:id="1235"/>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肇源县风瀚环保科技有限公司于2023年7月10日委托了本项目环评工作任务，于2023年7月12日，在黑龙江新闻网上发布了第一次网上公示，网址为https://www.hljnews.cn/zt/content/2023-07/12/content_707452.html。</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《黑龙江省大庆市页岩油压裂返排液（肇源段）处理项目环境影响报告书（征求意见稿）》编制完成后，于2024年1月9日，建设单位在黑龙江新闻网上发布了征求意见稿公示，公示网址为</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fldChar w:fldCharType="begin"/>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instrText xml:space="preserve"> HYPERLINK "https://www.hljnews.cn/zt/content/2024-01/09/content_742839.html" </w:instrTex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fldChar w:fldCharType="separate"/>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https://www.hljnews.cn/zt/content/2024-01/09/content_742839.html</w:t>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fldChar w:fldCharType="end"/>
      </w: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公示时间为2024年1月9日~1月22日；第二次网上公示期间，分别于2024年1月10日和1月11日在《黑龙江日报》上进行了报纸媒体的公示（10个工作日内公示了两次）。同时在征求意见稿公示期间，在周围村屯以张贴公告的形式发布征求意见稿公示，告知了征求意见的内容。本项目公众参与期间未收到公众反馈意见。</w:t>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36" w:name="_Toc12717"/>
      <w:r>
        <w:rPr>
          <w:rFonts w:hint="eastAsia" w:ascii="Times New Roman" w:hAnsi="Times New Roman" w:eastAsia="宋体" w:cs="Times New Roman"/>
          <w:snapToGrid/>
          <w:color w:val="auto"/>
          <w:sz w:val="32"/>
          <w:highlight w:val="none"/>
          <w:lang w:val="en-US" w:eastAsia="zh-CN" w:bidi="ar-SA"/>
        </w:rPr>
        <w:t>9.6环境管理与监测计划结论</w:t>
      </w:r>
      <w:bookmarkEnd w:id="1236"/>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需安排专职的技术人员，主要负责环境管理、健康管理、安全管理、消防管理等各项工作的策划，组织和实施。除环境安全部分人力外，公司其他部门均有专人负责部门内部的环境安全业务和配合环境安全部门的工作。</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应建立相对完善的信息公开体系，公开的信息包括项目基本建设、运行等情况。项目建设及建成运行后，应及时公开建设项目基本情况、环境质量状况、项目主要污染排放源的数量、种类和位置，项目主要污染物产生及预计排放情况，建设项目拟采取的防治措施及预期治理效果，项目拟采取的环境风险防范措施等。</w:t>
      </w:r>
    </w:p>
    <w:p>
      <w:pPr>
        <w:pStyle w:val="3"/>
        <w:widowControl w:val="0"/>
        <w:kinsoku/>
        <w:autoSpaceDE/>
        <w:autoSpaceDN/>
        <w:adjustRightInd/>
        <w:snapToGrid/>
        <w:spacing w:before="120" w:after="120" w:line="360" w:lineRule="auto"/>
        <w:jc w:val="both"/>
        <w:textAlignment w:val="auto"/>
        <w:rPr>
          <w:rFonts w:hint="eastAsia" w:ascii="Times New Roman" w:hAnsi="Times New Roman" w:eastAsia="宋体" w:cs="Times New Roman"/>
          <w:snapToGrid/>
          <w:color w:val="auto"/>
          <w:sz w:val="32"/>
          <w:highlight w:val="none"/>
          <w:lang w:val="en-US" w:eastAsia="zh-CN" w:bidi="ar-SA"/>
        </w:rPr>
      </w:pPr>
      <w:bookmarkStart w:id="1237" w:name="_Toc20716"/>
      <w:r>
        <w:rPr>
          <w:rFonts w:hint="eastAsia" w:ascii="Times New Roman" w:hAnsi="Times New Roman" w:eastAsia="宋体" w:cs="Times New Roman"/>
          <w:snapToGrid/>
          <w:color w:val="auto"/>
          <w:sz w:val="32"/>
          <w:highlight w:val="none"/>
          <w:lang w:val="en-US" w:eastAsia="zh-CN" w:bidi="ar-SA"/>
        </w:rPr>
        <w:t>9.7建设项目环境可行性综合结论</w:t>
      </w:r>
      <w:bookmarkEnd w:id="1237"/>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ind w:firstLine="480" w:firstLineChars="200"/>
        <w:jc w:val="both"/>
        <w:textAlignment w:val="baseline"/>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pPr>
      <w:r>
        <w:rPr>
          <w:rFonts w:hint="eastAsia" w:ascii="Times New Roman" w:hAnsi="Times New Roman" w:eastAsia="宋体" w:cs="Times New Roman"/>
          <w:caps w:val="0"/>
          <w:smallCaps w:val="0"/>
          <w:snapToGrid/>
          <w:color w:val="auto"/>
          <w:spacing w:val="0"/>
          <w:w w:val="100"/>
          <w:kern w:val="0"/>
          <w:sz w:val="24"/>
          <w:szCs w:val="24"/>
          <w:highlight w:val="none"/>
          <w:lang w:val="en-US" w:eastAsia="zh-CN" w:bidi="ar-SA"/>
        </w:rPr>
        <w:t>本项目符合国家和地方相关政策、规划。项目自身为环保工程，项目的实施对于提高企业水资源回用率、减少废水污染物的排放量都具有积极的现实意义。项目采取有效的污染防治措施和风险防范措施，能够实现污染物达标排放，对周边环境的影响可接受。因此，在严格执行“三同时”制度，认真落实工程设计和本报告书提出的各项污染防治措施，强化环境管理，控制污染物总量达标排放，采取有效的环境风险防范措施后，从满足环境保护要求分析，本项目建设可行。</w:t>
      </w:r>
    </w:p>
    <w:p>
      <w:pPr>
        <w:keepNext w:val="0"/>
        <w:keepLines w:val="0"/>
        <w:pageBreakBefore w:val="0"/>
        <w:widowControl/>
        <w:tabs>
          <w:tab w:val="left" w:pos="658"/>
        </w:tabs>
        <w:kinsoku w:val="0"/>
        <w:wordWrap/>
        <w:overflowPunct/>
        <w:topLinePunct w:val="0"/>
        <w:autoSpaceDE w:val="0"/>
        <w:autoSpaceDN w:val="0"/>
        <w:bidi w:val="0"/>
        <w:adjustRightInd w:val="0"/>
        <w:snapToGrid w:val="0"/>
        <w:spacing w:line="500" w:lineRule="exact"/>
        <w:jc w:val="both"/>
        <w:textAlignment w:val="baseline"/>
        <w:rPr>
          <w:rFonts w:hint="default" w:ascii="Times New Roman" w:hAnsi="Times New Roman" w:eastAsia="宋体" w:cs="Times New Roman"/>
          <w:caps w:val="0"/>
          <w:smallCaps w:val="0"/>
          <w:snapToGrid/>
          <w:color w:val="auto"/>
          <w:spacing w:val="0"/>
          <w:w w:val="100"/>
          <w:kern w:val="0"/>
          <w:sz w:val="24"/>
          <w:szCs w:val="24"/>
          <w:highlight w:val="none"/>
          <w:lang w:val="en-US" w:eastAsia="zh-CN" w:bidi="ar-SA"/>
        </w:rPr>
      </w:pPr>
    </w:p>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Arial Unicode MS">
    <w:altName w:val="宋体"/>
    <w:panose1 w:val="020B0604020202020204"/>
    <w:charset w:val="86"/>
    <w:family w:val="roman"/>
    <w:pitch w:val="default"/>
    <w:sig w:usb0="00000000" w:usb1="00000000" w:usb2="0000003F" w:usb3="00000000" w:csb0="603F01FF" w:csb1="FFFF0000"/>
  </w:font>
  <w:font w:name="Cambria">
    <w:panose1 w:val="02040503050406030204"/>
    <w:charset w:val="00"/>
    <w:family w:val="auto"/>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t xml:space="preserve">第 </w:t>
                          </w:r>
                          <w:r>
                            <w:fldChar w:fldCharType="begin"/>
                          </w:r>
                          <w:r>
                            <w:instrText xml:space="preserve"> PAGE  \* MERGEFORMAT </w:instrText>
                          </w:r>
                          <w:r>
                            <w:fldChar w:fldCharType="separate"/>
                          </w:r>
                          <w:r>
                            <w:t>6</w:t>
                          </w:r>
                          <w:r>
                            <w:fldChar w:fldCharType="end"/>
                          </w:r>
                          <w:r>
                            <w:t xml:space="preserve"> 页 共 </w:t>
                          </w:r>
                          <w:r>
                            <w:fldChar w:fldCharType="begin"/>
                          </w:r>
                          <w:r>
                            <w:instrText xml:space="preserve"> NUMPAGES  \* MERGEFORMAT </w:instrText>
                          </w:r>
                          <w:r>
                            <w:fldChar w:fldCharType="separate"/>
                          </w:r>
                          <w:r>
                            <w:t>287</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h/es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Hof3rMQIAAGMEAAAOAAAAAAAAAAEAIAAAAB8BAABkcnMvZTJvRG9jLnhtbFBLBQYA&#10;AAAABgAGAFkBAADCBQAAAAA=&#10;">
              <v:fill on="f" focussize="0,0"/>
              <v:stroke on="f" weight="0.5pt"/>
              <v:imagedata o:title=""/>
              <o:lock v:ext="edit" aspectratio="f"/>
              <v:textbox inset="0mm,0mm,0mm,0mm" style="mso-fit-shape-to-text:t;">
                <w:txbxContent>
                  <w:p>
                    <w:pPr>
                      <w:pStyle w:val="8"/>
                    </w:pPr>
                    <w:r>
                      <w:t xml:space="preserve">第 </w:t>
                    </w:r>
                    <w:r>
                      <w:fldChar w:fldCharType="begin"/>
                    </w:r>
                    <w:r>
                      <w:instrText xml:space="preserve"> PAGE  \* MERGEFORMAT </w:instrText>
                    </w:r>
                    <w:r>
                      <w:fldChar w:fldCharType="separate"/>
                    </w:r>
                    <w:r>
                      <w:t>6</w:t>
                    </w:r>
                    <w:r>
                      <w:fldChar w:fldCharType="end"/>
                    </w:r>
                    <w:r>
                      <w:t xml:space="preserve"> 页 共 </w:t>
                    </w:r>
                    <w:r>
                      <w:fldChar w:fldCharType="begin"/>
                    </w:r>
                    <w:r>
                      <w:instrText xml:space="preserve"> NUMPAGES  \* MERGEFORMAT </w:instrText>
                    </w:r>
                    <w:r>
                      <w:fldChar w:fldCharType="separate"/>
                    </w:r>
                    <w:r>
                      <w:t>287</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0"/>
  <w:embedSystemFonts/>
  <w:bordersDoNotSurroundHeader w:val="0"/>
  <w:bordersDoNotSurroundFooter w:val="0"/>
  <w:documentProtection w:enforcement="0"/>
  <w:defaultTabStop w:val="420"/>
  <w:drawingGridVerticalSpacing w:val="159"/>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A4ODU5ODM2MDBmOGI0MGY5MDk1ZDViYzA3YTcwYWYifQ=="/>
  </w:docVars>
  <w:rsids>
    <w:rsidRoot w:val="6CD34C4B"/>
    <w:rsid w:val="00046CA0"/>
    <w:rsid w:val="000D6A89"/>
    <w:rsid w:val="0016245F"/>
    <w:rsid w:val="001669D4"/>
    <w:rsid w:val="00215573"/>
    <w:rsid w:val="00241A60"/>
    <w:rsid w:val="00360E24"/>
    <w:rsid w:val="005E0AA6"/>
    <w:rsid w:val="006E05BE"/>
    <w:rsid w:val="007564B7"/>
    <w:rsid w:val="0087167F"/>
    <w:rsid w:val="00883AFE"/>
    <w:rsid w:val="008D4EE8"/>
    <w:rsid w:val="0093432E"/>
    <w:rsid w:val="00A42E94"/>
    <w:rsid w:val="00B52690"/>
    <w:rsid w:val="00C105D8"/>
    <w:rsid w:val="00F62A81"/>
    <w:rsid w:val="00F705B3"/>
    <w:rsid w:val="00FB4431"/>
    <w:rsid w:val="01092BFE"/>
    <w:rsid w:val="0123584C"/>
    <w:rsid w:val="012F1A4A"/>
    <w:rsid w:val="014545C7"/>
    <w:rsid w:val="01475B40"/>
    <w:rsid w:val="015B4FE6"/>
    <w:rsid w:val="015E4AC8"/>
    <w:rsid w:val="01645DB4"/>
    <w:rsid w:val="0176160E"/>
    <w:rsid w:val="01802C9E"/>
    <w:rsid w:val="019978BC"/>
    <w:rsid w:val="019D115B"/>
    <w:rsid w:val="019E3125"/>
    <w:rsid w:val="01BC2913"/>
    <w:rsid w:val="01C34939"/>
    <w:rsid w:val="01D25D1E"/>
    <w:rsid w:val="01D86637"/>
    <w:rsid w:val="01DB577D"/>
    <w:rsid w:val="01E07299"/>
    <w:rsid w:val="020016E9"/>
    <w:rsid w:val="020058B7"/>
    <w:rsid w:val="020B07BA"/>
    <w:rsid w:val="021344B2"/>
    <w:rsid w:val="021A6C4F"/>
    <w:rsid w:val="02265234"/>
    <w:rsid w:val="02357F37"/>
    <w:rsid w:val="02452D8D"/>
    <w:rsid w:val="0256755B"/>
    <w:rsid w:val="0264611C"/>
    <w:rsid w:val="02691984"/>
    <w:rsid w:val="026F71B4"/>
    <w:rsid w:val="02702309"/>
    <w:rsid w:val="0279309D"/>
    <w:rsid w:val="028E5BE3"/>
    <w:rsid w:val="02900CBF"/>
    <w:rsid w:val="02963DFC"/>
    <w:rsid w:val="02977FA8"/>
    <w:rsid w:val="02AE55E9"/>
    <w:rsid w:val="02B04EBD"/>
    <w:rsid w:val="02B842C2"/>
    <w:rsid w:val="02BA4A6E"/>
    <w:rsid w:val="02CD5A6F"/>
    <w:rsid w:val="02DC2156"/>
    <w:rsid w:val="02E1151B"/>
    <w:rsid w:val="02EE59E6"/>
    <w:rsid w:val="03056936"/>
    <w:rsid w:val="030B47EA"/>
    <w:rsid w:val="031418F0"/>
    <w:rsid w:val="032A4C70"/>
    <w:rsid w:val="032B5FEF"/>
    <w:rsid w:val="034B4BE6"/>
    <w:rsid w:val="034D1CC8"/>
    <w:rsid w:val="0350044F"/>
    <w:rsid w:val="03507B8A"/>
    <w:rsid w:val="035A241C"/>
    <w:rsid w:val="035E2C4D"/>
    <w:rsid w:val="037615D4"/>
    <w:rsid w:val="038325D2"/>
    <w:rsid w:val="039E740C"/>
    <w:rsid w:val="03A013D6"/>
    <w:rsid w:val="03B15391"/>
    <w:rsid w:val="03B409DD"/>
    <w:rsid w:val="03BA6178"/>
    <w:rsid w:val="03C06EC2"/>
    <w:rsid w:val="03C174C3"/>
    <w:rsid w:val="03D83B8B"/>
    <w:rsid w:val="03E05C76"/>
    <w:rsid w:val="03E31FBA"/>
    <w:rsid w:val="03E868D9"/>
    <w:rsid w:val="03F60FF6"/>
    <w:rsid w:val="042D199D"/>
    <w:rsid w:val="042F4508"/>
    <w:rsid w:val="04456BF3"/>
    <w:rsid w:val="04640655"/>
    <w:rsid w:val="04645078"/>
    <w:rsid w:val="04684988"/>
    <w:rsid w:val="04722833"/>
    <w:rsid w:val="04776C93"/>
    <w:rsid w:val="04A74CE9"/>
    <w:rsid w:val="04B30C95"/>
    <w:rsid w:val="04B62533"/>
    <w:rsid w:val="04B96B96"/>
    <w:rsid w:val="04C03F31"/>
    <w:rsid w:val="04C469A8"/>
    <w:rsid w:val="04C86784"/>
    <w:rsid w:val="04CF6AD3"/>
    <w:rsid w:val="04DA26C6"/>
    <w:rsid w:val="04DA7993"/>
    <w:rsid w:val="04E2157A"/>
    <w:rsid w:val="04E71225"/>
    <w:rsid w:val="04F419D9"/>
    <w:rsid w:val="04F61E22"/>
    <w:rsid w:val="04FC0AB7"/>
    <w:rsid w:val="05510B15"/>
    <w:rsid w:val="05595CE0"/>
    <w:rsid w:val="05777F14"/>
    <w:rsid w:val="057A17B3"/>
    <w:rsid w:val="059E229B"/>
    <w:rsid w:val="05AC3439"/>
    <w:rsid w:val="05CB745D"/>
    <w:rsid w:val="05D62E8D"/>
    <w:rsid w:val="05DE5D29"/>
    <w:rsid w:val="05F11A75"/>
    <w:rsid w:val="05FD2332"/>
    <w:rsid w:val="05FE58B2"/>
    <w:rsid w:val="06054C9F"/>
    <w:rsid w:val="06085109"/>
    <w:rsid w:val="060A7D56"/>
    <w:rsid w:val="0618289E"/>
    <w:rsid w:val="0628480D"/>
    <w:rsid w:val="064360F1"/>
    <w:rsid w:val="06476639"/>
    <w:rsid w:val="064A0FE9"/>
    <w:rsid w:val="064D59FC"/>
    <w:rsid w:val="06576DB0"/>
    <w:rsid w:val="065B5C22"/>
    <w:rsid w:val="06765DE5"/>
    <w:rsid w:val="067D365B"/>
    <w:rsid w:val="06975C36"/>
    <w:rsid w:val="06A4730E"/>
    <w:rsid w:val="06B065A8"/>
    <w:rsid w:val="06B20A69"/>
    <w:rsid w:val="06BA155D"/>
    <w:rsid w:val="06C024BD"/>
    <w:rsid w:val="06CE0008"/>
    <w:rsid w:val="06DA3E6D"/>
    <w:rsid w:val="06DE2E84"/>
    <w:rsid w:val="06E51E4D"/>
    <w:rsid w:val="06E65352"/>
    <w:rsid w:val="0707368E"/>
    <w:rsid w:val="07171649"/>
    <w:rsid w:val="07177C01"/>
    <w:rsid w:val="071B4D93"/>
    <w:rsid w:val="07344901"/>
    <w:rsid w:val="075B5D37"/>
    <w:rsid w:val="075C1AB8"/>
    <w:rsid w:val="075C3866"/>
    <w:rsid w:val="076F5AC2"/>
    <w:rsid w:val="077C55BA"/>
    <w:rsid w:val="07860FE4"/>
    <w:rsid w:val="078A2181"/>
    <w:rsid w:val="07983134"/>
    <w:rsid w:val="07A8352A"/>
    <w:rsid w:val="07AA5409"/>
    <w:rsid w:val="07BF4B3B"/>
    <w:rsid w:val="07CA588F"/>
    <w:rsid w:val="07E239D6"/>
    <w:rsid w:val="07E72244"/>
    <w:rsid w:val="07ED44BE"/>
    <w:rsid w:val="08024FA9"/>
    <w:rsid w:val="08026841"/>
    <w:rsid w:val="08065580"/>
    <w:rsid w:val="080C7EC0"/>
    <w:rsid w:val="080D2DB2"/>
    <w:rsid w:val="080F2686"/>
    <w:rsid w:val="081166D0"/>
    <w:rsid w:val="08214F6E"/>
    <w:rsid w:val="08231884"/>
    <w:rsid w:val="084A62A2"/>
    <w:rsid w:val="0854278F"/>
    <w:rsid w:val="08574792"/>
    <w:rsid w:val="085E716A"/>
    <w:rsid w:val="0869623A"/>
    <w:rsid w:val="08760957"/>
    <w:rsid w:val="088A4DF6"/>
    <w:rsid w:val="088F1FFD"/>
    <w:rsid w:val="089023B1"/>
    <w:rsid w:val="08910B5D"/>
    <w:rsid w:val="08912907"/>
    <w:rsid w:val="08941CC3"/>
    <w:rsid w:val="089B5884"/>
    <w:rsid w:val="08A566FF"/>
    <w:rsid w:val="08AA525A"/>
    <w:rsid w:val="08B03E69"/>
    <w:rsid w:val="08B152CB"/>
    <w:rsid w:val="08B329DC"/>
    <w:rsid w:val="08D35DAA"/>
    <w:rsid w:val="08E82C6B"/>
    <w:rsid w:val="08F0070A"/>
    <w:rsid w:val="08FC1410"/>
    <w:rsid w:val="08FD13DF"/>
    <w:rsid w:val="090A7E6B"/>
    <w:rsid w:val="090D12BC"/>
    <w:rsid w:val="091D2C3F"/>
    <w:rsid w:val="09413E70"/>
    <w:rsid w:val="094259D5"/>
    <w:rsid w:val="09430566"/>
    <w:rsid w:val="0951224F"/>
    <w:rsid w:val="0958250A"/>
    <w:rsid w:val="095E54E0"/>
    <w:rsid w:val="096244D7"/>
    <w:rsid w:val="096447A7"/>
    <w:rsid w:val="097035F9"/>
    <w:rsid w:val="09763059"/>
    <w:rsid w:val="097B05EC"/>
    <w:rsid w:val="09905A49"/>
    <w:rsid w:val="09972933"/>
    <w:rsid w:val="099E44EC"/>
    <w:rsid w:val="099F7A3A"/>
    <w:rsid w:val="09A05164"/>
    <w:rsid w:val="09A17780"/>
    <w:rsid w:val="09AF6AF7"/>
    <w:rsid w:val="09C474A0"/>
    <w:rsid w:val="09D53AE5"/>
    <w:rsid w:val="09DC0C8E"/>
    <w:rsid w:val="09EA1839"/>
    <w:rsid w:val="09EF09C1"/>
    <w:rsid w:val="09F204A9"/>
    <w:rsid w:val="09F33CEE"/>
    <w:rsid w:val="0A012350"/>
    <w:rsid w:val="0A026946"/>
    <w:rsid w:val="0A140B28"/>
    <w:rsid w:val="0A284FCE"/>
    <w:rsid w:val="0A2F1568"/>
    <w:rsid w:val="0A3615C5"/>
    <w:rsid w:val="0A3C7C3D"/>
    <w:rsid w:val="0A4E4ED4"/>
    <w:rsid w:val="0A6F0F60"/>
    <w:rsid w:val="0A947E48"/>
    <w:rsid w:val="0AB22D5F"/>
    <w:rsid w:val="0AC32EC6"/>
    <w:rsid w:val="0ADB1D9A"/>
    <w:rsid w:val="0ADD60A7"/>
    <w:rsid w:val="0AE40301"/>
    <w:rsid w:val="0AE41BA8"/>
    <w:rsid w:val="0B041D05"/>
    <w:rsid w:val="0B04231A"/>
    <w:rsid w:val="0B082A12"/>
    <w:rsid w:val="0B136931"/>
    <w:rsid w:val="0B1B2130"/>
    <w:rsid w:val="0B245DFD"/>
    <w:rsid w:val="0B3F022E"/>
    <w:rsid w:val="0B4E34C6"/>
    <w:rsid w:val="0B537BAB"/>
    <w:rsid w:val="0B632066"/>
    <w:rsid w:val="0B6947A3"/>
    <w:rsid w:val="0B703F6E"/>
    <w:rsid w:val="0B73117E"/>
    <w:rsid w:val="0B8415DD"/>
    <w:rsid w:val="0B8450C6"/>
    <w:rsid w:val="0B903ADE"/>
    <w:rsid w:val="0BA3775C"/>
    <w:rsid w:val="0BB27EF8"/>
    <w:rsid w:val="0BB43C70"/>
    <w:rsid w:val="0BC52A31"/>
    <w:rsid w:val="0BD2782B"/>
    <w:rsid w:val="0BE35FBA"/>
    <w:rsid w:val="0BE43E2A"/>
    <w:rsid w:val="0BF422BF"/>
    <w:rsid w:val="0BFD3EB0"/>
    <w:rsid w:val="0C0F6CC3"/>
    <w:rsid w:val="0C1C48A3"/>
    <w:rsid w:val="0C1D101E"/>
    <w:rsid w:val="0C420240"/>
    <w:rsid w:val="0C5C523A"/>
    <w:rsid w:val="0C704222"/>
    <w:rsid w:val="0C7B653C"/>
    <w:rsid w:val="0C8353F1"/>
    <w:rsid w:val="0C905841"/>
    <w:rsid w:val="0C9713B3"/>
    <w:rsid w:val="0CA57A5D"/>
    <w:rsid w:val="0CA64AB2"/>
    <w:rsid w:val="0CAE6912"/>
    <w:rsid w:val="0CB13A3E"/>
    <w:rsid w:val="0CB5226A"/>
    <w:rsid w:val="0CC07278"/>
    <w:rsid w:val="0CC311CB"/>
    <w:rsid w:val="0CC53C5B"/>
    <w:rsid w:val="0CCA3020"/>
    <w:rsid w:val="0CD41FCF"/>
    <w:rsid w:val="0CDA01D2"/>
    <w:rsid w:val="0CE47176"/>
    <w:rsid w:val="0CEA5F50"/>
    <w:rsid w:val="0D162709"/>
    <w:rsid w:val="0D222E5C"/>
    <w:rsid w:val="0D397AD1"/>
    <w:rsid w:val="0D3A1109"/>
    <w:rsid w:val="0D470499"/>
    <w:rsid w:val="0D4903E8"/>
    <w:rsid w:val="0D4B67FE"/>
    <w:rsid w:val="0D4C6163"/>
    <w:rsid w:val="0D8E7657"/>
    <w:rsid w:val="0DA24EF8"/>
    <w:rsid w:val="0DA47D15"/>
    <w:rsid w:val="0DAA1045"/>
    <w:rsid w:val="0DB337FB"/>
    <w:rsid w:val="0DD6614B"/>
    <w:rsid w:val="0DDC300B"/>
    <w:rsid w:val="0DE565E7"/>
    <w:rsid w:val="0DFA3B07"/>
    <w:rsid w:val="0E24763A"/>
    <w:rsid w:val="0E2857BB"/>
    <w:rsid w:val="0E2C7F1E"/>
    <w:rsid w:val="0E3F3599"/>
    <w:rsid w:val="0E404A5E"/>
    <w:rsid w:val="0E4249E9"/>
    <w:rsid w:val="0E460DCC"/>
    <w:rsid w:val="0E4A6BAC"/>
    <w:rsid w:val="0E5B7E3C"/>
    <w:rsid w:val="0E5C239D"/>
    <w:rsid w:val="0E5F65FA"/>
    <w:rsid w:val="0E697FB4"/>
    <w:rsid w:val="0E6B438E"/>
    <w:rsid w:val="0E7D7CAE"/>
    <w:rsid w:val="0E8E5F1C"/>
    <w:rsid w:val="0E96765D"/>
    <w:rsid w:val="0E986DE4"/>
    <w:rsid w:val="0EA76787"/>
    <w:rsid w:val="0ECB770C"/>
    <w:rsid w:val="0ECE759F"/>
    <w:rsid w:val="0ED96266"/>
    <w:rsid w:val="0EF83E74"/>
    <w:rsid w:val="0EFB7C61"/>
    <w:rsid w:val="0F077DA9"/>
    <w:rsid w:val="0F1F5265"/>
    <w:rsid w:val="0F44355D"/>
    <w:rsid w:val="0F4627D5"/>
    <w:rsid w:val="0F495A4D"/>
    <w:rsid w:val="0F5552D9"/>
    <w:rsid w:val="0F587009"/>
    <w:rsid w:val="0F7D0B61"/>
    <w:rsid w:val="0F8C2F8A"/>
    <w:rsid w:val="0F8C7B55"/>
    <w:rsid w:val="0F941CD9"/>
    <w:rsid w:val="0F9E7F65"/>
    <w:rsid w:val="0FAB0EE6"/>
    <w:rsid w:val="0FC54E82"/>
    <w:rsid w:val="0FCB1A87"/>
    <w:rsid w:val="0FD42B11"/>
    <w:rsid w:val="0FE05083"/>
    <w:rsid w:val="10090303"/>
    <w:rsid w:val="10091E07"/>
    <w:rsid w:val="100D42C7"/>
    <w:rsid w:val="100F232B"/>
    <w:rsid w:val="10196798"/>
    <w:rsid w:val="104B4E51"/>
    <w:rsid w:val="105E23FD"/>
    <w:rsid w:val="10667B7F"/>
    <w:rsid w:val="106B1E26"/>
    <w:rsid w:val="10705F5C"/>
    <w:rsid w:val="10725EA8"/>
    <w:rsid w:val="107A7662"/>
    <w:rsid w:val="107E2A9F"/>
    <w:rsid w:val="10823779"/>
    <w:rsid w:val="108C4F6E"/>
    <w:rsid w:val="108F0808"/>
    <w:rsid w:val="109202F8"/>
    <w:rsid w:val="10A5170A"/>
    <w:rsid w:val="10A560DD"/>
    <w:rsid w:val="10C10FE4"/>
    <w:rsid w:val="10EC2FD9"/>
    <w:rsid w:val="10F16DCD"/>
    <w:rsid w:val="10F21E39"/>
    <w:rsid w:val="10FE6461"/>
    <w:rsid w:val="10FF5DF4"/>
    <w:rsid w:val="11044AF4"/>
    <w:rsid w:val="11277BC0"/>
    <w:rsid w:val="113B0990"/>
    <w:rsid w:val="11447845"/>
    <w:rsid w:val="114D7DA7"/>
    <w:rsid w:val="115C2812"/>
    <w:rsid w:val="11882CF2"/>
    <w:rsid w:val="118D238A"/>
    <w:rsid w:val="11AB05CB"/>
    <w:rsid w:val="11B76268"/>
    <w:rsid w:val="11C24C0D"/>
    <w:rsid w:val="11C5338F"/>
    <w:rsid w:val="11C73FD2"/>
    <w:rsid w:val="11CC5193"/>
    <w:rsid w:val="11E903EC"/>
    <w:rsid w:val="11F07505"/>
    <w:rsid w:val="12045226"/>
    <w:rsid w:val="12083240"/>
    <w:rsid w:val="121E0096"/>
    <w:rsid w:val="122535F2"/>
    <w:rsid w:val="12374CB3"/>
    <w:rsid w:val="12402856"/>
    <w:rsid w:val="12530CCC"/>
    <w:rsid w:val="1255782F"/>
    <w:rsid w:val="125B6C0C"/>
    <w:rsid w:val="125E4174"/>
    <w:rsid w:val="12705D8B"/>
    <w:rsid w:val="129C4987"/>
    <w:rsid w:val="12A91A1B"/>
    <w:rsid w:val="12AC21C3"/>
    <w:rsid w:val="12B36168"/>
    <w:rsid w:val="12B44556"/>
    <w:rsid w:val="12CA541C"/>
    <w:rsid w:val="12DD46A3"/>
    <w:rsid w:val="12E904C9"/>
    <w:rsid w:val="12EB6F78"/>
    <w:rsid w:val="13042DC0"/>
    <w:rsid w:val="13113593"/>
    <w:rsid w:val="13180895"/>
    <w:rsid w:val="131E37BA"/>
    <w:rsid w:val="132316DC"/>
    <w:rsid w:val="133B07BF"/>
    <w:rsid w:val="133D3D2E"/>
    <w:rsid w:val="1347361C"/>
    <w:rsid w:val="134A513A"/>
    <w:rsid w:val="134B70B2"/>
    <w:rsid w:val="1371067C"/>
    <w:rsid w:val="1376608B"/>
    <w:rsid w:val="13A10F7E"/>
    <w:rsid w:val="13A55C08"/>
    <w:rsid w:val="13AA5006"/>
    <w:rsid w:val="13BD16BF"/>
    <w:rsid w:val="13C702B9"/>
    <w:rsid w:val="13CA7243"/>
    <w:rsid w:val="13CB3D19"/>
    <w:rsid w:val="13F4297D"/>
    <w:rsid w:val="13F82B68"/>
    <w:rsid w:val="140323D0"/>
    <w:rsid w:val="14074FF7"/>
    <w:rsid w:val="14103A0E"/>
    <w:rsid w:val="14123C2A"/>
    <w:rsid w:val="141B23B3"/>
    <w:rsid w:val="141E7509"/>
    <w:rsid w:val="142E20E6"/>
    <w:rsid w:val="143926ED"/>
    <w:rsid w:val="14423DE3"/>
    <w:rsid w:val="1450022E"/>
    <w:rsid w:val="14657ED6"/>
    <w:rsid w:val="146E1B8D"/>
    <w:rsid w:val="148166BA"/>
    <w:rsid w:val="149A0553"/>
    <w:rsid w:val="14D64C58"/>
    <w:rsid w:val="14EC1F13"/>
    <w:rsid w:val="14EE4EEE"/>
    <w:rsid w:val="14F6054A"/>
    <w:rsid w:val="1505553D"/>
    <w:rsid w:val="151E54A4"/>
    <w:rsid w:val="1525173B"/>
    <w:rsid w:val="1528122B"/>
    <w:rsid w:val="1534448E"/>
    <w:rsid w:val="15393438"/>
    <w:rsid w:val="154B7418"/>
    <w:rsid w:val="15605210"/>
    <w:rsid w:val="15673B02"/>
    <w:rsid w:val="15695ACC"/>
    <w:rsid w:val="15721970"/>
    <w:rsid w:val="158835B0"/>
    <w:rsid w:val="15A417A0"/>
    <w:rsid w:val="15A973B8"/>
    <w:rsid w:val="15B34F99"/>
    <w:rsid w:val="15BF5B9F"/>
    <w:rsid w:val="15C54FEA"/>
    <w:rsid w:val="15D42723"/>
    <w:rsid w:val="15E909BB"/>
    <w:rsid w:val="16060948"/>
    <w:rsid w:val="161D3C6A"/>
    <w:rsid w:val="162278E8"/>
    <w:rsid w:val="162714E3"/>
    <w:rsid w:val="163360DA"/>
    <w:rsid w:val="163D4F1E"/>
    <w:rsid w:val="164436F2"/>
    <w:rsid w:val="164E6A70"/>
    <w:rsid w:val="164E74D5"/>
    <w:rsid w:val="165A3666"/>
    <w:rsid w:val="165F362F"/>
    <w:rsid w:val="167A5664"/>
    <w:rsid w:val="16834DE7"/>
    <w:rsid w:val="168801D3"/>
    <w:rsid w:val="169A1CB5"/>
    <w:rsid w:val="16D937A2"/>
    <w:rsid w:val="16E530B4"/>
    <w:rsid w:val="16E82A20"/>
    <w:rsid w:val="16E97B31"/>
    <w:rsid w:val="16FC471D"/>
    <w:rsid w:val="170E25F4"/>
    <w:rsid w:val="17207642"/>
    <w:rsid w:val="17253CA5"/>
    <w:rsid w:val="1726179A"/>
    <w:rsid w:val="17271958"/>
    <w:rsid w:val="172A139B"/>
    <w:rsid w:val="172B7A52"/>
    <w:rsid w:val="1740285C"/>
    <w:rsid w:val="175221C1"/>
    <w:rsid w:val="175400B6"/>
    <w:rsid w:val="177B16B1"/>
    <w:rsid w:val="177B3894"/>
    <w:rsid w:val="17814F46"/>
    <w:rsid w:val="17817A76"/>
    <w:rsid w:val="17842E88"/>
    <w:rsid w:val="178700D3"/>
    <w:rsid w:val="17887D5F"/>
    <w:rsid w:val="178C5AA1"/>
    <w:rsid w:val="179D7CAF"/>
    <w:rsid w:val="17B65A62"/>
    <w:rsid w:val="17B86896"/>
    <w:rsid w:val="17C0399D"/>
    <w:rsid w:val="17D31922"/>
    <w:rsid w:val="17DD62FD"/>
    <w:rsid w:val="17E750AF"/>
    <w:rsid w:val="17EF00CC"/>
    <w:rsid w:val="182B6B1E"/>
    <w:rsid w:val="18440FE4"/>
    <w:rsid w:val="184719C8"/>
    <w:rsid w:val="18557732"/>
    <w:rsid w:val="18605572"/>
    <w:rsid w:val="1867397D"/>
    <w:rsid w:val="186B1B5B"/>
    <w:rsid w:val="18756535"/>
    <w:rsid w:val="1877100B"/>
    <w:rsid w:val="187C5B16"/>
    <w:rsid w:val="187D188E"/>
    <w:rsid w:val="1881201D"/>
    <w:rsid w:val="188622FA"/>
    <w:rsid w:val="18AE30EB"/>
    <w:rsid w:val="18B64B8B"/>
    <w:rsid w:val="18C63B73"/>
    <w:rsid w:val="18E436BB"/>
    <w:rsid w:val="18F2402A"/>
    <w:rsid w:val="190C139E"/>
    <w:rsid w:val="190F698A"/>
    <w:rsid w:val="19161EA9"/>
    <w:rsid w:val="1922346A"/>
    <w:rsid w:val="19317E8D"/>
    <w:rsid w:val="19351519"/>
    <w:rsid w:val="19434886"/>
    <w:rsid w:val="196F104A"/>
    <w:rsid w:val="197F7DA5"/>
    <w:rsid w:val="199264E9"/>
    <w:rsid w:val="19946E8F"/>
    <w:rsid w:val="199C60FC"/>
    <w:rsid w:val="199F6C5D"/>
    <w:rsid w:val="19B75B26"/>
    <w:rsid w:val="19C0641E"/>
    <w:rsid w:val="19C54B02"/>
    <w:rsid w:val="19DA0998"/>
    <w:rsid w:val="19E716B5"/>
    <w:rsid w:val="19EC2827"/>
    <w:rsid w:val="19ED659F"/>
    <w:rsid w:val="19F72376"/>
    <w:rsid w:val="19F85670"/>
    <w:rsid w:val="19FA743D"/>
    <w:rsid w:val="1A002777"/>
    <w:rsid w:val="1A017C0C"/>
    <w:rsid w:val="1A0C2EC9"/>
    <w:rsid w:val="1A0C74B6"/>
    <w:rsid w:val="1A381F10"/>
    <w:rsid w:val="1A393593"/>
    <w:rsid w:val="1A3A2382"/>
    <w:rsid w:val="1A5F3E44"/>
    <w:rsid w:val="1A6D2C8E"/>
    <w:rsid w:val="1A750A6F"/>
    <w:rsid w:val="1A773C92"/>
    <w:rsid w:val="1A870DB6"/>
    <w:rsid w:val="1AC437A4"/>
    <w:rsid w:val="1AD02149"/>
    <w:rsid w:val="1AD655A0"/>
    <w:rsid w:val="1ADC6D40"/>
    <w:rsid w:val="1AF60A21"/>
    <w:rsid w:val="1B0D0CA7"/>
    <w:rsid w:val="1B102383"/>
    <w:rsid w:val="1B220DDC"/>
    <w:rsid w:val="1B285AE1"/>
    <w:rsid w:val="1B4F225E"/>
    <w:rsid w:val="1B505038"/>
    <w:rsid w:val="1B5B3F01"/>
    <w:rsid w:val="1B663502"/>
    <w:rsid w:val="1B705953"/>
    <w:rsid w:val="1B7F1F02"/>
    <w:rsid w:val="1B823F00"/>
    <w:rsid w:val="1B8459DF"/>
    <w:rsid w:val="1B966726"/>
    <w:rsid w:val="1B975401"/>
    <w:rsid w:val="1BAB04C0"/>
    <w:rsid w:val="1BB630ED"/>
    <w:rsid w:val="1BB76E65"/>
    <w:rsid w:val="1BEA38DE"/>
    <w:rsid w:val="1C362480"/>
    <w:rsid w:val="1C370D59"/>
    <w:rsid w:val="1C524234"/>
    <w:rsid w:val="1C5703FC"/>
    <w:rsid w:val="1C6F14EE"/>
    <w:rsid w:val="1C6F7740"/>
    <w:rsid w:val="1C902538"/>
    <w:rsid w:val="1C9A7153"/>
    <w:rsid w:val="1CA4563B"/>
    <w:rsid w:val="1CB658ED"/>
    <w:rsid w:val="1CBD25FA"/>
    <w:rsid w:val="1CCD57A2"/>
    <w:rsid w:val="1CDE324A"/>
    <w:rsid w:val="1CFC0972"/>
    <w:rsid w:val="1D000127"/>
    <w:rsid w:val="1D083242"/>
    <w:rsid w:val="1D0A3417"/>
    <w:rsid w:val="1D167BBB"/>
    <w:rsid w:val="1D2B7B0B"/>
    <w:rsid w:val="1D37025D"/>
    <w:rsid w:val="1D3B167F"/>
    <w:rsid w:val="1D4372B0"/>
    <w:rsid w:val="1D4B1F5B"/>
    <w:rsid w:val="1D4E1DD1"/>
    <w:rsid w:val="1D533B3C"/>
    <w:rsid w:val="1D61177E"/>
    <w:rsid w:val="1D691539"/>
    <w:rsid w:val="1D7C7BA2"/>
    <w:rsid w:val="1D7F7B5E"/>
    <w:rsid w:val="1D834B63"/>
    <w:rsid w:val="1D837613"/>
    <w:rsid w:val="1D89409B"/>
    <w:rsid w:val="1D8D60CF"/>
    <w:rsid w:val="1D8F1E47"/>
    <w:rsid w:val="1DB52291"/>
    <w:rsid w:val="1DC13FCB"/>
    <w:rsid w:val="1DCC7D68"/>
    <w:rsid w:val="1DE71C83"/>
    <w:rsid w:val="1DF20628"/>
    <w:rsid w:val="1E067C30"/>
    <w:rsid w:val="1E0A7720"/>
    <w:rsid w:val="1E231C8B"/>
    <w:rsid w:val="1E2E46BF"/>
    <w:rsid w:val="1E314610"/>
    <w:rsid w:val="1E345028"/>
    <w:rsid w:val="1E383DE6"/>
    <w:rsid w:val="1E404D81"/>
    <w:rsid w:val="1E4A2212"/>
    <w:rsid w:val="1E563917"/>
    <w:rsid w:val="1E69657E"/>
    <w:rsid w:val="1E6E5311"/>
    <w:rsid w:val="1E7025DB"/>
    <w:rsid w:val="1E8262BD"/>
    <w:rsid w:val="1E845724"/>
    <w:rsid w:val="1EAB0141"/>
    <w:rsid w:val="1EB15DEE"/>
    <w:rsid w:val="1EB4550F"/>
    <w:rsid w:val="1EB576F4"/>
    <w:rsid w:val="1ECB3353"/>
    <w:rsid w:val="1ED657D3"/>
    <w:rsid w:val="1EE95587"/>
    <w:rsid w:val="1EFB33BF"/>
    <w:rsid w:val="1EFE0DA3"/>
    <w:rsid w:val="1F1106B2"/>
    <w:rsid w:val="1F164BA3"/>
    <w:rsid w:val="1F3046EB"/>
    <w:rsid w:val="1F3048DC"/>
    <w:rsid w:val="1F36683B"/>
    <w:rsid w:val="1F3C1B5B"/>
    <w:rsid w:val="1F47634C"/>
    <w:rsid w:val="1F6132DC"/>
    <w:rsid w:val="1F664E2A"/>
    <w:rsid w:val="1F69275D"/>
    <w:rsid w:val="1F6C3E55"/>
    <w:rsid w:val="1F835ED5"/>
    <w:rsid w:val="1F927968"/>
    <w:rsid w:val="1F974FE3"/>
    <w:rsid w:val="1FAA1FBF"/>
    <w:rsid w:val="1FB578D4"/>
    <w:rsid w:val="1FC54B9D"/>
    <w:rsid w:val="1FC84CB1"/>
    <w:rsid w:val="1FCB46CB"/>
    <w:rsid w:val="1FEA7924"/>
    <w:rsid w:val="20126D60"/>
    <w:rsid w:val="201900EE"/>
    <w:rsid w:val="20250841"/>
    <w:rsid w:val="202B6527"/>
    <w:rsid w:val="202D3914"/>
    <w:rsid w:val="20344A63"/>
    <w:rsid w:val="2037639D"/>
    <w:rsid w:val="204A474C"/>
    <w:rsid w:val="20570A95"/>
    <w:rsid w:val="205D622D"/>
    <w:rsid w:val="205F09FB"/>
    <w:rsid w:val="206334A0"/>
    <w:rsid w:val="20711843"/>
    <w:rsid w:val="20AA6F98"/>
    <w:rsid w:val="20B16493"/>
    <w:rsid w:val="20B451B4"/>
    <w:rsid w:val="20BF2987"/>
    <w:rsid w:val="20C22EE1"/>
    <w:rsid w:val="20CA738D"/>
    <w:rsid w:val="20E424AA"/>
    <w:rsid w:val="20F2349D"/>
    <w:rsid w:val="210720DC"/>
    <w:rsid w:val="21154D5A"/>
    <w:rsid w:val="21156B08"/>
    <w:rsid w:val="2116462E"/>
    <w:rsid w:val="2134702C"/>
    <w:rsid w:val="21425423"/>
    <w:rsid w:val="21475700"/>
    <w:rsid w:val="214A32EA"/>
    <w:rsid w:val="215C0EF4"/>
    <w:rsid w:val="21611D4D"/>
    <w:rsid w:val="21622ADF"/>
    <w:rsid w:val="21643634"/>
    <w:rsid w:val="21676C37"/>
    <w:rsid w:val="217754EA"/>
    <w:rsid w:val="217C5344"/>
    <w:rsid w:val="219A3A21"/>
    <w:rsid w:val="219C4B33"/>
    <w:rsid w:val="21A25DD1"/>
    <w:rsid w:val="21A974B5"/>
    <w:rsid w:val="21AC3DB3"/>
    <w:rsid w:val="21B06830"/>
    <w:rsid w:val="21BE2CFB"/>
    <w:rsid w:val="21EF3B5B"/>
    <w:rsid w:val="22053E70"/>
    <w:rsid w:val="222F50AC"/>
    <w:rsid w:val="22383861"/>
    <w:rsid w:val="22506F91"/>
    <w:rsid w:val="22550F1D"/>
    <w:rsid w:val="225C582D"/>
    <w:rsid w:val="22623FCE"/>
    <w:rsid w:val="22696E8E"/>
    <w:rsid w:val="22970470"/>
    <w:rsid w:val="22974463"/>
    <w:rsid w:val="229B7D58"/>
    <w:rsid w:val="22B83305"/>
    <w:rsid w:val="22BE570A"/>
    <w:rsid w:val="22BF6927"/>
    <w:rsid w:val="22C31FE2"/>
    <w:rsid w:val="22D56B65"/>
    <w:rsid w:val="22E53212"/>
    <w:rsid w:val="22F4099F"/>
    <w:rsid w:val="22FF6143"/>
    <w:rsid w:val="231150AD"/>
    <w:rsid w:val="232B5C53"/>
    <w:rsid w:val="232F40CA"/>
    <w:rsid w:val="23305E7B"/>
    <w:rsid w:val="236B2A0F"/>
    <w:rsid w:val="237552BC"/>
    <w:rsid w:val="238307ED"/>
    <w:rsid w:val="238D51AE"/>
    <w:rsid w:val="23A128D5"/>
    <w:rsid w:val="23A16FB8"/>
    <w:rsid w:val="23A579AE"/>
    <w:rsid w:val="23DD70FB"/>
    <w:rsid w:val="23F4383B"/>
    <w:rsid w:val="23FA5EFD"/>
    <w:rsid w:val="2450741C"/>
    <w:rsid w:val="245A0030"/>
    <w:rsid w:val="24637B8A"/>
    <w:rsid w:val="24697B84"/>
    <w:rsid w:val="247104F9"/>
    <w:rsid w:val="24820617"/>
    <w:rsid w:val="248239D7"/>
    <w:rsid w:val="248D47ED"/>
    <w:rsid w:val="24983F9D"/>
    <w:rsid w:val="24A03477"/>
    <w:rsid w:val="24A73F1B"/>
    <w:rsid w:val="24AC5084"/>
    <w:rsid w:val="24B85831"/>
    <w:rsid w:val="24BE7AC3"/>
    <w:rsid w:val="24C51203"/>
    <w:rsid w:val="24CF2BFB"/>
    <w:rsid w:val="24D27253"/>
    <w:rsid w:val="24D6038A"/>
    <w:rsid w:val="24D701CE"/>
    <w:rsid w:val="24DF1648"/>
    <w:rsid w:val="24E231A5"/>
    <w:rsid w:val="24EA3BC4"/>
    <w:rsid w:val="24ED119F"/>
    <w:rsid w:val="25152F9B"/>
    <w:rsid w:val="251D41DD"/>
    <w:rsid w:val="25201F1F"/>
    <w:rsid w:val="25207829"/>
    <w:rsid w:val="25372380"/>
    <w:rsid w:val="254278B2"/>
    <w:rsid w:val="25441DB3"/>
    <w:rsid w:val="25456B4C"/>
    <w:rsid w:val="25483D97"/>
    <w:rsid w:val="25485BB9"/>
    <w:rsid w:val="254F10C5"/>
    <w:rsid w:val="255F66A1"/>
    <w:rsid w:val="2567514D"/>
    <w:rsid w:val="257D4C7B"/>
    <w:rsid w:val="257E3316"/>
    <w:rsid w:val="258A1146"/>
    <w:rsid w:val="258C14DD"/>
    <w:rsid w:val="258E70E1"/>
    <w:rsid w:val="25923FE8"/>
    <w:rsid w:val="25AD71A0"/>
    <w:rsid w:val="25B229B4"/>
    <w:rsid w:val="25B30FB2"/>
    <w:rsid w:val="25D845A8"/>
    <w:rsid w:val="25DE7267"/>
    <w:rsid w:val="25F10BEC"/>
    <w:rsid w:val="26013AFE"/>
    <w:rsid w:val="26091816"/>
    <w:rsid w:val="26357732"/>
    <w:rsid w:val="263B72BE"/>
    <w:rsid w:val="26512D24"/>
    <w:rsid w:val="2663162B"/>
    <w:rsid w:val="266428D8"/>
    <w:rsid w:val="26793695"/>
    <w:rsid w:val="26882595"/>
    <w:rsid w:val="26971D6D"/>
    <w:rsid w:val="26976211"/>
    <w:rsid w:val="26B26BA7"/>
    <w:rsid w:val="26BB11CB"/>
    <w:rsid w:val="26C81188"/>
    <w:rsid w:val="26D15241"/>
    <w:rsid w:val="26DE08B8"/>
    <w:rsid w:val="26F947D6"/>
    <w:rsid w:val="26FC48F3"/>
    <w:rsid w:val="27027B2E"/>
    <w:rsid w:val="27064377"/>
    <w:rsid w:val="270C275B"/>
    <w:rsid w:val="2720435B"/>
    <w:rsid w:val="274556D9"/>
    <w:rsid w:val="27455C6D"/>
    <w:rsid w:val="274669C7"/>
    <w:rsid w:val="277E784E"/>
    <w:rsid w:val="278422F1"/>
    <w:rsid w:val="278A128A"/>
    <w:rsid w:val="27A22530"/>
    <w:rsid w:val="27AE736E"/>
    <w:rsid w:val="27C2621D"/>
    <w:rsid w:val="27CE7C15"/>
    <w:rsid w:val="27D003F3"/>
    <w:rsid w:val="27D52B4D"/>
    <w:rsid w:val="27E77AE7"/>
    <w:rsid w:val="28342D55"/>
    <w:rsid w:val="28350662"/>
    <w:rsid w:val="283E4B96"/>
    <w:rsid w:val="28423E20"/>
    <w:rsid w:val="284D29FA"/>
    <w:rsid w:val="285476BF"/>
    <w:rsid w:val="286B525F"/>
    <w:rsid w:val="287E10DB"/>
    <w:rsid w:val="289775FC"/>
    <w:rsid w:val="289940FC"/>
    <w:rsid w:val="28AD5878"/>
    <w:rsid w:val="28B0085E"/>
    <w:rsid w:val="28B10564"/>
    <w:rsid w:val="28BE1833"/>
    <w:rsid w:val="28C3292C"/>
    <w:rsid w:val="28CA642A"/>
    <w:rsid w:val="28D1384B"/>
    <w:rsid w:val="28DD084F"/>
    <w:rsid w:val="28E173F5"/>
    <w:rsid w:val="28E343E1"/>
    <w:rsid w:val="28FA7984"/>
    <w:rsid w:val="28FC235B"/>
    <w:rsid w:val="290851A4"/>
    <w:rsid w:val="292A6196"/>
    <w:rsid w:val="29412D54"/>
    <w:rsid w:val="29423FA6"/>
    <w:rsid w:val="2945265C"/>
    <w:rsid w:val="29473E40"/>
    <w:rsid w:val="294B7965"/>
    <w:rsid w:val="29635957"/>
    <w:rsid w:val="29736AC1"/>
    <w:rsid w:val="297840D8"/>
    <w:rsid w:val="297939AC"/>
    <w:rsid w:val="29802F8C"/>
    <w:rsid w:val="29886B13"/>
    <w:rsid w:val="29946C17"/>
    <w:rsid w:val="29992750"/>
    <w:rsid w:val="29A758E8"/>
    <w:rsid w:val="29BA649E"/>
    <w:rsid w:val="29C273E5"/>
    <w:rsid w:val="29C4731D"/>
    <w:rsid w:val="29CC33AF"/>
    <w:rsid w:val="29E96D83"/>
    <w:rsid w:val="29F01EC0"/>
    <w:rsid w:val="29F51284"/>
    <w:rsid w:val="29F77B83"/>
    <w:rsid w:val="2A100353"/>
    <w:rsid w:val="2A1060BE"/>
    <w:rsid w:val="2A1A3180"/>
    <w:rsid w:val="2A1D0024"/>
    <w:rsid w:val="2A223F95"/>
    <w:rsid w:val="2A2B5331"/>
    <w:rsid w:val="2A3A7BF7"/>
    <w:rsid w:val="2A461AE0"/>
    <w:rsid w:val="2A4D10C0"/>
    <w:rsid w:val="2A515844"/>
    <w:rsid w:val="2A697EC4"/>
    <w:rsid w:val="2A6B5D58"/>
    <w:rsid w:val="2A7228D5"/>
    <w:rsid w:val="2A815AB4"/>
    <w:rsid w:val="2A906E7A"/>
    <w:rsid w:val="2A9860B3"/>
    <w:rsid w:val="2A9B2355"/>
    <w:rsid w:val="2ABC5A31"/>
    <w:rsid w:val="2ACB4670"/>
    <w:rsid w:val="2AD551E3"/>
    <w:rsid w:val="2AEF4C89"/>
    <w:rsid w:val="2AF3793F"/>
    <w:rsid w:val="2B25203D"/>
    <w:rsid w:val="2B253FAA"/>
    <w:rsid w:val="2B285689"/>
    <w:rsid w:val="2B287437"/>
    <w:rsid w:val="2B30030A"/>
    <w:rsid w:val="2B4324C3"/>
    <w:rsid w:val="2B515225"/>
    <w:rsid w:val="2B63006E"/>
    <w:rsid w:val="2B6F150A"/>
    <w:rsid w:val="2B802C2A"/>
    <w:rsid w:val="2B967D69"/>
    <w:rsid w:val="2B996587"/>
    <w:rsid w:val="2B9A48F8"/>
    <w:rsid w:val="2B9E4989"/>
    <w:rsid w:val="2BB1567F"/>
    <w:rsid w:val="2BBB474F"/>
    <w:rsid w:val="2BBF5FEE"/>
    <w:rsid w:val="2BCD5D19"/>
    <w:rsid w:val="2BD52ADB"/>
    <w:rsid w:val="2BDD1D57"/>
    <w:rsid w:val="2BE03BB0"/>
    <w:rsid w:val="2C05030B"/>
    <w:rsid w:val="2C1B0D4A"/>
    <w:rsid w:val="2C4013FF"/>
    <w:rsid w:val="2C48411F"/>
    <w:rsid w:val="2C493DE6"/>
    <w:rsid w:val="2C504E98"/>
    <w:rsid w:val="2C563A15"/>
    <w:rsid w:val="2C5D5807"/>
    <w:rsid w:val="2C6D57AC"/>
    <w:rsid w:val="2C730CBC"/>
    <w:rsid w:val="2C76634B"/>
    <w:rsid w:val="2C7F0500"/>
    <w:rsid w:val="2C8965FC"/>
    <w:rsid w:val="2C9244B5"/>
    <w:rsid w:val="2CBE7618"/>
    <w:rsid w:val="2CFC0B7C"/>
    <w:rsid w:val="2D251D21"/>
    <w:rsid w:val="2D300825"/>
    <w:rsid w:val="2D5947F1"/>
    <w:rsid w:val="2D6659A1"/>
    <w:rsid w:val="2D796670"/>
    <w:rsid w:val="2D7C1CBC"/>
    <w:rsid w:val="2D850B71"/>
    <w:rsid w:val="2D9C5EBB"/>
    <w:rsid w:val="2DAC7616"/>
    <w:rsid w:val="2DBB16CD"/>
    <w:rsid w:val="2DC324B1"/>
    <w:rsid w:val="2DC649D7"/>
    <w:rsid w:val="2DE10840"/>
    <w:rsid w:val="2DEA609B"/>
    <w:rsid w:val="2DF33D2D"/>
    <w:rsid w:val="2DF857E7"/>
    <w:rsid w:val="2DF9149C"/>
    <w:rsid w:val="2E144D76"/>
    <w:rsid w:val="2E147EAD"/>
    <w:rsid w:val="2E1F2E92"/>
    <w:rsid w:val="2E3507E9"/>
    <w:rsid w:val="2E3536B4"/>
    <w:rsid w:val="2E3A5DFF"/>
    <w:rsid w:val="2E6675EE"/>
    <w:rsid w:val="2E6B53DA"/>
    <w:rsid w:val="2EA70A98"/>
    <w:rsid w:val="2EAD5D9F"/>
    <w:rsid w:val="2EB931C8"/>
    <w:rsid w:val="2EDC0C65"/>
    <w:rsid w:val="2EF73CF0"/>
    <w:rsid w:val="2EF75A9F"/>
    <w:rsid w:val="2F005D69"/>
    <w:rsid w:val="2F1321E0"/>
    <w:rsid w:val="2F1D55F9"/>
    <w:rsid w:val="2F230642"/>
    <w:rsid w:val="2F251FB7"/>
    <w:rsid w:val="2F2A7C22"/>
    <w:rsid w:val="2F302D5E"/>
    <w:rsid w:val="2F320885"/>
    <w:rsid w:val="2F4405B8"/>
    <w:rsid w:val="2F601BF4"/>
    <w:rsid w:val="2F6C6E2A"/>
    <w:rsid w:val="2F704980"/>
    <w:rsid w:val="2F7B0CDB"/>
    <w:rsid w:val="2F8A09E3"/>
    <w:rsid w:val="2F921632"/>
    <w:rsid w:val="2F990904"/>
    <w:rsid w:val="2FA3670E"/>
    <w:rsid w:val="2FBA7F74"/>
    <w:rsid w:val="2FC936AE"/>
    <w:rsid w:val="2FD51C27"/>
    <w:rsid w:val="2FD9446B"/>
    <w:rsid w:val="2FDD4C9E"/>
    <w:rsid w:val="2FEA73B1"/>
    <w:rsid w:val="2FF22283"/>
    <w:rsid w:val="30033847"/>
    <w:rsid w:val="30076600"/>
    <w:rsid w:val="301A5EE8"/>
    <w:rsid w:val="301B79ED"/>
    <w:rsid w:val="30226F1A"/>
    <w:rsid w:val="30241E18"/>
    <w:rsid w:val="302D44A6"/>
    <w:rsid w:val="30357A05"/>
    <w:rsid w:val="30416F06"/>
    <w:rsid w:val="30444D13"/>
    <w:rsid w:val="304C7546"/>
    <w:rsid w:val="305331A8"/>
    <w:rsid w:val="30570F84"/>
    <w:rsid w:val="305B474A"/>
    <w:rsid w:val="30634262"/>
    <w:rsid w:val="306A31F5"/>
    <w:rsid w:val="307336DB"/>
    <w:rsid w:val="307D1FD3"/>
    <w:rsid w:val="30887819"/>
    <w:rsid w:val="308E5F8F"/>
    <w:rsid w:val="30903B2C"/>
    <w:rsid w:val="30915A7F"/>
    <w:rsid w:val="30977539"/>
    <w:rsid w:val="30F073BE"/>
    <w:rsid w:val="31014620"/>
    <w:rsid w:val="31152A96"/>
    <w:rsid w:val="311913D0"/>
    <w:rsid w:val="311F752F"/>
    <w:rsid w:val="31274C9C"/>
    <w:rsid w:val="31280191"/>
    <w:rsid w:val="31527E83"/>
    <w:rsid w:val="31627E88"/>
    <w:rsid w:val="3181717C"/>
    <w:rsid w:val="318863AE"/>
    <w:rsid w:val="31A33AA5"/>
    <w:rsid w:val="31A43C6E"/>
    <w:rsid w:val="31AC5DCB"/>
    <w:rsid w:val="31B61C41"/>
    <w:rsid w:val="31BB1E62"/>
    <w:rsid w:val="31CD488F"/>
    <w:rsid w:val="31D035B8"/>
    <w:rsid w:val="31D5284E"/>
    <w:rsid w:val="31DD6651"/>
    <w:rsid w:val="31E20997"/>
    <w:rsid w:val="31F2079F"/>
    <w:rsid w:val="31F75DB5"/>
    <w:rsid w:val="31FD674C"/>
    <w:rsid w:val="32101078"/>
    <w:rsid w:val="322A618B"/>
    <w:rsid w:val="324A1A3B"/>
    <w:rsid w:val="326A5F0A"/>
    <w:rsid w:val="32747E9F"/>
    <w:rsid w:val="328238D1"/>
    <w:rsid w:val="328362FF"/>
    <w:rsid w:val="328B0EC6"/>
    <w:rsid w:val="32DF2AD1"/>
    <w:rsid w:val="32E9201B"/>
    <w:rsid w:val="32EB46F7"/>
    <w:rsid w:val="32FE03C0"/>
    <w:rsid w:val="33027CBE"/>
    <w:rsid w:val="3326375B"/>
    <w:rsid w:val="33320ABE"/>
    <w:rsid w:val="334C7BCC"/>
    <w:rsid w:val="336755A3"/>
    <w:rsid w:val="33CB74FA"/>
    <w:rsid w:val="33D4015C"/>
    <w:rsid w:val="33DB54F7"/>
    <w:rsid w:val="33E764F4"/>
    <w:rsid w:val="33EB6EEF"/>
    <w:rsid w:val="33F36C8E"/>
    <w:rsid w:val="34071A3D"/>
    <w:rsid w:val="340A3FD4"/>
    <w:rsid w:val="34140EA1"/>
    <w:rsid w:val="342515D6"/>
    <w:rsid w:val="34474DD2"/>
    <w:rsid w:val="34524761"/>
    <w:rsid w:val="345B3646"/>
    <w:rsid w:val="34727975"/>
    <w:rsid w:val="34814008"/>
    <w:rsid w:val="34832F36"/>
    <w:rsid w:val="349513D7"/>
    <w:rsid w:val="349D0E96"/>
    <w:rsid w:val="34A044E2"/>
    <w:rsid w:val="34CE2D2C"/>
    <w:rsid w:val="34E11588"/>
    <w:rsid w:val="34E337A6"/>
    <w:rsid w:val="35013E95"/>
    <w:rsid w:val="35071D38"/>
    <w:rsid w:val="35295C01"/>
    <w:rsid w:val="352B4490"/>
    <w:rsid w:val="3530288A"/>
    <w:rsid w:val="353266A5"/>
    <w:rsid w:val="35336E0D"/>
    <w:rsid w:val="35350AD6"/>
    <w:rsid w:val="35415CC5"/>
    <w:rsid w:val="3551083B"/>
    <w:rsid w:val="356679A9"/>
    <w:rsid w:val="356D67CB"/>
    <w:rsid w:val="357C4F4F"/>
    <w:rsid w:val="357F23AC"/>
    <w:rsid w:val="35885D4F"/>
    <w:rsid w:val="358908DA"/>
    <w:rsid w:val="359834B1"/>
    <w:rsid w:val="35985A6C"/>
    <w:rsid w:val="35A26038"/>
    <w:rsid w:val="35AA386B"/>
    <w:rsid w:val="35AA6BE0"/>
    <w:rsid w:val="35B71C5A"/>
    <w:rsid w:val="35B82498"/>
    <w:rsid w:val="35B84BB3"/>
    <w:rsid w:val="35C0732F"/>
    <w:rsid w:val="35D24BBA"/>
    <w:rsid w:val="35EB405B"/>
    <w:rsid w:val="36064819"/>
    <w:rsid w:val="362479F7"/>
    <w:rsid w:val="362A64C1"/>
    <w:rsid w:val="363E2205"/>
    <w:rsid w:val="36417483"/>
    <w:rsid w:val="364429E7"/>
    <w:rsid w:val="36486981"/>
    <w:rsid w:val="36B67FED"/>
    <w:rsid w:val="36D05553"/>
    <w:rsid w:val="36D30B9F"/>
    <w:rsid w:val="36D66974"/>
    <w:rsid w:val="37013421"/>
    <w:rsid w:val="370D6FB9"/>
    <w:rsid w:val="371A0990"/>
    <w:rsid w:val="372E1735"/>
    <w:rsid w:val="3747333B"/>
    <w:rsid w:val="37482601"/>
    <w:rsid w:val="37492420"/>
    <w:rsid w:val="37545800"/>
    <w:rsid w:val="375A02D5"/>
    <w:rsid w:val="37641351"/>
    <w:rsid w:val="37AB3982"/>
    <w:rsid w:val="37AF6474"/>
    <w:rsid w:val="37B24C58"/>
    <w:rsid w:val="37BB6FB7"/>
    <w:rsid w:val="37BC5AD7"/>
    <w:rsid w:val="37BF1123"/>
    <w:rsid w:val="37CD55EE"/>
    <w:rsid w:val="37DF3574"/>
    <w:rsid w:val="37E22162"/>
    <w:rsid w:val="37E61436"/>
    <w:rsid w:val="38130F90"/>
    <w:rsid w:val="38135AA1"/>
    <w:rsid w:val="381551E7"/>
    <w:rsid w:val="381D4C13"/>
    <w:rsid w:val="38303DCF"/>
    <w:rsid w:val="38422301"/>
    <w:rsid w:val="384D4981"/>
    <w:rsid w:val="385E093C"/>
    <w:rsid w:val="387D18FB"/>
    <w:rsid w:val="388F3AA5"/>
    <w:rsid w:val="38A00F55"/>
    <w:rsid w:val="38B22B91"/>
    <w:rsid w:val="38C522BC"/>
    <w:rsid w:val="38D2461D"/>
    <w:rsid w:val="38E673B5"/>
    <w:rsid w:val="38EA0CC3"/>
    <w:rsid w:val="38EB0B78"/>
    <w:rsid w:val="38EE7FD5"/>
    <w:rsid w:val="38F66CB3"/>
    <w:rsid w:val="38F84544"/>
    <w:rsid w:val="38FD2A39"/>
    <w:rsid w:val="38FD673D"/>
    <w:rsid w:val="39070FD4"/>
    <w:rsid w:val="39380299"/>
    <w:rsid w:val="3951224F"/>
    <w:rsid w:val="39616936"/>
    <w:rsid w:val="3962534A"/>
    <w:rsid w:val="396D0930"/>
    <w:rsid w:val="397D3939"/>
    <w:rsid w:val="39833122"/>
    <w:rsid w:val="399D6892"/>
    <w:rsid w:val="39A20CFD"/>
    <w:rsid w:val="39A92D27"/>
    <w:rsid w:val="39B66903"/>
    <w:rsid w:val="39BA072A"/>
    <w:rsid w:val="39BD4239"/>
    <w:rsid w:val="39CC499F"/>
    <w:rsid w:val="39DB4726"/>
    <w:rsid w:val="39DE1D35"/>
    <w:rsid w:val="39F05568"/>
    <w:rsid w:val="39F266B1"/>
    <w:rsid w:val="39FC6E10"/>
    <w:rsid w:val="39FE7ADD"/>
    <w:rsid w:val="3A2D1153"/>
    <w:rsid w:val="3A3053DE"/>
    <w:rsid w:val="3A306308"/>
    <w:rsid w:val="3A371445"/>
    <w:rsid w:val="3A3F0FB4"/>
    <w:rsid w:val="3A4E200A"/>
    <w:rsid w:val="3A59463F"/>
    <w:rsid w:val="3A594803"/>
    <w:rsid w:val="3A674016"/>
    <w:rsid w:val="3A683CF4"/>
    <w:rsid w:val="3A702926"/>
    <w:rsid w:val="3A710AEA"/>
    <w:rsid w:val="3A916DA7"/>
    <w:rsid w:val="3A9B5EE8"/>
    <w:rsid w:val="3AA840F1"/>
    <w:rsid w:val="3AA9374B"/>
    <w:rsid w:val="3AC043AD"/>
    <w:rsid w:val="3AC147A5"/>
    <w:rsid w:val="3ADC4CE1"/>
    <w:rsid w:val="3AE0388B"/>
    <w:rsid w:val="3AFF0D6C"/>
    <w:rsid w:val="3B0773A0"/>
    <w:rsid w:val="3B0E18C4"/>
    <w:rsid w:val="3B105C2E"/>
    <w:rsid w:val="3B232512"/>
    <w:rsid w:val="3B263F17"/>
    <w:rsid w:val="3B293089"/>
    <w:rsid w:val="3B302256"/>
    <w:rsid w:val="3B337E5E"/>
    <w:rsid w:val="3B4C2CCE"/>
    <w:rsid w:val="3B602C1D"/>
    <w:rsid w:val="3B760C06"/>
    <w:rsid w:val="3B810D68"/>
    <w:rsid w:val="3B9545AB"/>
    <w:rsid w:val="3BAA1F2D"/>
    <w:rsid w:val="3BBA40DC"/>
    <w:rsid w:val="3BC10059"/>
    <w:rsid w:val="3BC57148"/>
    <w:rsid w:val="3BC82FAB"/>
    <w:rsid w:val="3BCB453B"/>
    <w:rsid w:val="3BCF36CD"/>
    <w:rsid w:val="3BD70B06"/>
    <w:rsid w:val="3BDC6748"/>
    <w:rsid w:val="3BE92304"/>
    <w:rsid w:val="3BFD3F4B"/>
    <w:rsid w:val="3C0C409C"/>
    <w:rsid w:val="3C0C41EC"/>
    <w:rsid w:val="3C1A74F1"/>
    <w:rsid w:val="3C2459F9"/>
    <w:rsid w:val="3C3A346E"/>
    <w:rsid w:val="3C3B6FA3"/>
    <w:rsid w:val="3C3C0057"/>
    <w:rsid w:val="3C610609"/>
    <w:rsid w:val="3C6F136A"/>
    <w:rsid w:val="3C781056"/>
    <w:rsid w:val="3C913AC4"/>
    <w:rsid w:val="3C963F1E"/>
    <w:rsid w:val="3C9A4EFD"/>
    <w:rsid w:val="3CAB0FD6"/>
    <w:rsid w:val="3CCC056A"/>
    <w:rsid w:val="3CE04D3A"/>
    <w:rsid w:val="3CED228F"/>
    <w:rsid w:val="3CF633F3"/>
    <w:rsid w:val="3CFC0724"/>
    <w:rsid w:val="3D001FC2"/>
    <w:rsid w:val="3D007216"/>
    <w:rsid w:val="3D023E31"/>
    <w:rsid w:val="3D17730C"/>
    <w:rsid w:val="3D197528"/>
    <w:rsid w:val="3D1B66CA"/>
    <w:rsid w:val="3D1D5019"/>
    <w:rsid w:val="3D22462E"/>
    <w:rsid w:val="3D2822CC"/>
    <w:rsid w:val="3D303357"/>
    <w:rsid w:val="3D323C74"/>
    <w:rsid w:val="3D391806"/>
    <w:rsid w:val="3D4225DB"/>
    <w:rsid w:val="3D4C38E3"/>
    <w:rsid w:val="3D712B88"/>
    <w:rsid w:val="3D777A42"/>
    <w:rsid w:val="3D79124A"/>
    <w:rsid w:val="3D7C2E95"/>
    <w:rsid w:val="3D8C78ED"/>
    <w:rsid w:val="3D9F3EC5"/>
    <w:rsid w:val="3DA22BCB"/>
    <w:rsid w:val="3DA30352"/>
    <w:rsid w:val="3DB37034"/>
    <w:rsid w:val="3DDF42CD"/>
    <w:rsid w:val="3DE356DF"/>
    <w:rsid w:val="3DEC2546"/>
    <w:rsid w:val="3DF37D79"/>
    <w:rsid w:val="3E067AAC"/>
    <w:rsid w:val="3E0757A8"/>
    <w:rsid w:val="3E0B3E22"/>
    <w:rsid w:val="3E107A74"/>
    <w:rsid w:val="3E23240C"/>
    <w:rsid w:val="3E25365D"/>
    <w:rsid w:val="3E2919ED"/>
    <w:rsid w:val="3E2E71BA"/>
    <w:rsid w:val="3E3100B1"/>
    <w:rsid w:val="3E366D73"/>
    <w:rsid w:val="3E3720A3"/>
    <w:rsid w:val="3E42660A"/>
    <w:rsid w:val="3E470371"/>
    <w:rsid w:val="3E481E73"/>
    <w:rsid w:val="3E573142"/>
    <w:rsid w:val="3E7403E1"/>
    <w:rsid w:val="3E772758"/>
    <w:rsid w:val="3E7A0380"/>
    <w:rsid w:val="3E7E24AE"/>
    <w:rsid w:val="3E7F19F3"/>
    <w:rsid w:val="3E815973"/>
    <w:rsid w:val="3E8E2BFE"/>
    <w:rsid w:val="3E9302B0"/>
    <w:rsid w:val="3E94687A"/>
    <w:rsid w:val="3E9D7A57"/>
    <w:rsid w:val="3EC74B44"/>
    <w:rsid w:val="3EC77AB5"/>
    <w:rsid w:val="3ECB79D6"/>
    <w:rsid w:val="3ECC23CB"/>
    <w:rsid w:val="3ED2798E"/>
    <w:rsid w:val="3EE644CE"/>
    <w:rsid w:val="3EEA7EDE"/>
    <w:rsid w:val="3EEB4CCB"/>
    <w:rsid w:val="3EF231DA"/>
    <w:rsid w:val="3F070C2A"/>
    <w:rsid w:val="3F1637A7"/>
    <w:rsid w:val="3F1E7077"/>
    <w:rsid w:val="3F1F4A7F"/>
    <w:rsid w:val="3F2355D5"/>
    <w:rsid w:val="3F3144A9"/>
    <w:rsid w:val="3F47212A"/>
    <w:rsid w:val="3F617A68"/>
    <w:rsid w:val="3F636838"/>
    <w:rsid w:val="3F7E3CE4"/>
    <w:rsid w:val="3FB54769"/>
    <w:rsid w:val="3FCF6CD5"/>
    <w:rsid w:val="3FE03829"/>
    <w:rsid w:val="3FE536F1"/>
    <w:rsid w:val="3FE756BB"/>
    <w:rsid w:val="3FF045A0"/>
    <w:rsid w:val="3FF37BBC"/>
    <w:rsid w:val="3FF44B03"/>
    <w:rsid w:val="3FF71960"/>
    <w:rsid w:val="40026549"/>
    <w:rsid w:val="401C35B7"/>
    <w:rsid w:val="401D2F8C"/>
    <w:rsid w:val="401E3034"/>
    <w:rsid w:val="402E5098"/>
    <w:rsid w:val="404653FF"/>
    <w:rsid w:val="40703903"/>
    <w:rsid w:val="40726129"/>
    <w:rsid w:val="40736F4F"/>
    <w:rsid w:val="40784565"/>
    <w:rsid w:val="409A44DC"/>
    <w:rsid w:val="409C0547"/>
    <w:rsid w:val="40A45A04"/>
    <w:rsid w:val="40AB565D"/>
    <w:rsid w:val="40D75730"/>
    <w:rsid w:val="40E368A3"/>
    <w:rsid w:val="40E439A9"/>
    <w:rsid w:val="40E631DD"/>
    <w:rsid w:val="4115223B"/>
    <w:rsid w:val="412414ED"/>
    <w:rsid w:val="41270465"/>
    <w:rsid w:val="41307A7B"/>
    <w:rsid w:val="413258C4"/>
    <w:rsid w:val="41354204"/>
    <w:rsid w:val="416224F3"/>
    <w:rsid w:val="41627D39"/>
    <w:rsid w:val="41705D10"/>
    <w:rsid w:val="41723AC0"/>
    <w:rsid w:val="418376A3"/>
    <w:rsid w:val="41891BC5"/>
    <w:rsid w:val="419A3953"/>
    <w:rsid w:val="41AF4E27"/>
    <w:rsid w:val="41B36463"/>
    <w:rsid w:val="41BD42ED"/>
    <w:rsid w:val="41C37A62"/>
    <w:rsid w:val="41C403A8"/>
    <w:rsid w:val="41CB3D94"/>
    <w:rsid w:val="41D852BC"/>
    <w:rsid w:val="41E16D96"/>
    <w:rsid w:val="42101E4A"/>
    <w:rsid w:val="42162288"/>
    <w:rsid w:val="4221631F"/>
    <w:rsid w:val="42382F80"/>
    <w:rsid w:val="423A4637"/>
    <w:rsid w:val="423D5A66"/>
    <w:rsid w:val="42405701"/>
    <w:rsid w:val="42446DF5"/>
    <w:rsid w:val="425B7CEE"/>
    <w:rsid w:val="42615727"/>
    <w:rsid w:val="426D1E2B"/>
    <w:rsid w:val="429B024B"/>
    <w:rsid w:val="429C06E0"/>
    <w:rsid w:val="42B45D29"/>
    <w:rsid w:val="42D31245"/>
    <w:rsid w:val="43030A5E"/>
    <w:rsid w:val="430B26E7"/>
    <w:rsid w:val="431467C7"/>
    <w:rsid w:val="431E77B5"/>
    <w:rsid w:val="43213671"/>
    <w:rsid w:val="43454952"/>
    <w:rsid w:val="438A0837"/>
    <w:rsid w:val="438D1DAF"/>
    <w:rsid w:val="43944D00"/>
    <w:rsid w:val="439D03E2"/>
    <w:rsid w:val="43AF029E"/>
    <w:rsid w:val="43B14697"/>
    <w:rsid w:val="43BD0C0D"/>
    <w:rsid w:val="43C72CAC"/>
    <w:rsid w:val="43D877F5"/>
    <w:rsid w:val="43F26F4B"/>
    <w:rsid w:val="43F343DC"/>
    <w:rsid w:val="43FD6347"/>
    <w:rsid w:val="440E14B4"/>
    <w:rsid w:val="441A0C25"/>
    <w:rsid w:val="44213356"/>
    <w:rsid w:val="44223166"/>
    <w:rsid w:val="442B3E7E"/>
    <w:rsid w:val="443E544F"/>
    <w:rsid w:val="4467662A"/>
    <w:rsid w:val="446C43E1"/>
    <w:rsid w:val="4476700E"/>
    <w:rsid w:val="44843FA1"/>
    <w:rsid w:val="44893BAC"/>
    <w:rsid w:val="448E1CDB"/>
    <w:rsid w:val="44923FD3"/>
    <w:rsid w:val="44932C28"/>
    <w:rsid w:val="449E4334"/>
    <w:rsid w:val="44B86745"/>
    <w:rsid w:val="44C13B24"/>
    <w:rsid w:val="44C557AB"/>
    <w:rsid w:val="44E3662F"/>
    <w:rsid w:val="44F577A2"/>
    <w:rsid w:val="45027F52"/>
    <w:rsid w:val="45062258"/>
    <w:rsid w:val="451E1B7F"/>
    <w:rsid w:val="452340CD"/>
    <w:rsid w:val="45276C90"/>
    <w:rsid w:val="452B0F7B"/>
    <w:rsid w:val="45356EC9"/>
    <w:rsid w:val="45372C41"/>
    <w:rsid w:val="45441EC4"/>
    <w:rsid w:val="455F19D3"/>
    <w:rsid w:val="45706D26"/>
    <w:rsid w:val="457B0D80"/>
    <w:rsid w:val="457B62C7"/>
    <w:rsid w:val="45833DF4"/>
    <w:rsid w:val="458A4B1F"/>
    <w:rsid w:val="45AA57B6"/>
    <w:rsid w:val="45C142B9"/>
    <w:rsid w:val="45EA01D2"/>
    <w:rsid w:val="45F11042"/>
    <w:rsid w:val="45FE1682"/>
    <w:rsid w:val="460D7F5B"/>
    <w:rsid w:val="4618037D"/>
    <w:rsid w:val="46242373"/>
    <w:rsid w:val="46316D88"/>
    <w:rsid w:val="4642068C"/>
    <w:rsid w:val="464A3A20"/>
    <w:rsid w:val="465869CB"/>
    <w:rsid w:val="466F31A5"/>
    <w:rsid w:val="467079F0"/>
    <w:rsid w:val="467C4DAF"/>
    <w:rsid w:val="467F118A"/>
    <w:rsid w:val="46956FF0"/>
    <w:rsid w:val="469903BB"/>
    <w:rsid w:val="469A4273"/>
    <w:rsid w:val="46A15647"/>
    <w:rsid w:val="46A240EA"/>
    <w:rsid w:val="46A579AA"/>
    <w:rsid w:val="46A63BDA"/>
    <w:rsid w:val="46A65769"/>
    <w:rsid w:val="46A77952"/>
    <w:rsid w:val="46B22D75"/>
    <w:rsid w:val="46C140A0"/>
    <w:rsid w:val="46CB04B0"/>
    <w:rsid w:val="46CF7A29"/>
    <w:rsid w:val="46FD07F9"/>
    <w:rsid w:val="471913A5"/>
    <w:rsid w:val="471F04D0"/>
    <w:rsid w:val="4721234A"/>
    <w:rsid w:val="47394A4E"/>
    <w:rsid w:val="474451A1"/>
    <w:rsid w:val="474B6530"/>
    <w:rsid w:val="47647746"/>
    <w:rsid w:val="476966EB"/>
    <w:rsid w:val="47897107"/>
    <w:rsid w:val="47940195"/>
    <w:rsid w:val="4799729B"/>
    <w:rsid w:val="479B4835"/>
    <w:rsid w:val="47A75F6D"/>
    <w:rsid w:val="47AA56F9"/>
    <w:rsid w:val="47C10EBF"/>
    <w:rsid w:val="47C443E5"/>
    <w:rsid w:val="47C85C0D"/>
    <w:rsid w:val="47D77DC3"/>
    <w:rsid w:val="47E36DC8"/>
    <w:rsid w:val="47E64A97"/>
    <w:rsid w:val="47E86111"/>
    <w:rsid w:val="47EA5D49"/>
    <w:rsid w:val="47ED436A"/>
    <w:rsid w:val="48021C3E"/>
    <w:rsid w:val="48142DC6"/>
    <w:rsid w:val="48174664"/>
    <w:rsid w:val="483D056E"/>
    <w:rsid w:val="484351B7"/>
    <w:rsid w:val="48592ECE"/>
    <w:rsid w:val="485B09F4"/>
    <w:rsid w:val="487A0048"/>
    <w:rsid w:val="487B5471"/>
    <w:rsid w:val="488C1EEE"/>
    <w:rsid w:val="48B14895"/>
    <w:rsid w:val="48BC5937"/>
    <w:rsid w:val="48CA1165"/>
    <w:rsid w:val="48D552E6"/>
    <w:rsid w:val="48DA51E9"/>
    <w:rsid w:val="48DE0077"/>
    <w:rsid w:val="48E7672C"/>
    <w:rsid w:val="48F23AA3"/>
    <w:rsid w:val="49015398"/>
    <w:rsid w:val="4907292A"/>
    <w:rsid w:val="49073D03"/>
    <w:rsid w:val="49177B50"/>
    <w:rsid w:val="49184C88"/>
    <w:rsid w:val="492139EC"/>
    <w:rsid w:val="492D1671"/>
    <w:rsid w:val="492F1BC7"/>
    <w:rsid w:val="493279A7"/>
    <w:rsid w:val="4948541D"/>
    <w:rsid w:val="497C6E74"/>
    <w:rsid w:val="49895688"/>
    <w:rsid w:val="499F2B63"/>
    <w:rsid w:val="49AB6822"/>
    <w:rsid w:val="49AF724A"/>
    <w:rsid w:val="49B06B1E"/>
    <w:rsid w:val="49B4618F"/>
    <w:rsid w:val="49C55EE5"/>
    <w:rsid w:val="49F44C5D"/>
    <w:rsid w:val="4A037596"/>
    <w:rsid w:val="4A0F1A96"/>
    <w:rsid w:val="4A192915"/>
    <w:rsid w:val="4A246FE7"/>
    <w:rsid w:val="4A2D016F"/>
    <w:rsid w:val="4A3630B8"/>
    <w:rsid w:val="4A3F16B8"/>
    <w:rsid w:val="4A4060F4"/>
    <w:rsid w:val="4A4861AE"/>
    <w:rsid w:val="4A540E2C"/>
    <w:rsid w:val="4A575B08"/>
    <w:rsid w:val="4A6E0EB3"/>
    <w:rsid w:val="4A7236CE"/>
    <w:rsid w:val="4A9871B1"/>
    <w:rsid w:val="4AA246B9"/>
    <w:rsid w:val="4AB26AE1"/>
    <w:rsid w:val="4AC30AA9"/>
    <w:rsid w:val="4AC62BC0"/>
    <w:rsid w:val="4ACB6B0E"/>
    <w:rsid w:val="4AD16B81"/>
    <w:rsid w:val="4ADD7DE7"/>
    <w:rsid w:val="4AE34BE1"/>
    <w:rsid w:val="4B092567"/>
    <w:rsid w:val="4B0C247A"/>
    <w:rsid w:val="4B2368B7"/>
    <w:rsid w:val="4B375A36"/>
    <w:rsid w:val="4B375BFB"/>
    <w:rsid w:val="4B38326F"/>
    <w:rsid w:val="4B3C4356"/>
    <w:rsid w:val="4B3E2804"/>
    <w:rsid w:val="4B4B5AE0"/>
    <w:rsid w:val="4B4B7D51"/>
    <w:rsid w:val="4B5300A9"/>
    <w:rsid w:val="4B6B563B"/>
    <w:rsid w:val="4B835265"/>
    <w:rsid w:val="4B9510C4"/>
    <w:rsid w:val="4BA076A5"/>
    <w:rsid w:val="4BAD4909"/>
    <w:rsid w:val="4BBB217F"/>
    <w:rsid w:val="4BEE4235"/>
    <w:rsid w:val="4BF002D9"/>
    <w:rsid w:val="4BF713D8"/>
    <w:rsid w:val="4BFC25A9"/>
    <w:rsid w:val="4C01087A"/>
    <w:rsid w:val="4C0B44E0"/>
    <w:rsid w:val="4C1079C5"/>
    <w:rsid w:val="4C137DAC"/>
    <w:rsid w:val="4C180A8B"/>
    <w:rsid w:val="4C2C2250"/>
    <w:rsid w:val="4C2E4455"/>
    <w:rsid w:val="4C406229"/>
    <w:rsid w:val="4C4334E7"/>
    <w:rsid w:val="4C4E23F3"/>
    <w:rsid w:val="4C5239C9"/>
    <w:rsid w:val="4C57015C"/>
    <w:rsid w:val="4C5756A1"/>
    <w:rsid w:val="4C5B5467"/>
    <w:rsid w:val="4C5D6A3D"/>
    <w:rsid w:val="4C5E0AB3"/>
    <w:rsid w:val="4C5E4611"/>
    <w:rsid w:val="4C6205A3"/>
    <w:rsid w:val="4C632FE9"/>
    <w:rsid w:val="4C6D441A"/>
    <w:rsid w:val="4C6F10C0"/>
    <w:rsid w:val="4C9460B0"/>
    <w:rsid w:val="4C994081"/>
    <w:rsid w:val="4C9B1D07"/>
    <w:rsid w:val="4CAF7775"/>
    <w:rsid w:val="4CB16E35"/>
    <w:rsid w:val="4CC11F92"/>
    <w:rsid w:val="4CC34DBA"/>
    <w:rsid w:val="4CD42B5F"/>
    <w:rsid w:val="4CF805A8"/>
    <w:rsid w:val="4D0A42AD"/>
    <w:rsid w:val="4D3161C8"/>
    <w:rsid w:val="4D344F87"/>
    <w:rsid w:val="4D3543E6"/>
    <w:rsid w:val="4D36558C"/>
    <w:rsid w:val="4D3C663D"/>
    <w:rsid w:val="4D3F08E5"/>
    <w:rsid w:val="4D4431DF"/>
    <w:rsid w:val="4D493511"/>
    <w:rsid w:val="4D5368C5"/>
    <w:rsid w:val="4D6A770A"/>
    <w:rsid w:val="4D6B1E54"/>
    <w:rsid w:val="4D737A85"/>
    <w:rsid w:val="4D806B73"/>
    <w:rsid w:val="4D84279B"/>
    <w:rsid w:val="4D90514D"/>
    <w:rsid w:val="4D9549A9"/>
    <w:rsid w:val="4D9C26D4"/>
    <w:rsid w:val="4D9F19CF"/>
    <w:rsid w:val="4DA51DA5"/>
    <w:rsid w:val="4DAB7D28"/>
    <w:rsid w:val="4DC322E3"/>
    <w:rsid w:val="4DCA144C"/>
    <w:rsid w:val="4DDC2E25"/>
    <w:rsid w:val="4DF15EB4"/>
    <w:rsid w:val="4DF6774E"/>
    <w:rsid w:val="4DF72F6D"/>
    <w:rsid w:val="4DF93D30"/>
    <w:rsid w:val="4DFD08B2"/>
    <w:rsid w:val="4E0B5BA1"/>
    <w:rsid w:val="4E127980"/>
    <w:rsid w:val="4E162EFC"/>
    <w:rsid w:val="4E232750"/>
    <w:rsid w:val="4E310849"/>
    <w:rsid w:val="4E446514"/>
    <w:rsid w:val="4E465233"/>
    <w:rsid w:val="4E4B7DE5"/>
    <w:rsid w:val="4E577EB0"/>
    <w:rsid w:val="4E5C1022"/>
    <w:rsid w:val="4E685C19"/>
    <w:rsid w:val="4E697FB9"/>
    <w:rsid w:val="4E86609F"/>
    <w:rsid w:val="4E9B0ABA"/>
    <w:rsid w:val="4EA1500B"/>
    <w:rsid w:val="4EA22473"/>
    <w:rsid w:val="4EB470B0"/>
    <w:rsid w:val="4EC44A71"/>
    <w:rsid w:val="4ED141EC"/>
    <w:rsid w:val="4ED21919"/>
    <w:rsid w:val="4EDE5EDB"/>
    <w:rsid w:val="4EEA1AE2"/>
    <w:rsid w:val="4EF462BB"/>
    <w:rsid w:val="4EF51652"/>
    <w:rsid w:val="4EFB6A8D"/>
    <w:rsid w:val="4EFB714D"/>
    <w:rsid w:val="4F2573C9"/>
    <w:rsid w:val="4F2C4E99"/>
    <w:rsid w:val="4F463B52"/>
    <w:rsid w:val="4F561F16"/>
    <w:rsid w:val="4F5A6A5D"/>
    <w:rsid w:val="4F6424A8"/>
    <w:rsid w:val="4F6B314A"/>
    <w:rsid w:val="4F764366"/>
    <w:rsid w:val="4F7B5396"/>
    <w:rsid w:val="4F7D23C8"/>
    <w:rsid w:val="4F9547EC"/>
    <w:rsid w:val="4F9A44F8"/>
    <w:rsid w:val="4F9E2F1E"/>
    <w:rsid w:val="4FA06C00"/>
    <w:rsid w:val="4FA2071B"/>
    <w:rsid w:val="4FA65611"/>
    <w:rsid w:val="4FBB2829"/>
    <w:rsid w:val="4FBD1B21"/>
    <w:rsid w:val="4FC13B86"/>
    <w:rsid w:val="4FF1171E"/>
    <w:rsid w:val="4FF54646"/>
    <w:rsid w:val="500373A2"/>
    <w:rsid w:val="500A5F84"/>
    <w:rsid w:val="50173D1C"/>
    <w:rsid w:val="502B6EFE"/>
    <w:rsid w:val="502C6AEA"/>
    <w:rsid w:val="50306C0B"/>
    <w:rsid w:val="503727B1"/>
    <w:rsid w:val="5037387C"/>
    <w:rsid w:val="505446A7"/>
    <w:rsid w:val="505C17AE"/>
    <w:rsid w:val="506A6A8B"/>
    <w:rsid w:val="506F14E1"/>
    <w:rsid w:val="5076676F"/>
    <w:rsid w:val="507D6642"/>
    <w:rsid w:val="5088543E"/>
    <w:rsid w:val="509251CF"/>
    <w:rsid w:val="50957E83"/>
    <w:rsid w:val="50C03AEB"/>
    <w:rsid w:val="50C23D07"/>
    <w:rsid w:val="50C730CB"/>
    <w:rsid w:val="50CE1413"/>
    <w:rsid w:val="50E772C9"/>
    <w:rsid w:val="50F33180"/>
    <w:rsid w:val="50F546A4"/>
    <w:rsid w:val="51051E45"/>
    <w:rsid w:val="511356C3"/>
    <w:rsid w:val="51136310"/>
    <w:rsid w:val="51152608"/>
    <w:rsid w:val="511B6C82"/>
    <w:rsid w:val="512A4406"/>
    <w:rsid w:val="51321A00"/>
    <w:rsid w:val="51382AAC"/>
    <w:rsid w:val="5139389D"/>
    <w:rsid w:val="51447AB2"/>
    <w:rsid w:val="51457DEE"/>
    <w:rsid w:val="51500CB0"/>
    <w:rsid w:val="51542485"/>
    <w:rsid w:val="51592273"/>
    <w:rsid w:val="515C7D4A"/>
    <w:rsid w:val="515D07C5"/>
    <w:rsid w:val="515E6BFD"/>
    <w:rsid w:val="515F7488"/>
    <w:rsid w:val="516E1798"/>
    <w:rsid w:val="517F7502"/>
    <w:rsid w:val="518A0161"/>
    <w:rsid w:val="51921A53"/>
    <w:rsid w:val="519D207E"/>
    <w:rsid w:val="51AE084C"/>
    <w:rsid w:val="51AE7DE7"/>
    <w:rsid w:val="51B545D5"/>
    <w:rsid w:val="51C413B8"/>
    <w:rsid w:val="51DB1B2A"/>
    <w:rsid w:val="51E44820"/>
    <w:rsid w:val="51E470AB"/>
    <w:rsid w:val="51F85506"/>
    <w:rsid w:val="51FA127E"/>
    <w:rsid w:val="52011405"/>
    <w:rsid w:val="520E2E26"/>
    <w:rsid w:val="52214A5D"/>
    <w:rsid w:val="522307D5"/>
    <w:rsid w:val="523A62C1"/>
    <w:rsid w:val="52407BEE"/>
    <w:rsid w:val="52413940"/>
    <w:rsid w:val="52455AC6"/>
    <w:rsid w:val="5250126C"/>
    <w:rsid w:val="525D7402"/>
    <w:rsid w:val="52666914"/>
    <w:rsid w:val="52735E42"/>
    <w:rsid w:val="52751351"/>
    <w:rsid w:val="52940ADB"/>
    <w:rsid w:val="52A02093"/>
    <w:rsid w:val="52A3244C"/>
    <w:rsid w:val="52AD009F"/>
    <w:rsid w:val="52AD38A6"/>
    <w:rsid w:val="52B50373"/>
    <w:rsid w:val="52B6146D"/>
    <w:rsid w:val="52C31EA4"/>
    <w:rsid w:val="52C47063"/>
    <w:rsid w:val="52CE01EA"/>
    <w:rsid w:val="52D23D78"/>
    <w:rsid w:val="530443EF"/>
    <w:rsid w:val="53056EF7"/>
    <w:rsid w:val="530869F0"/>
    <w:rsid w:val="532112AE"/>
    <w:rsid w:val="53327239"/>
    <w:rsid w:val="533802B0"/>
    <w:rsid w:val="533B35B3"/>
    <w:rsid w:val="53442D6F"/>
    <w:rsid w:val="534A7FE3"/>
    <w:rsid w:val="53542C10"/>
    <w:rsid w:val="535D7DC7"/>
    <w:rsid w:val="53637674"/>
    <w:rsid w:val="53863019"/>
    <w:rsid w:val="539C3A9B"/>
    <w:rsid w:val="53C946C6"/>
    <w:rsid w:val="53CE29C2"/>
    <w:rsid w:val="53CE66E9"/>
    <w:rsid w:val="53CE6C4F"/>
    <w:rsid w:val="53D0673A"/>
    <w:rsid w:val="53D52D14"/>
    <w:rsid w:val="53D63625"/>
    <w:rsid w:val="53F31165"/>
    <w:rsid w:val="53F96373"/>
    <w:rsid w:val="542854B1"/>
    <w:rsid w:val="54286227"/>
    <w:rsid w:val="542E3461"/>
    <w:rsid w:val="54426862"/>
    <w:rsid w:val="5451304A"/>
    <w:rsid w:val="5454111A"/>
    <w:rsid w:val="54574766"/>
    <w:rsid w:val="54624EB9"/>
    <w:rsid w:val="546E385E"/>
    <w:rsid w:val="54774E08"/>
    <w:rsid w:val="547B405D"/>
    <w:rsid w:val="54A53299"/>
    <w:rsid w:val="54AD0549"/>
    <w:rsid w:val="54AE492C"/>
    <w:rsid w:val="54B903CE"/>
    <w:rsid w:val="54CF254E"/>
    <w:rsid w:val="54CF3934"/>
    <w:rsid w:val="54D933CD"/>
    <w:rsid w:val="54EB7A44"/>
    <w:rsid w:val="54F22BCE"/>
    <w:rsid w:val="54F9581D"/>
    <w:rsid w:val="55024449"/>
    <w:rsid w:val="551417DF"/>
    <w:rsid w:val="551D0661"/>
    <w:rsid w:val="55215DAD"/>
    <w:rsid w:val="55225D6D"/>
    <w:rsid w:val="5536095F"/>
    <w:rsid w:val="553B0F89"/>
    <w:rsid w:val="55496F40"/>
    <w:rsid w:val="5558165E"/>
    <w:rsid w:val="55767EF4"/>
    <w:rsid w:val="558E2409"/>
    <w:rsid w:val="559D264C"/>
    <w:rsid w:val="55A42E38"/>
    <w:rsid w:val="55A90FF1"/>
    <w:rsid w:val="55C65450"/>
    <w:rsid w:val="55D52E48"/>
    <w:rsid w:val="55E95534"/>
    <w:rsid w:val="5601177E"/>
    <w:rsid w:val="560426CB"/>
    <w:rsid w:val="56107A43"/>
    <w:rsid w:val="56163D64"/>
    <w:rsid w:val="561B62CF"/>
    <w:rsid w:val="56246CE9"/>
    <w:rsid w:val="56314319"/>
    <w:rsid w:val="56503552"/>
    <w:rsid w:val="565A6A00"/>
    <w:rsid w:val="566B62A7"/>
    <w:rsid w:val="56741B35"/>
    <w:rsid w:val="567710EF"/>
    <w:rsid w:val="568E358B"/>
    <w:rsid w:val="568F6454"/>
    <w:rsid w:val="56A60FEC"/>
    <w:rsid w:val="56AB6FEB"/>
    <w:rsid w:val="56B75990"/>
    <w:rsid w:val="56B91708"/>
    <w:rsid w:val="56BB18B4"/>
    <w:rsid w:val="56BD5F31"/>
    <w:rsid w:val="56E07420"/>
    <w:rsid w:val="56E40BB6"/>
    <w:rsid w:val="56E56467"/>
    <w:rsid w:val="56EE6ECE"/>
    <w:rsid w:val="56F02C50"/>
    <w:rsid w:val="56F1208A"/>
    <w:rsid w:val="56FD7DED"/>
    <w:rsid w:val="57074A6E"/>
    <w:rsid w:val="570C5CDB"/>
    <w:rsid w:val="571E5A0F"/>
    <w:rsid w:val="573A14F0"/>
    <w:rsid w:val="573A3ECB"/>
    <w:rsid w:val="573B6464"/>
    <w:rsid w:val="57594B6B"/>
    <w:rsid w:val="576645CF"/>
    <w:rsid w:val="576F1DC6"/>
    <w:rsid w:val="5780017C"/>
    <w:rsid w:val="579E5E58"/>
    <w:rsid w:val="57A10A0D"/>
    <w:rsid w:val="57B625F0"/>
    <w:rsid w:val="57C272D1"/>
    <w:rsid w:val="57EF343C"/>
    <w:rsid w:val="58007CE8"/>
    <w:rsid w:val="58042C0C"/>
    <w:rsid w:val="581059E1"/>
    <w:rsid w:val="58117322"/>
    <w:rsid w:val="5826332C"/>
    <w:rsid w:val="582A31B4"/>
    <w:rsid w:val="583057F3"/>
    <w:rsid w:val="58355EB2"/>
    <w:rsid w:val="583A2B66"/>
    <w:rsid w:val="583C7BD4"/>
    <w:rsid w:val="584363C9"/>
    <w:rsid w:val="58456754"/>
    <w:rsid w:val="5850568B"/>
    <w:rsid w:val="58583055"/>
    <w:rsid w:val="585F4676"/>
    <w:rsid w:val="58613E05"/>
    <w:rsid w:val="586C6806"/>
    <w:rsid w:val="588210B0"/>
    <w:rsid w:val="588E18B4"/>
    <w:rsid w:val="58AB64CC"/>
    <w:rsid w:val="58AE4B70"/>
    <w:rsid w:val="58C16652"/>
    <w:rsid w:val="58D0320C"/>
    <w:rsid w:val="58DF0FDC"/>
    <w:rsid w:val="58FC3B2E"/>
    <w:rsid w:val="59012EF2"/>
    <w:rsid w:val="59042B8F"/>
    <w:rsid w:val="59091DA7"/>
    <w:rsid w:val="590A6F7C"/>
    <w:rsid w:val="59275DC1"/>
    <w:rsid w:val="592836CB"/>
    <w:rsid w:val="593326F7"/>
    <w:rsid w:val="594661BA"/>
    <w:rsid w:val="594B0611"/>
    <w:rsid w:val="59504EF3"/>
    <w:rsid w:val="596A5C75"/>
    <w:rsid w:val="596F4300"/>
    <w:rsid w:val="59741916"/>
    <w:rsid w:val="599E6993"/>
    <w:rsid w:val="59A815FE"/>
    <w:rsid w:val="59F111B9"/>
    <w:rsid w:val="5A0E630B"/>
    <w:rsid w:val="5A1E47AC"/>
    <w:rsid w:val="5A262AF2"/>
    <w:rsid w:val="5A650349"/>
    <w:rsid w:val="5A661BB0"/>
    <w:rsid w:val="5A706317"/>
    <w:rsid w:val="5A715E56"/>
    <w:rsid w:val="5ABF3451"/>
    <w:rsid w:val="5AC10B8B"/>
    <w:rsid w:val="5ACE772C"/>
    <w:rsid w:val="5AD36B10"/>
    <w:rsid w:val="5AD54636"/>
    <w:rsid w:val="5AD675DD"/>
    <w:rsid w:val="5AD84A7E"/>
    <w:rsid w:val="5AE33BC8"/>
    <w:rsid w:val="5AE57637"/>
    <w:rsid w:val="5AE72B04"/>
    <w:rsid w:val="5AEA5244"/>
    <w:rsid w:val="5AEC45D6"/>
    <w:rsid w:val="5AF727FF"/>
    <w:rsid w:val="5B0171D9"/>
    <w:rsid w:val="5B150CF9"/>
    <w:rsid w:val="5B1B63EB"/>
    <w:rsid w:val="5B265B10"/>
    <w:rsid w:val="5B377EB4"/>
    <w:rsid w:val="5B381344"/>
    <w:rsid w:val="5B4A6DD2"/>
    <w:rsid w:val="5B50604C"/>
    <w:rsid w:val="5B7913D3"/>
    <w:rsid w:val="5B871DD5"/>
    <w:rsid w:val="5B8C2BD0"/>
    <w:rsid w:val="5B8D0DDC"/>
    <w:rsid w:val="5B9147DC"/>
    <w:rsid w:val="5B925E08"/>
    <w:rsid w:val="5B951068"/>
    <w:rsid w:val="5B997251"/>
    <w:rsid w:val="5BA40AAB"/>
    <w:rsid w:val="5BCD177D"/>
    <w:rsid w:val="5BD37ACD"/>
    <w:rsid w:val="5BD668B8"/>
    <w:rsid w:val="5BD81C6B"/>
    <w:rsid w:val="5BFB483B"/>
    <w:rsid w:val="5C222FA9"/>
    <w:rsid w:val="5C241EBE"/>
    <w:rsid w:val="5C2E1802"/>
    <w:rsid w:val="5C3B671B"/>
    <w:rsid w:val="5C4F21C6"/>
    <w:rsid w:val="5C5D48E3"/>
    <w:rsid w:val="5C6A684D"/>
    <w:rsid w:val="5C6A7000"/>
    <w:rsid w:val="5C8833E1"/>
    <w:rsid w:val="5C950521"/>
    <w:rsid w:val="5CBD05EB"/>
    <w:rsid w:val="5CCE57E1"/>
    <w:rsid w:val="5CD342F7"/>
    <w:rsid w:val="5CDA3BBB"/>
    <w:rsid w:val="5D02776D"/>
    <w:rsid w:val="5D186461"/>
    <w:rsid w:val="5D3F4A3A"/>
    <w:rsid w:val="5D477F26"/>
    <w:rsid w:val="5D645228"/>
    <w:rsid w:val="5D705C01"/>
    <w:rsid w:val="5D90558D"/>
    <w:rsid w:val="5DAD36A2"/>
    <w:rsid w:val="5DB41FDD"/>
    <w:rsid w:val="5DD32106"/>
    <w:rsid w:val="5E0027C9"/>
    <w:rsid w:val="5E0170BB"/>
    <w:rsid w:val="5E056FE1"/>
    <w:rsid w:val="5E164CF0"/>
    <w:rsid w:val="5E167124"/>
    <w:rsid w:val="5E222521"/>
    <w:rsid w:val="5E4044BD"/>
    <w:rsid w:val="5E4C36FB"/>
    <w:rsid w:val="5E5D506F"/>
    <w:rsid w:val="5E666035"/>
    <w:rsid w:val="5E764C6B"/>
    <w:rsid w:val="5E7B72A3"/>
    <w:rsid w:val="5E7E05A8"/>
    <w:rsid w:val="5E7F023D"/>
    <w:rsid w:val="5E980438"/>
    <w:rsid w:val="5EBA5033"/>
    <w:rsid w:val="5EBA651B"/>
    <w:rsid w:val="5EC76A1D"/>
    <w:rsid w:val="5ECB7E0E"/>
    <w:rsid w:val="5ED12060"/>
    <w:rsid w:val="5EDB5F93"/>
    <w:rsid w:val="5EE272D4"/>
    <w:rsid w:val="5EF57055"/>
    <w:rsid w:val="5F1F0576"/>
    <w:rsid w:val="5F221E14"/>
    <w:rsid w:val="5F2B0CC9"/>
    <w:rsid w:val="5F3F0A74"/>
    <w:rsid w:val="5F4C16AB"/>
    <w:rsid w:val="5F4C495A"/>
    <w:rsid w:val="5F5244A8"/>
    <w:rsid w:val="5F5A15AE"/>
    <w:rsid w:val="5F8F74AA"/>
    <w:rsid w:val="5FAA5C20"/>
    <w:rsid w:val="5FB62353"/>
    <w:rsid w:val="5FBC4443"/>
    <w:rsid w:val="5FDD3C1B"/>
    <w:rsid w:val="5FE65A32"/>
    <w:rsid w:val="5FEB0458"/>
    <w:rsid w:val="60223D4B"/>
    <w:rsid w:val="604162CA"/>
    <w:rsid w:val="60563B24"/>
    <w:rsid w:val="606F51E4"/>
    <w:rsid w:val="60765F74"/>
    <w:rsid w:val="60A15925"/>
    <w:rsid w:val="60B054C7"/>
    <w:rsid w:val="60B62814"/>
    <w:rsid w:val="60C41052"/>
    <w:rsid w:val="60D41DC6"/>
    <w:rsid w:val="60D72E93"/>
    <w:rsid w:val="60DB5B55"/>
    <w:rsid w:val="60DD3A26"/>
    <w:rsid w:val="60E44B7C"/>
    <w:rsid w:val="60F03F78"/>
    <w:rsid w:val="61007F33"/>
    <w:rsid w:val="61096DE8"/>
    <w:rsid w:val="61167757"/>
    <w:rsid w:val="6124795C"/>
    <w:rsid w:val="61251748"/>
    <w:rsid w:val="6143564F"/>
    <w:rsid w:val="61451D7A"/>
    <w:rsid w:val="614B5652"/>
    <w:rsid w:val="61565DA5"/>
    <w:rsid w:val="615D7134"/>
    <w:rsid w:val="616E30EF"/>
    <w:rsid w:val="616F3EC5"/>
    <w:rsid w:val="617050B9"/>
    <w:rsid w:val="617D1402"/>
    <w:rsid w:val="618042CE"/>
    <w:rsid w:val="61860438"/>
    <w:rsid w:val="618D487D"/>
    <w:rsid w:val="61AB32F6"/>
    <w:rsid w:val="61D415F5"/>
    <w:rsid w:val="61D57FB3"/>
    <w:rsid w:val="61D919F4"/>
    <w:rsid w:val="61E15FB7"/>
    <w:rsid w:val="61E75488"/>
    <w:rsid w:val="61E84C4F"/>
    <w:rsid w:val="61EC7732"/>
    <w:rsid w:val="61F168F6"/>
    <w:rsid w:val="61F336BF"/>
    <w:rsid w:val="61FC67F1"/>
    <w:rsid w:val="620360F1"/>
    <w:rsid w:val="62125ECD"/>
    <w:rsid w:val="62203887"/>
    <w:rsid w:val="62283DAA"/>
    <w:rsid w:val="62396A29"/>
    <w:rsid w:val="62423303"/>
    <w:rsid w:val="624C4474"/>
    <w:rsid w:val="624D53FA"/>
    <w:rsid w:val="6252656D"/>
    <w:rsid w:val="62551119"/>
    <w:rsid w:val="625B18C7"/>
    <w:rsid w:val="626603EC"/>
    <w:rsid w:val="626E75DA"/>
    <w:rsid w:val="62816E52"/>
    <w:rsid w:val="62943029"/>
    <w:rsid w:val="62AD7971"/>
    <w:rsid w:val="62B4682F"/>
    <w:rsid w:val="62D653F0"/>
    <w:rsid w:val="62E51522"/>
    <w:rsid w:val="62E85349"/>
    <w:rsid w:val="63052F68"/>
    <w:rsid w:val="630C0E11"/>
    <w:rsid w:val="631A52DC"/>
    <w:rsid w:val="631C57E4"/>
    <w:rsid w:val="633B16F7"/>
    <w:rsid w:val="634A0158"/>
    <w:rsid w:val="635710DF"/>
    <w:rsid w:val="635F53E5"/>
    <w:rsid w:val="63826163"/>
    <w:rsid w:val="639E646A"/>
    <w:rsid w:val="63A16FB5"/>
    <w:rsid w:val="63B03E93"/>
    <w:rsid w:val="63C3697B"/>
    <w:rsid w:val="63C87EA8"/>
    <w:rsid w:val="63D9068C"/>
    <w:rsid w:val="63F0603D"/>
    <w:rsid w:val="63F66552"/>
    <w:rsid w:val="64135693"/>
    <w:rsid w:val="64287B33"/>
    <w:rsid w:val="642B52C7"/>
    <w:rsid w:val="642C2CD5"/>
    <w:rsid w:val="642D7FCF"/>
    <w:rsid w:val="6437382B"/>
    <w:rsid w:val="645D0112"/>
    <w:rsid w:val="646162DC"/>
    <w:rsid w:val="6464424D"/>
    <w:rsid w:val="64680404"/>
    <w:rsid w:val="64682737"/>
    <w:rsid w:val="647E189B"/>
    <w:rsid w:val="648844C8"/>
    <w:rsid w:val="648B2E81"/>
    <w:rsid w:val="64A724F2"/>
    <w:rsid w:val="64AD2D40"/>
    <w:rsid w:val="64AF70DF"/>
    <w:rsid w:val="64C16CD5"/>
    <w:rsid w:val="64C319A4"/>
    <w:rsid w:val="64D4770D"/>
    <w:rsid w:val="64D96859"/>
    <w:rsid w:val="64E2007C"/>
    <w:rsid w:val="64E469EE"/>
    <w:rsid w:val="64EF7D31"/>
    <w:rsid w:val="64F63B27"/>
    <w:rsid w:val="65167D25"/>
    <w:rsid w:val="65202402"/>
    <w:rsid w:val="655559FF"/>
    <w:rsid w:val="655E6422"/>
    <w:rsid w:val="656C3E87"/>
    <w:rsid w:val="657131AE"/>
    <w:rsid w:val="65720197"/>
    <w:rsid w:val="65735178"/>
    <w:rsid w:val="657C3067"/>
    <w:rsid w:val="658904F7"/>
    <w:rsid w:val="658D4E98"/>
    <w:rsid w:val="659A2793"/>
    <w:rsid w:val="659F4066"/>
    <w:rsid w:val="65A67B41"/>
    <w:rsid w:val="65AD56FF"/>
    <w:rsid w:val="65B37C6A"/>
    <w:rsid w:val="65B448F1"/>
    <w:rsid w:val="65BD2897"/>
    <w:rsid w:val="65C27403"/>
    <w:rsid w:val="65C36407"/>
    <w:rsid w:val="65CC4888"/>
    <w:rsid w:val="65F239DF"/>
    <w:rsid w:val="65F55B8D"/>
    <w:rsid w:val="65F77B57"/>
    <w:rsid w:val="66064875"/>
    <w:rsid w:val="661204ED"/>
    <w:rsid w:val="66246472"/>
    <w:rsid w:val="6625728C"/>
    <w:rsid w:val="662B7800"/>
    <w:rsid w:val="66396032"/>
    <w:rsid w:val="6652252B"/>
    <w:rsid w:val="665E1984"/>
    <w:rsid w:val="66682803"/>
    <w:rsid w:val="66771D72"/>
    <w:rsid w:val="667A603D"/>
    <w:rsid w:val="6695111E"/>
    <w:rsid w:val="669C425A"/>
    <w:rsid w:val="66B51E22"/>
    <w:rsid w:val="66BA652F"/>
    <w:rsid w:val="66DF2B10"/>
    <w:rsid w:val="66F83B86"/>
    <w:rsid w:val="670B7518"/>
    <w:rsid w:val="670F0ED0"/>
    <w:rsid w:val="67380427"/>
    <w:rsid w:val="67474B9A"/>
    <w:rsid w:val="674A1F08"/>
    <w:rsid w:val="674C0E45"/>
    <w:rsid w:val="67642FCA"/>
    <w:rsid w:val="676B2F13"/>
    <w:rsid w:val="677026C6"/>
    <w:rsid w:val="6796351C"/>
    <w:rsid w:val="67AF792B"/>
    <w:rsid w:val="67C50C16"/>
    <w:rsid w:val="67CD44CF"/>
    <w:rsid w:val="67D0065F"/>
    <w:rsid w:val="67EC2FBF"/>
    <w:rsid w:val="67F51BBF"/>
    <w:rsid w:val="67FD1E64"/>
    <w:rsid w:val="68091DC3"/>
    <w:rsid w:val="68183DB4"/>
    <w:rsid w:val="683A1F7D"/>
    <w:rsid w:val="683E5EB1"/>
    <w:rsid w:val="68441402"/>
    <w:rsid w:val="68456C28"/>
    <w:rsid w:val="68517B9D"/>
    <w:rsid w:val="68580655"/>
    <w:rsid w:val="68760762"/>
    <w:rsid w:val="687A0195"/>
    <w:rsid w:val="687F7DF0"/>
    <w:rsid w:val="68806041"/>
    <w:rsid w:val="68BB5320"/>
    <w:rsid w:val="68F17366"/>
    <w:rsid w:val="68F44821"/>
    <w:rsid w:val="68FD294A"/>
    <w:rsid w:val="68FF6A50"/>
    <w:rsid w:val="6900523E"/>
    <w:rsid w:val="691862FC"/>
    <w:rsid w:val="691C1682"/>
    <w:rsid w:val="69283EFF"/>
    <w:rsid w:val="69296D2D"/>
    <w:rsid w:val="69330B1D"/>
    <w:rsid w:val="694A1976"/>
    <w:rsid w:val="695B1826"/>
    <w:rsid w:val="697F7E3D"/>
    <w:rsid w:val="698C6808"/>
    <w:rsid w:val="69A04FD7"/>
    <w:rsid w:val="69A3421A"/>
    <w:rsid w:val="69A71894"/>
    <w:rsid w:val="69C81D37"/>
    <w:rsid w:val="69D41F5D"/>
    <w:rsid w:val="69F82D4D"/>
    <w:rsid w:val="69FC4283"/>
    <w:rsid w:val="6A152BF7"/>
    <w:rsid w:val="6A154A4F"/>
    <w:rsid w:val="6A1A637C"/>
    <w:rsid w:val="6A237A69"/>
    <w:rsid w:val="6A2D77D6"/>
    <w:rsid w:val="6A2E5B11"/>
    <w:rsid w:val="6A464791"/>
    <w:rsid w:val="6A485757"/>
    <w:rsid w:val="6A4E4ADE"/>
    <w:rsid w:val="6A4E5A98"/>
    <w:rsid w:val="6A531ADF"/>
    <w:rsid w:val="6A55309E"/>
    <w:rsid w:val="6A5D1F52"/>
    <w:rsid w:val="6A5D5B04"/>
    <w:rsid w:val="6A69644B"/>
    <w:rsid w:val="6A775908"/>
    <w:rsid w:val="6AAB47F8"/>
    <w:rsid w:val="6AB47FB5"/>
    <w:rsid w:val="6ABC2BAC"/>
    <w:rsid w:val="6AC02C0D"/>
    <w:rsid w:val="6AD14E1A"/>
    <w:rsid w:val="6AE0505D"/>
    <w:rsid w:val="6AE16007"/>
    <w:rsid w:val="6AF02939"/>
    <w:rsid w:val="6AFB3C45"/>
    <w:rsid w:val="6B132FEF"/>
    <w:rsid w:val="6B1747F7"/>
    <w:rsid w:val="6B1E0A88"/>
    <w:rsid w:val="6B3610CD"/>
    <w:rsid w:val="6B5D480A"/>
    <w:rsid w:val="6B7617CF"/>
    <w:rsid w:val="6B824EC6"/>
    <w:rsid w:val="6B9320D0"/>
    <w:rsid w:val="6BA63569"/>
    <w:rsid w:val="6BB859E0"/>
    <w:rsid w:val="6BB9116F"/>
    <w:rsid w:val="6BBD7989"/>
    <w:rsid w:val="6BC91483"/>
    <w:rsid w:val="6BCE19FD"/>
    <w:rsid w:val="6BFA10DE"/>
    <w:rsid w:val="6BFA6658"/>
    <w:rsid w:val="6C0327A4"/>
    <w:rsid w:val="6C036640"/>
    <w:rsid w:val="6C133210"/>
    <w:rsid w:val="6C187573"/>
    <w:rsid w:val="6C313733"/>
    <w:rsid w:val="6C36144B"/>
    <w:rsid w:val="6C3E2B17"/>
    <w:rsid w:val="6C41527C"/>
    <w:rsid w:val="6C461898"/>
    <w:rsid w:val="6C4E6E90"/>
    <w:rsid w:val="6C5E2EE5"/>
    <w:rsid w:val="6C5F1FB2"/>
    <w:rsid w:val="6C736239"/>
    <w:rsid w:val="6C953C26"/>
    <w:rsid w:val="6CAD4E6A"/>
    <w:rsid w:val="6CB5251A"/>
    <w:rsid w:val="6CB57E24"/>
    <w:rsid w:val="6CB9474B"/>
    <w:rsid w:val="6CC13712"/>
    <w:rsid w:val="6CC369E5"/>
    <w:rsid w:val="6CC91B21"/>
    <w:rsid w:val="6CD209D6"/>
    <w:rsid w:val="6CD34C4B"/>
    <w:rsid w:val="6CDD2787"/>
    <w:rsid w:val="6CE54BAD"/>
    <w:rsid w:val="6CEA21C3"/>
    <w:rsid w:val="6CFF4CD3"/>
    <w:rsid w:val="6D0A1681"/>
    <w:rsid w:val="6D0B399E"/>
    <w:rsid w:val="6D1B31F5"/>
    <w:rsid w:val="6D267C77"/>
    <w:rsid w:val="6D277AC2"/>
    <w:rsid w:val="6D301BA0"/>
    <w:rsid w:val="6D407F78"/>
    <w:rsid w:val="6D5835D1"/>
    <w:rsid w:val="6D624149"/>
    <w:rsid w:val="6D695D64"/>
    <w:rsid w:val="6D6B6F58"/>
    <w:rsid w:val="6D705117"/>
    <w:rsid w:val="6D71721D"/>
    <w:rsid w:val="6D7E5C2F"/>
    <w:rsid w:val="6D7F6FE9"/>
    <w:rsid w:val="6D9914F3"/>
    <w:rsid w:val="6D9D5488"/>
    <w:rsid w:val="6DAB4FF7"/>
    <w:rsid w:val="6DB93944"/>
    <w:rsid w:val="6DC170C7"/>
    <w:rsid w:val="6DC25258"/>
    <w:rsid w:val="6DC27953"/>
    <w:rsid w:val="6DCE5641"/>
    <w:rsid w:val="6DD644F6"/>
    <w:rsid w:val="6DDD5884"/>
    <w:rsid w:val="6DE11F21"/>
    <w:rsid w:val="6DE42570"/>
    <w:rsid w:val="6DF167B8"/>
    <w:rsid w:val="6DF20B60"/>
    <w:rsid w:val="6E0F4A6C"/>
    <w:rsid w:val="6E101FDB"/>
    <w:rsid w:val="6E12309D"/>
    <w:rsid w:val="6E182D60"/>
    <w:rsid w:val="6E1D0376"/>
    <w:rsid w:val="6E241BF1"/>
    <w:rsid w:val="6E3B360C"/>
    <w:rsid w:val="6E4E51DE"/>
    <w:rsid w:val="6E511DCE"/>
    <w:rsid w:val="6E533D98"/>
    <w:rsid w:val="6E6617FD"/>
    <w:rsid w:val="6E6E2EDC"/>
    <w:rsid w:val="6E7F3B3F"/>
    <w:rsid w:val="6E964D33"/>
    <w:rsid w:val="6EA0448C"/>
    <w:rsid w:val="6EA15BB7"/>
    <w:rsid w:val="6EC946FB"/>
    <w:rsid w:val="6EDF4C2F"/>
    <w:rsid w:val="6EF75C78"/>
    <w:rsid w:val="6EFE1F56"/>
    <w:rsid w:val="6F045092"/>
    <w:rsid w:val="6F227F66"/>
    <w:rsid w:val="6F321C00"/>
    <w:rsid w:val="6F3D160D"/>
    <w:rsid w:val="6F410095"/>
    <w:rsid w:val="6F48408F"/>
    <w:rsid w:val="6F487E8A"/>
    <w:rsid w:val="6F600666"/>
    <w:rsid w:val="6F6C1DAC"/>
    <w:rsid w:val="6F7A1830"/>
    <w:rsid w:val="6F85702E"/>
    <w:rsid w:val="6F857F81"/>
    <w:rsid w:val="6F8A04D3"/>
    <w:rsid w:val="6F8B1310"/>
    <w:rsid w:val="6FA846E1"/>
    <w:rsid w:val="6FAB4EDD"/>
    <w:rsid w:val="6FB825E7"/>
    <w:rsid w:val="6FBB39A3"/>
    <w:rsid w:val="6FBE52E6"/>
    <w:rsid w:val="6FC22C75"/>
    <w:rsid w:val="6FCF4FA5"/>
    <w:rsid w:val="6FD54C70"/>
    <w:rsid w:val="6FF476D3"/>
    <w:rsid w:val="6FF818D2"/>
    <w:rsid w:val="701441C1"/>
    <w:rsid w:val="702C53A6"/>
    <w:rsid w:val="70384CF8"/>
    <w:rsid w:val="70441BEA"/>
    <w:rsid w:val="7045295A"/>
    <w:rsid w:val="705F5DE7"/>
    <w:rsid w:val="707B1384"/>
    <w:rsid w:val="70805EE7"/>
    <w:rsid w:val="708F175D"/>
    <w:rsid w:val="70A00DEB"/>
    <w:rsid w:val="70AA0505"/>
    <w:rsid w:val="70C40F7D"/>
    <w:rsid w:val="70CB5E68"/>
    <w:rsid w:val="70DC0075"/>
    <w:rsid w:val="70EB75D2"/>
    <w:rsid w:val="70F20A60"/>
    <w:rsid w:val="70FB79B2"/>
    <w:rsid w:val="7104137A"/>
    <w:rsid w:val="71176B2B"/>
    <w:rsid w:val="711772FF"/>
    <w:rsid w:val="71186BD3"/>
    <w:rsid w:val="713779A1"/>
    <w:rsid w:val="714806A6"/>
    <w:rsid w:val="714874B8"/>
    <w:rsid w:val="71533B32"/>
    <w:rsid w:val="717F6C52"/>
    <w:rsid w:val="71817398"/>
    <w:rsid w:val="71872296"/>
    <w:rsid w:val="71A57103"/>
    <w:rsid w:val="71AB0576"/>
    <w:rsid w:val="71D05719"/>
    <w:rsid w:val="71F17161"/>
    <w:rsid w:val="71F633B8"/>
    <w:rsid w:val="72165809"/>
    <w:rsid w:val="7220758D"/>
    <w:rsid w:val="723034E9"/>
    <w:rsid w:val="72356ABA"/>
    <w:rsid w:val="723E4B41"/>
    <w:rsid w:val="72473A1C"/>
    <w:rsid w:val="724F0B21"/>
    <w:rsid w:val="725100A2"/>
    <w:rsid w:val="725B41FD"/>
    <w:rsid w:val="727A0013"/>
    <w:rsid w:val="72B22828"/>
    <w:rsid w:val="72BA43E6"/>
    <w:rsid w:val="72BC05F0"/>
    <w:rsid w:val="72BD3ED6"/>
    <w:rsid w:val="72CE5C6E"/>
    <w:rsid w:val="72CF483A"/>
    <w:rsid w:val="72D134DE"/>
    <w:rsid w:val="72D54D7C"/>
    <w:rsid w:val="72E02C85"/>
    <w:rsid w:val="72E42010"/>
    <w:rsid w:val="72F378F8"/>
    <w:rsid w:val="73154783"/>
    <w:rsid w:val="732755D9"/>
    <w:rsid w:val="732950C8"/>
    <w:rsid w:val="734737A0"/>
    <w:rsid w:val="73487C44"/>
    <w:rsid w:val="734F780E"/>
    <w:rsid w:val="73536FA7"/>
    <w:rsid w:val="736C72A9"/>
    <w:rsid w:val="7379604F"/>
    <w:rsid w:val="73933A12"/>
    <w:rsid w:val="73A45C16"/>
    <w:rsid w:val="73A47BD6"/>
    <w:rsid w:val="73AD037C"/>
    <w:rsid w:val="73C137FF"/>
    <w:rsid w:val="73E4432F"/>
    <w:rsid w:val="73EC1EDB"/>
    <w:rsid w:val="73F65C3B"/>
    <w:rsid w:val="740E434E"/>
    <w:rsid w:val="74146D69"/>
    <w:rsid w:val="743E1047"/>
    <w:rsid w:val="7441483E"/>
    <w:rsid w:val="7458046D"/>
    <w:rsid w:val="74884070"/>
    <w:rsid w:val="748C1DB2"/>
    <w:rsid w:val="7490789B"/>
    <w:rsid w:val="7495532C"/>
    <w:rsid w:val="74A0634E"/>
    <w:rsid w:val="74BC36CC"/>
    <w:rsid w:val="74BD01BD"/>
    <w:rsid w:val="74C225F2"/>
    <w:rsid w:val="74F10049"/>
    <w:rsid w:val="74F31E31"/>
    <w:rsid w:val="750018DF"/>
    <w:rsid w:val="75047B9A"/>
    <w:rsid w:val="75071439"/>
    <w:rsid w:val="750B717B"/>
    <w:rsid w:val="750F146D"/>
    <w:rsid w:val="75121B9E"/>
    <w:rsid w:val="752B15CB"/>
    <w:rsid w:val="752E2E69"/>
    <w:rsid w:val="753136E7"/>
    <w:rsid w:val="75320EFC"/>
    <w:rsid w:val="75340C7E"/>
    <w:rsid w:val="7538150A"/>
    <w:rsid w:val="754B452A"/>
    <w:rsid w:val="755F3023"/>
    <w:rsid w:val="75763257"/>
    <w:rsid w:val="757815ED"/>
    <w:rsid w:val="75966939"/>
    <w:rsid w:val="75A872AC"/>
    <w:rsid w:val="75A924F0"/>
    <w:rsid w:val="75AD4614"/>
    <w:rsid w:val="75AD6500"/>
    <w:rsid w:val="75C36F43"/>
    <w:rsid w:val="75CC00BB"/>
    <w:rsid w:val="75D25555"/>
    <w:rsid w:val="75EA6029"/>
    <w:rsid w:val="75F27075"/>
    <w:rsid w:val="75F45E61"/>
    <w:rsid w:val="760D2F1F"/>
    <w:rsid w:val="76164BEC"/>
    <w:rsid w:val="76285327"/>
    <w:rsid w:val="762B1157"/>
    <w:rsid w:val="763607FF"/>
    <w:rsid w:val="765468FF"/>
    <w:rsid w:val="766A3158"/>
    <w:rsid w:val="767077A6"/>
    <w:rsid w:val="768C42EB"/>
    <w:rsid w:val="769972F2"/>
    <w:rsid w:val="76A34D0F"/>
    <w:rsid w:val="76B178AE"/>
    <w:rsid w:val="76D72369"/>
    <w:rsid w:val="76FD1D97"/>
    <w:rsid w:val="77135677"/>
    <w:rsid w:val="772A140E"/>
    <w:rsid w:val="7741023E"/>
    <w:rsid w:val="775E4DB4"/>
    <w:rsid w:val="77626DFA"/>
    <w:rsid w:val="77850C07"/>
    <w:rsid w:val="778525A0"/>
    <w:rsid w:val="779C055E"/>
    <w:rsid w:val="77A86F03"/>
    <w:rsid w:val="77C0324D"/>
    <w:rsid w:val="77C548A4"/>
    <w:rsid w:val="77C655DB"/>
    <w:rsid w:val="77D27B45"/>
    <w:rsid w:val="77F02797"/>
    <w:rsid w:val="77FC1CA2"/>
    <w:rsid w:val="78034139"/>
    <w:rsid w:val="78114285"/>
    <w:rsid w:val="7824488F"/>
    <w:rsid w:val="784515A7"/>
    <w:rsid w:val="78497340"/>
    <w:rsid w:val="78547B29"/>
    <w:rsid w:val="78616A57"/>
    <w:rsid w:val="7865689A"/>
    <w:rsid w:val="786827CB"/>
    <w:rsid w:val="78925885"/>
    <w:rsid w:val="789C145D"/>
    <w:rsid w:val="789E7E07"/>
    <w:rsid w:val="78A84CE1"/>
    <w:rsid w:val="78B418D7"/>
    <w:rsid w:val="78B611AB"/>
    <w:rsid w:val="78DA7590"/>
    <w:rsid w:val="78DF4BA6"/>
    <w:rsid w:val="78E26444"/>
    <w:rsid w:val="78E73A5B"/>
    <w:rsid w:val="78E97B0F"/>
    <w:rsid w:val="78EA198E"/>
    <w:rsid w:val="78EC743A"/>
    <w:rsid w:val="78F90782"/>
    <w:rsid w:val="79055E20"/>
    <w:rsid w:val="790C7297"/>
    <w:rsid w:val="790E4463"/>
    <w:rsid w:val="79163B3B"/>
    <w:rsid w:val="791A5BDE"/>
    <w:rsid w:val="7946232A"/>
    <w:rsid w:val="7956298E"/>
    <w:rsid w:val="795A4D82"/>
    <w:rsid w:val="79617591"/>
    <w:rsid w:val="79652BD2"/>
    <w:rsid w:val="79773DF0"/>
    <w:rsid w:val="797E309D"/>
    <w:rsid w:val="797F0137"/>
    <w:rsid w:val="798474FC"/>
    <w:rsid w:val="798D6205"/>
    <w:rsid w:val="799B65F3"/>
    <w:rsid w:val="79A100AE"/>
    <w:rsid w:val="79B06E9C"/>
    <w:rsid w:val="79B576B5"/>
    <w:rsid w:val="79C33147"/>
    <w:rsid w:val="79C913B2"/>
    <w:rsid w:val="79D25219"/>
    <w:rsid w:val="79D264B9"/>
    <w:rsid w:val="79D53106"/>
    <w:rsid w:val="79D715AE"/>
    <w:rsid w:val="79DC08AE"/>
    <w:rsid w:val="79E174D6"/>
    <w:rsid w:val="79E77FA9"/>
    <w:rsid w:val="79ED6E4F"/>
    <w:rsid w:val="79FB1C7E"/>
    <w:rsid w:val="79FE726A"/>
    <w:rsid w:val="7A145485"/>
    <w:rsid w:val="7A184D02"/>
    <w:rsid w:val="7A1F69E6"/>
    <w:rsid w:val="7A2D36EF"/>
    <w:rsid w:val="7A2F78D2"/>
    <w:rsid w:val="7A4647B1"/>
    <w:rsid w:val="7A6A66F1"/>
    <w:rsid w:val="7A761BE6"/>
    <w:rsid w:val="7A771C84"/>
    <w:rsid w:val="7AA02113"/>
    <w:rsid w:val="7AAD7831"/>
    <w:rsid w:val="7AB820A0"/>
    <w:rsid w:val="7AC17905"/>
    <w:rsid w:val="7ACF355A"/>
    <w:rsid w:val="7ADE49EA"/>
    <w:rsid w:val="7AE61E7C"/>
    <w:rsid w:val="7AF35633"/>
    <w:rsid w:val="7AF66AF8"/>
    <w:rsid w:val="7AF97A75"/>
    <w:rsid w:val="7B090EAC"/>
    <w:rsid w:val="7B1D19B6"/>
    <w:rsid w:val="7B205002"/>
    <w:rsid w:val="7B2E453D"/>
    <w:rsid w:val="7B3E463A"/>
    <w:rsid w:val="7B4256AD"/>
    <w:rsid w:val="7B4400E4"/>
    <w:rsid w:val="7B4554D0"/>
    <w:rsid w:val="7B5B274E"/>
    <w:rsid w:val="7B5D0004"/>
    <w:rsid w:val="7B636023"/>
    <w:rsid w:val="7B876945"/>
    <w:rsid w:val="7BBA60F3"/>
    <w:rsid w:val="7BBB4D2B"/>
    <w:rsid w:val="7BC13CD3"/>
    <w:rsid w:val="7BC743CD"/>
    <w:rsid w:val="7BDA78A7"/>
    <w:rsid w:val="7BE41C3E"/>
    <w:rsid w:val="7BEE5100"/>
    <w:rsid w:val="7C00033C"/>
    <w:rsid w:val="7C0953EF"/>
    <w:rsid w:val="7C305719"/>
    <w:rsid w:val="7C366302"/>
    <w:rsid w:val="7C376D58"/>
    <w:rsid w:val="7C3A6597"/>
    <w:rsid w:val="7C3A79B4"/>
    <w:rsid w:val="7C4111CA"/>
    <w:rsid w:val="7C473A90"/>
    <w:rsid w:val="7C491EEE"/>
    <w:rsid w:val="7C5E5DE2"/>
    <w:rsid w:val="7C66113B"/>
    <w:rsid w:val="7C662EE9"/>
    <w:rsid w:val="7C8A6AA1"/>
    <w:rsid w:val="7C946273"/>
    <w:rsid w:val="7C9E7FEA"/>
    <w:rsid w:val="7CBB3234"/>
    <w:rsid w:val="7CFB1883"/>
    <w:rsid w:val="7CFD5CE2"/>
    <w:rsid w:val="7D045E5A"/>
    <w:rsid w:val="7D0E216D"/>
    <w:rsid w:val="7D434D6D"/>
    <w:rsid w:val="7D5471E5"/>
    <w:rsid w:val="7D5919D9"/>
    <w:rsid w:val="7D7864E4"/>
    <w:rsid w:val="7D7D2BE0"/>
    <w:rsid w:val="7D9C53DA"/>
    <w:rsid w:val="7DA63EE4"/>
    <w:rsid w:val="7DAE28C5"/>
    <w:rsid w:val="7DBD3900"/>
    <w:rsid w:val="7DC0201E"/>
    <w:rsid w:val="7DCE51E9"/>
    <w:rsid w:val="7DD86F8A"/>
    <w:rsid w:val="7DD949C8"/>
    <w:rsid w:val="7DE658FD"/>
    <w:rsid w:val="7DE80F5B"/>
    <w:rsid w:val="7DF1015F"/>
    <w:rsid w:val="7E01736D"/>
    <w:rsid w:val="7E0806FB"/>
    <w:rsid w:val="7E096221"/>
    <w:rsid w:val="7E1A21DD"/>
    <w:rsid w:val="7E206C4E"/>
    <w:rsid w:val="7E235555"/>
    <w:rsid w:val="7E326E92"/>
    <w:rsid w:val="7E327F0E"/>
    <w:rsid w:val="7E6042E4"/>
    <w:rsid w:val="7E6E42D6"/>
    <w:rsid w:val="7E7D1B81"/>
    <w:rsid w:val="7E952391"/>
    <w:rsid w:val="7EA877E8"/>
    <w:rsid w:val="7EB30D06"/>
    <w:rsid w:val="7EB54C30"/>
    <w:rsid w:val="7EBD2AB3"/>
    <w:rsid w:val="7ED152B8"/>
    <w:rsid w:val="7ED53D07"/>
    <w:rsid w:val="7ED76320"/>
    <w:rsid w:val="7ED83B5B"/>
    <w:rsid w:val="7EF045AD"/>
    <w:rsid w:val="7EF44B03"/>
    <w:rsid w:val="7EF614EB"/>
    <w:rsid w:val="7EFF7A60"/>
    <w:rsid w:val="7F0A04A3"/>
    <w:rsid w:val="7F0F5AB9"/>
    <w:rsid w:val="7F1107DB"/>
    <w:rsid w:val="7F12275F"/>
    <w:rsid w:val="7F184EE9"/>
    <w:rsid w:val="7F1A5C65"/>
    <w:rsid w:val="7F2257ED"/>
    <w:rsid w:val="7F435763"/>
    <w:rsid w:val="7F5B0CFF"/>
    <w:rsid w:val="7F637BB3"/>
    <w:rsid w:val="7F6E0F84"/>
    <w:rsid w:val="7F8B3110"/>
    <w:rsid w:val="7F8C7F60"/>
    <w:rsid w:val="7F96218E"/>
    <w:rsid w:val="7F983D01"/>
    <w:rsid w:val="7FA20C8F"/>
    <w:rsid w:val="7FB126CD"/>
    <w:rsid w:val="7FB87EFF"/>
    <w:rsid w:val="7FCD73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qFormat="1" w:uiPriority="99"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autoRedefine/>
    <w:qFormat/>
    <w:uiPriority w:val="0"/>
    <w:pPr>
      <w:keepNext/>
      <w:keepLines/>
      <w:spacing w:before="340" w:after="330" w:line="578" w:lineRule="auto"/>
      <w:outlineLvl w:val="0"/>
    </w:pPr>
    <w:rPr>
      <w:b/>
      <w:bCs/>
      <w:kern w:val="44"/>
      <w:sz w:val="44"/>
      <w:szCs w:val="44"/>
    </w:rPr>
  </w:style>
  <w:style w:type="paragraph" w:styleId="4">
    <w:name w:val="heading 4"/>
    <w:basedOn w:val="1"/>
    <w:next w:val="1"/>
    <w:autoRedefine/>
    <w:qFormat/>
    <w:uiPriority w:val="0"/>
    <w:pPr>
      <w:keepNext/>
      <w:keepLines/>
      <w:tabs>
        <w:tab w:val="left" w:pos="720"/>
      </w:tabs>
      <w:adjustRightInd w:val="0"/>
      <w:spacing w:before="280" w:beforeLines="0" w:after="290" w:afterLines="0" w:line="376" w:lineRule="atLeast"/>
      <w:textAlignment w:val="baseline"/>
      <w:outlineLvl w:val="3"/>
    </w:pPr>
    <w:rPr>
      <w:rFonts w:ascii="Arial" w:hAnsi="Arial" w:eastAsia="黑体"/>
      <w:b/>
      <w:kern w:val="0"/>
      <w:sz w:val="28"/>
      <w:szCs w:val="20"/>
    </w:rPr>
  </w:style>
  <w:style w:type="character" w:default="1" w:styleId="17">
    <w:name w:val="Default Paragraph Font"/>
    <w:autoRedefine/>
    <w:semiHidden/>
    <w:qFormat/>
    <w:uiPriority w:val="0"/>
  </w:style>
  <w:style w:type="table" w:default="1" w:styleId="15">
    <w:name w:val="Normal Table"/>
    <w:autoRedefine/>
    <w:semiHidden/>
    <w:qFormat/>
    <w:uiPriority w:val="0"/>
    <w:tblPr>
      <w:tblCellMar>
        <w:top w:w="0" w:type="dxa"/>
        <w:left w:w="108" w:type="dxa"/>
        <w:bottom w:w="0" w:type="dxa"/>
        <w:right w:w="108" w:type="dxa"/>
      </w:tblCellMar>
    </w:tblPr>
  </w:style>
  <w:style w:type="paragraph" w:customStyle="1" w:styleId="2">
    <w:name w:val="正文格式"/>
    <w:basedOn w:val="1"/>
    <w:next w:val="1"/>
    <w:autoRedefine/>
    <w:qFormat/>
    <w:uiPriority w:val="0"/>
    <w:pPr>
      <w:spacing w:line="360" w:lineRule="auto"/>
      <w:ind w:firstLine="544" w:firstLineChars="200"/>
    </w:pPr>
    <w:rPr>
      <w:rFonts w:ascii="Times New Roman" w:hAnsi="Times New Roman" w:cs="宋体"/>
      <w:sz w:val="24"/>
    </w:rPr>
  </w:style>
  <w:style w:type="paragraph" w:styleId="5">
    <w:name w:val="Body Text"/>
    <w:basedOn w:val="1"/>
    <w:next w:val="6"/>
    <w:autoRedefine/>
    <w:unhideWhenUsed/>
    <w:qFormat/>
    <w:uiPriority w:val="99"/>
    <w:pPr>
      <w:spacing w:after="120"/>
    </w:pPr>
    <w:rPr>
      <w:sz w:val="24"/>
    </w:rPr>
  </w:style>
  <w:style w:type="paragraph" w:styleId="6">
    <w:name w:val="toc 1"/>
    <w:basedOn w:val="1"/>
    <w:next w:val="1"/>
    <w:autoRedefine/>
    <w:qFormat/>
    <w:uiPriority w:val="39"/>
    <w:pPr>
      <w:spacing w:before="120" w:after="120"/>
      <w:jc w:val="left"/>
    </w:pPr>
    <w:rPr>
      <w:rFonts w:ascii="等线" w:eastAsia="等线"/>
      <w:b/>
      <w:bCs/>
      <w:caps/>
      <w:sz w:val="20"/>
      <w:szCs w:val="20"/>
    </w:rPr>
  </w:style>
  <w:style w:type="paragraph" w:styleId="7">
    <w:name w:val="Body Text Indent"/>
    <w:basedOn w:val="1"/>
    <w:autoRedefine/>
    <w:semiHidden/>
    <w:unhideWhenUsed/>
    <w:qFormat/>
    <w:uiPriority w:val="99"/>
    <w:pPr>
      <w:spacing w:after="120"/>
      <w:ind w:left="420" w:leftChars="200"/>
    </w:pPr>
  </w:style>
  <w:style w:type="paragraph" w:styleId="8">
    <w:name w:val="footer"/>
    <w:basedOn w:val="1"/>
    <w:autoRedefine/>
    <w:qFormat/>
    <w:uiPriority w:val="0"/>
    <w:pPr>
      <w:tabs>
        <w:tab w:val="center" w:pos="4153"/>
        <w:tab w:val="right" w:pos="8306"/>
      </w:tabs>
      <w:snapToGrid w:val="0"/>
      <w:jc w:val="left"/>
    </w:pPr>
    <w:rPr>
      <w:sz w:val="18"/>
    </w:rPr>
  </w:style>
  <w:style w:type="paragraph" w:styleId="9">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List"/>
    <w:basedOn w:val="1"/>
    <w:next w:val="1"/>
    <w:autoRedefine/>
    <w:qFormat/>
    <w:uiPriority w:val="0"/>
    <w:pPr>
      <w:jc w:val="center"/>
    </w:pPr>
    <w:rPr>
      <w:rFonts w:ascii="Times New Roman"/>
      <w:sz w:val="21"/>
    </w:rPr>
  </w:style>
  <w:style w:type="paragraph" w:styleId="11">
    <w:name w:val="toc 2"/>
    <w:basedOn w:val="1"/>
    <w:next w:val="1"/>
    <w:autoRedefine/>
    <w:qFormat/>
    <w:uiPriority w:val="39"/>
    <w:pPr>
      <w:ind w:left="240"/>
      <w:jc w:val="left"/>
    </w:pPr>
    <w:rPr>
      <w:rFonts w:ascii="等线" w:eastAsia="等线"/>
      <w:smallCaps/>
      <w:sz w:val="20"/>
      <w:szCs w:val="20"/>
    </w:rPr>
  </w:style>
  <w:style w:type="paragraph" w:styleId="12">
    <w:name w:val="Normal (Web)"/>
    <w:basedOn w:val="1"/>
    <w:autoRedefine/>
    <w:qFormat/>
    <w:uiPriority w:val="0"/>
    <w:pPr>
      <w:widowControl/>
      <w:spacing w:before="100" w:beforeAutospacing="1" w:after="100" w:afterAutospacing="1"/>
      <w:jc w:val="left"/>
    </w:pPr>
    <w:rPr>
      <w:rFonts w:ascii="Arial Unicode MS" w:hAnsi="Arial Unicode MS" w:eastAsia="Times New Roman"/>
      <w:kern w:val="0"/>
      <w:sz w:val="24"/>
    </w:rPr>
  </w:style>
  <w:style w:type="paragraph" w:styleId="13">
    <w:name w:val="Title"/>
    <w:basedOn w:val="1"/>
    <w:next w:val="1"/>
    <w:autoRedefine/>
    <w:qFormat/>
    <w:uiPriority w:val="10"/>
    <w:pPr>
      <w:widowControl w:val="0"/>
      <w:spacing w:before="120" w:beforeLines="0" w:after="120" w:afterLines="0"/>
      <w:ind w:firstLine="0" w:firstLineChars="0"/>
      <w:outlineLvl w:val="0"/>
    </w:pPr>
    <w:rPr>
      <w:rFonts w:ascii="Cambria" w:hAnsi="Cambria" w:cs="Times New Roman"/>
      <w:b/>
      <w:bCs/>
      <w:sz w:val="32"/>
      <w:szCs w:val="32"/>
    </w:rPr>
  </w:style>
  <w:style w:type="paragraph" w:styleId="14">
    <w:name w:val="Body Text First Indent 2"/>
    <w:basedOn w:val="7"/>
    <w:autoRedefine/>
    <w:qFormat/>
    <w:uiPriority w:val="0"/>
    <w:pPr>
      <w:widowControl w:val="0"/>
      <w:topLinePunct/>
      <w:spacing w:line="360" w:lineRule="auto"/>
      <w:ind w:firstLine="200" w:firstLineChars="200"/>
    </w:pPr>
    <w:rPr>
      <w:rFonts w:hAnsi="Times New Roman"/>
      <w:spacing w:val="0"/>
      <w:sz w:val="28"/>
    </w:rPr>
  </w:style>
  <w:style w:type="table" w:styleId="16">
    <w:name w:val="Table Grid"/>
    <w:basedOn w:val="1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8">
    <w:name w:val="11111"/>
    <w:basedOn w:val="1"/>
    <w:next w:val="1"/>
    <w:autoRedefine/>
    <w:qFormat/>
    <w:uiPriority w:val="0"/>
    <w:pPr>
      <w:spacing w:line="360" w:lineRule="auto"/>
      <w:ind w:firstLine="200" w:firstLineChars="200"/>
    </w:pPr>
    <w:rPr>
      <w:rFonts w:ascii="宋体" w:hAnsi="宋体" w:cs="宋体"/>
      <w:sz w:val="24"/>
    </w:rPr>
  </w:style>
  <w:style w:type="paragraph" w:customStyle="1" w:styleId="19">
    <w:name w:val="Table Text"/>
    <w:basedOn w:val="1"/>
    <w:autoRedefine/>
    <w:semiHidden/>
    <w:qFormat/>
    <w:uiPriority w:val="0"/>
    <w:rPr>
      <w:rFonts w:ascii="宋体" w:hAnsi="宋体" w:eastAsia="宋体" w:cs="宋体"/>
      <w:sz w:val="20"/>
      <w:szCs w:val="20"/>
      <w:lang w:val="en-US" w:eastAsia="en-US" w:bidi="ar-SA"/>
    </w:rPr>
  </w:style>
  <w:style w:type="paragraph" w:customStyle="1" w:styleId="20">
    <w:name w:val="S表格"/>
    <w:basedOn w:val="21"/>
    <w:autoRedefine/>
    <w:qFormat/>
    <w:uiPriority w:val="0"/>
    <w:pPr>
      <w:spacing w:line="240" w:lineRule="auto"/>
      <w:ind w:firstLine="0" w:firstLineChars="0"/>
    </w:pPr>
    <w:rPr>
      <w:sz w:val="21"/>
    </w:rPr>
  </w:style>
  <w:style w:type="paragraph" w:customStyle="1" w:styleId="21">
    <w:name w:val="标准"/>
    <w:basedOn w:val="22"/>
    <w:autoRedefine/>
    <w:qFormat/>
    <w:uiPriority w:val="0"/>
    <w:pPr>
      <w:adjustRightInd w:val="0"/>
      <w:spacing w:line="520" w:lineRule="atLeast"/>
      <w:jc w:val="center"/>
      <w:textAlignment w:val="baseline"/>
    </w:pPr>
    <w:rPr>
      <w:kern w:val="0"/>
      <w:szCs w:val="21"/>
    </w:rPr>
  </w:style>
  <w:style w:type="paragraph" w:customStyle="1" w:styleId="22">
    <w:name w:val="正文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23">
    <w:name w:val="font11"/>
    <w:basedOn w:val="17"/>
    <w:autoRedefine/>
    <w:qFormat/>
    <w:uiPriority w:val="0"/>
    <w:rPr>
      <w:rFonts w:hint="eastAsia" w:ascii="宋体" w:hAnsi="宋体" w:eastAsia="宋体" w:cs="宋体"/>
      <w:color w:val="000000"/>
      <w:sz w:val="21"/>
      <w:szCs w:val="21"/>
      <w:u w:val="none"/>
    </w:rPr>
  </w:style>
  <w:style w:type="character" w:customStyle="1" w:styleId="24">
    <w:name w:val="font21"/>
    <w:basedOn w:val="17"/>
    <w:autoRedefine/>
    <w:qFormat/>
    <w:uiPriority w:val="0"/>
    <w:rPr>
      <w:rFonts w:hint="default" w:ascii="Times New Roman" w:hAnsi="Times New Roman" w:cs="Times New Roman"/>
      <w:color w:val="000000"/>
      <w:sz w:val="21"/>
      <w:szCs w:val="21"/>
      <w:u w:val="none"/>
    </w:rPr>
  </w:style>
  <w:style w:type="paragraph" w:customStyle="1" w:styleId="25">
    <w:name w:val="表格内"/>
    <w:basedOn w:val="10"/>
    <w:next w:val="1"/>
    <w:autoRedefine/>
    <w:qFormat/>
    <w:uiPriority w:val="0"/>
    <w:pPr>
      <w:spacing w:line="360" w:lineRule="exact"/>
      <w:ind w:firstLine="0" w:firstLineChars="0"/>
      <w:jc w:val="center"/>
    </w:pPr>
    <w:rPr>
      <w:rFonts w:eastAsia="Times New Roman"/>
      <w:sz w:val="21"/>
      <w:szCs w:val="21"/>
    </w:rPr>
  </w:style>
  <w:style w:type="paragraph" w:customStyle="1" w:styleId="26">
    <w:name w:val="【正文】"/>
    <w:basedOn w:val="1"/>
    <w:autoRedefine/>
    <w:qFormat/>
    <w:uiPriority w:val="0"/>
    <w:pPr>
      <w:spacing w:line="440" w:lineRule="exact"/>
      <w:ind w:firstLine="544"/>
    </w:pPr>
    <w:rPr>
      <w:spacing w:val="16"/>
      <w:szCs w:val="20"/>
    </w:rPr>
  </w:style>
  <w:style w:type="paragraph" w:customStyle="1" w:styleId="27">
    <w:name w:val="Default"/>
    <w:basedOn w:val="28"/>
    <w:next w:val="1"/>
    <w:autoRedefine/>
    <w:qFormat/>
    <w:uiPriority w:val="0"/>
    <w:pPr>
      <w:widowControl w:val="0"/>
      <w:autoSpaceDE w:val="0"/>
      <w:autoSpaceDN w:val="0"/>
      <w:adjustRightInd w:val="0"/>
    </w:pPr>
    <w:rPr>
      <w:rFonts w:ascii="宋体" w:eastAsia="宋体" w:cs="宋体"/>
      <w:color w:val="000000"/>
      <w:spacing w:val="0"/>
      <w:kern w:val="0"/>
      <w:sz w:val="24"/>
      <w:szCs w:val="24"/>
    </w:rPr>
  </w:style>
  <w:style w:type="paragraph" w:customStyle="1" w:styleId="28">
    <w:name w:val="表头"/>
    <w:basedOn w:val="11"/>
    <w:next w:val="1"/>
    <w:autoRedefine/>
    <w:qFormat/>
    <w:uiPriority w:val="0"/>
    <w:pPr>
      <w:spacing w:before="120" w:afterLines="20" w:line="400" w:lineRule="exact"/>
      <w:ind w:firstLine="493"/>
      <w:jc w:val="left"/>
    </w:pPr>
    <w:rPr>
      <w:rFonts w:ascii="黑体" w:eastAsia="黑体"/>
      <w:spacing w:val="8"/>
      <w:kern w:val="21"/>
      <w:sz w:val="21"/>
    </w:rPr>
  </w:style>
  <w:style w:type="paragraph" w:customStyle="1" w:styleId="29">
    <w:name w:val="表名1"/>
    <w:basedOn w:val="30"/>
    <w:autoRedefine/>
    <w:qFormat/>
    <w:uiPriority w:val="0"/>
    <w:pPr>
      <w:spacing w:beforeLines="50" w:afterLines="20" w:line="240" w:lineRule="auto"/>
      <w:ind w:firstLine="0" w:firstLineChars="0"/>
      <w:jc w:val="center"/>
    </w:pPr>
    <w:rPr>
      <w:rFonts w:ascii="仿宋" w:hAnsi="仿宋" w:eastAsia="仿宋"/>
      <w:b/>
      <w:kern w:val="2"/>
      <w:sz w:val="20"/>
      <w:szCs w:val="20"/>
    </w:rPr>
  </w:style>
  <w:style w:type="paragraph" w:customStyle="1" w:styleId="30">
    <w:name w:val="报告"/>
    <w:basedOn w:val="1"/>
    <w:autoRedefine/>
    <w:qFormat/>
    <w:uiPriority w:val="99"/>
    <w:pPr>
      <w:widowControl w:val="0"/>
      <w:autoSpaceDE w:val="0"/>
      <w:autoSpaceDN w:val="0"/>
      <w:adjustRightInd w:val="0"/>
      <w:spacing w:line="360" w:lineRule="auto"/>
      <w:ind w:firstLine="505"/>
      <w:textAlignment w:val="baseline"/>
    </w:pPr>
    <w:rPr>
      <w:rFonts w:ascii="Times New Roman" w:hAnsi="Times New Roman" w:cs="Times New Roman"/>
      <w:szCs w:val="20"/>
    </w:rPr>
  </w:style>
  <w:style w:type="paragraph" w:customStyle="1" w:styleId="31">
    <w:name w:val="表体"/>
    <w:basedOn w:val="1"/>
    <w:autoRedefine/>
    <w:qFormat/>
    <w:uiPriority w:val="0"/>
    <w:pPr>
      <w:overflowPunct w:val="0"/>
      <w:adjustRightInd w:val="0"/>
      <w:spacing w:line="300" w:lineRule="atLeast"/>
      <w:jc w:val="center"/>
      <w:textAlignment w:val="baseline"/>
    </w:pPr>
    <w:rPr>
      <w:color w:val="000000"/>
      <w:kern w:val="24"/>
      <w:sz w:val="18"/>
      <w:szCs w:val="20"/>
    </w:rPr>
  </w:style>
  <w:style w:type="character" w:customStyle="1" w:styleId="32">
    <w:name w:val="font31"/>
    <w:basedOn w:val="17"/>
    <w:autoRedefine/>
    <w:qFormat/>
    <w:uiPriority w:val="0"/>
    <w:rPr>
      <w:rFonts w:hint="eastAsia" w:ascii="宋体" w:hAnsi="宋体" w:eastAsia="宋体" w:cs="宋体"/>
      <w:color w:val="000000"/>
      <w:sz w:val="21"/>
      <w:szCs w:val="21"/>
      <w:u w:val="none"/>
    </w:rPr>
  </w:style>
  <w:style w:type="character" w:customStyle="1" w:styleId="33">
    <w:name w:val="fontstyle01"/>
    <w:basedOn w:val="17"/>
    <w:autoRedefine/>
    <w:qFormat/>
    <w:uiPriority w:val="0"/>
    <w:rPr>
      <w:rFonts w:ascii="宋体" w:hAnsi="宋体" w:eastAsia="宋体" w:cs="宋体"/>
      <w:color w:val="000000"/>
      <w:sz w:val="24"/>
      <w:szCs w:val="24"/>
    </w:rPr>
  </w:style>
  <w:style w:type="paragraph" w:customStyle="1" w:styleId="34">
    <w:name w:val="p0"/>
    <w:basedOn w:val="1"/>
    <w:autoRedefine/>
    <w:qFormat/>
    <w:uiPriority w:val="0"/>
    <w:pPr>
      <w:ind w:firstLine="200"/>
    </w:pPr>
    <w:rPr>
      <w:sz w:val="21"/>
      <w:szCs w:val="21"/>
    </w:rPr>
  </w:style>
  <w:style w:type="paragraph" w:customStyle="1" w:styleId="35">
    <w:name w:val="表格文字两端对齐"/>
    <w:basedOn w:val="1"/>
    <w:autoRedefine/>
    <w:qFormat/>
    <w:uiPriority w:val="0"/>
    <w:pPr>
      <w:widowControl w:val="0"/>
      <w:spacing w:line="300" w:lineRule="auto"/>
      <w:jc w:val="both"/>
    </w:pPr>
    <w:rPr>
      <w:rFonts w:ascii="Times New Roman" w:hAnsi="Times New Roman" w:cs="Times New Roman"/>
      <w:kern w:val="2"/>
      <w:sz w:val="21"/>
    </w:rPr>
  </w:style>
  <w:style w:type="paragraph" w:customStyle="1" w:styleId="36">
    <w:name w:val="BIG BOLD"/>
    <w:basedOn w:val="1"/>
    <w:autoRedefine/>
    <w:qFormat/>
    <w:uiPriority w:val="0"/>
    <w:pPr>
      <w:widowControl w:val="0"/>
      <w:tabs>
        <w:tab w:val="left" w:leader="underscore" w:pos="1134"/>
      </w:tabs>
      <w:jc w:val="both"/>
    </w:pPr>
    <w:rPr>
      <w:rFonts w:ascii="Times New Roman" w:hAnsi="Times New Roman" w:cs="Times New Roman"/>
      <w:kern w:val="2"/>
      <w:sz w:val="21"/>
      <w:szCs w:val="20"/>
    </w:rPr>
  </w:style>
  <w:style w:type="paragraph" w:customStyle="1" w:styleId="37">
    <w:name w:val="表格文本-z"/>
    <w:basedOn w:val="1"/>
    <w:autoRedefine/>
    <w:qFormat/>
    <w:uiPriority w:val="0"/>
    <w:pPr>
      <w:widowControl/>
      <w:spacing w:line="240" w:lineRule="auto"/>
      <w:ind w:firstLine="0" w:firstLineChars="0"/>
      <w:jc w:val="center"/>
    </w:pPr>
    <w:rPr>
      <w:rFonts w:cs="Times New Roman"/>
      <w:color w:val="000000"/>
      <w:kern w:val="0"/>
      <w:sz w:val="21"/>
      <w:szCs w:val="21"/>
    </w:rPr>
  </w:style>
  <w:style w:type="paragraph" w:customStyle="1" w:styleId="38">
    <w:name w:val="【表内容】"/>
    <w:basedOn w:val="1"/>
    <w:autoRedefine/>
    <w:qFormat/>
    <w:uiPriority w:val="0"/>
    <w:pPr>
      <w:spacing w:line="240" w:lineRule="auto"/>
      <w:ind w:firstLine="0" w:firstLineChars="0"/>
      <w:jc w:val="center"/>
    </w:pPr>
    <w:rPr>
      <w:rFonts w:eastAsiaTheme="minorEastAsia" w:cstheme="minorBidi"/>
      <w:sz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9" Type="http://schemas.openxmlformats.org/officeDocument/2006/relationships/fontTable" Target="fontTable.xml"/><Relationship Id="rId58" Type="http://schemas.openxmlformats.org/officeDocument/2006/relationships/customXml" Target="../customXml/item1.xml"/><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jpeg"/><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288</Pages>
  <Words>12183</Words>
  <Characters>13093</Characters>
  <Lines>0</Lines>
  <Paragraphs>0</Paragraphs>
  <TotalTime>4</TotalTime>
  <ScaleCrop>false</ScaleCrop>
  <LinksUpToDate>false</LinksUpToDate>
  <CharactersWithSpaces>13109</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2023-07-03T07:24:00Z</dcterms:created>
  <dc:creator>dadaHE</dc:creator>
  <cp:lastModifiedBy>dadaHE</cp:lastModifiedBy>
  <cp:lastPrinted>2024-01-08T02:57:00Z</cp:lastPrinted>
  <dcterms:modified xsi:type="dcterms:W3CDTF">2024-04-23T00:49:24Z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07FCA97084944811B2AB84173BA651A6_13</vt:lpwstr>
  </property>
</Properties>
</file>